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华润雪花啤酒（四川）有限责任公司内江分公司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D8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2019-12-22T13:29:25Z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