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pStyle w:val="3"/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J55油管静水压试验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30"/>
          <w:szCs w:val="30"/>
        </w:rPr>
        <w:t>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JS-206-2021《静水压试验要求规范》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进行测量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-6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允许示值误差：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±0.96MPa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  <w:r>
        <w:rPr>
          <w:rFonts w:hint="eastAsia" w:cs="Times New Roman"/>
          <w:sz w:val="24"/>
          <w:szCs w:val="24"/>
          <w:lang w:val="en-US" w:eastAsia="zh-CN"/>
        </w:rPr>
        <w:t>（34+3）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首先检查压力表处于正常工作状态。开始试验，升压速度应控</w:t>
      </w:r>
    </w:p>
    <w:p>
      <w:pPr>
        <w:spacing w:line="360" w:lineRule="auto"/>
        <w:ind w:left="480" w:hanging="480" w:hanging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制在(0.15-0.2)MPa/min,试验时压力应缓慢上升34MPa，确认无泄漏后继续上升，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35.2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35.8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35.6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35.2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2pt;width:163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2.15pt;width:170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2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96MPa,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0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0.6MPa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8pt;width:205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  评定人：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883285" cy="467360"/>
            <wp:effectExtent l="0" t="0" r="12065" b="8890"/>
            <wp:docPr id="1" name="图片 1" descr="2d93d373269944ad9fa374fe857c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93d373269944ad9fa374fe857cbc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17B7FAF"/>
    <w:rsid w:val="044770B2"/>
    <w:rsid w:val="05042B49"/>
    <w:rsid w:val="05304523"/>
    <w:rsid w:val="053447EE"/>
    <w:rsid w:val="05820BB2"/>
    <w:rsid w:val="05C570E8"/>
    <w:rsid w:val="067D47F0"/>
    <w:rsid w:val="07F3591A"/>
    <w:rsid w:val="084E4ADD"/>
    <w:rsid w:val="08B33882"/>
    <w:rsid w:val="09D40C4B"/>
    <w:rsid w:val="0A7B5858"/>
    <w:rsid w:val="0A9C53FC"/>
    <w:rsid w:val="0AED7769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E46A61"/>
    <w:rsid w:val="1A07418C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7BE054C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CBC2FC1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43B7C73"/>
    <w:rsid w:val="35193C19"/>
    <w:rsid w:val="351957ED"/>
    <w:rsid w:val="35AE7103"/>
    <w:rsid w:val="360719D2"/>
    <w:rsid w:val="360F49D2"/>
    <w:rsid w:val="363F36EF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5164DA"/>
    <w:rsid w:val="47562704"/>
    <w:rsid w:val="47A42EAC"/>
    <w:rsid w:val="47AC5657"/>
    <w:rsid w:val="47E65026"/>
    <w:rsid w:val="490E5D78"/>
    <w:rsid w:val="4A02072C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2484DC4"/>
    <w:rsid w:val="72D85456"/>
    <w:rsid w:val="73950332"/>
    <w:rsid w:val="739A109D"/>
    <w:rsid w:val="7415715D"/>
    <w:rsid w:val="744F372E"/>
    <w:rsid w:val="74683550"/>
    <w:rsid w:val="751E4BE0"/>
    <w:rsid w:val="75915A0E"/>
    <w:rsid w:val="75D43E41"/>
    <w:rsid w:val="76782D4F"/>
    <w:rsid w:val="772F7EBB"/>
    <w:rsid w:val="7869696E"/>
    <w:rsid w:val="78E1576B"/>
    <w:rsid w:val="7A3148D6"/>
    <w:rsid w:val="7AB02F7C"/>
    <w:rsid w:val="7ABC47A1"/>
    <w:rsid w:val="7AD9333F"/>
    <w:rsid w:val="7B835F53"/>
    <w:rsid w:val="7D2B6D03"/>
    <w:rsid w:val="7D8C1D31"/>
    <w:rsid w:val="7DC32556"/>
    <w:rsid w:val="7E5C07A9"/>
    <w:rsid w:val="7E652938"/>
    <w:rsid w:val="7F5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703</Words>
  <Characters>871</Characters>
  <Lines>9</Lines>
  <Paragraphs>2</Paragraphs>
  <TotalTime>0</TotalTime>
  <ScaleCrop>false</ScaleCrop>
  <LinksUpToDate>false</LinksUpToDate>
  <CharactersWithSpaces>1072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2022-09-02T00:03:24Z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D8B6524F2D0348FF80B2E8DE6CB203CD</vt:lpwstr>
  </property>
</Properties>
</file>