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164"/>
        <w:gridCol w:w="10468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6" w:type="dxa"/>
            <w:vMerge w:val="restart"/>
            <w:vAlign w:val="center"/>
          </w:tcPr>
          <w:p>
            <w:pPr>
              <w:spacing w:before="1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抽样计划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涉及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条款</w:t>
            </w:r>
          </w:p>
        </w:tc>
        <w:tc>
          <w:tcPr>
            <w:tcW w:w="104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受审核部门：</w:t>
            </w:r>
            <w:r>
              <w:rPr>
                <w:rFonts w:hint="eastAsia" w:ascii="宋体" w:hAnsi="宋体" w:cs="宋体"/>
                <w:szCs w:val="21"/>
              </w:rPr>
              <w:t>行政部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cs="宋体"/>
                <w:szCs w:val="21"/>
              </w:rPr>
              <w:t xml:space="preserve">  主管领导：</w:t>
            </w:r>
            <w:r>
              <w:rPr>
                <w:rFonts w:hint="eastAsia" w:ascii="宋体" w:hAnsi="宋体"/>
                <w:bCs/>
                <w:szCs w:val="21"/>
              </w:rPr>
              <w:t>王文清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cs="宋体"/>
                <w:szCs w:val="21"/>
              </w:rPr>
              <w:t xml:space="preserve"> 陪同人员：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朱玉芳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56" w:type="dxa"/>
            <w:vMerge w:val="continue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046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李俐  （远程审核、微信沟通）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审核时间：202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2.8.28</w:t>
            </w:r>
          </w:p>
        </w:tc>
        <w:tc>
          <w:tcPr>
            <w:tcW w:w="1121" w:type="dxa"/>
            <w:vMerge w:val="continue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56" w:type="dxa"/>
            <w:vMerge w:val="continue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0468" w:type="dxa"/>
            <w:vAlign w:val="center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审核条款：</w:t>
            </w:r>
          </w:p>
          <w:p>
            <w:pPr>
              <w:snapToGrid w:val="0"/>
              <w:spacing w:line="360" w:lineRule="auto"/>
              <w:rPr>
                <w:rFonts w:ascii="宋体" w:hAnsi="宋体" w:cs="Arial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5.3、6.2、7.1.2、7.1.3、7.1.4、7.1.6、7.2、7.3、7.5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b w:val="0"/>
                <w:bCs/>
                <w:spacing w:val="-6"/>
                <w:sz w:val="21"/>
                <w:szCs w:val="21"/>
                <w:u w:val="none"/>
              </w:rPr>
              <w:t>9.1.1</w:t>
            </w:r>
            <w:r>
              <w:rPr>
                <w:rFonts w:hint="eastAsia" w:ascii="宋体" w:hAnsi="宋体" w:cs="Arial"/>
                <w:b w:val="0"/>
                <w:bCs/>
                <w:spacing w:val="-6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 xml:space="preserve">9.1.3、9.2 、10.2 </w:t>
            </w:r>
          </w:p>
          <w:p>
            <w:pPr>
              <w:snapToGrid w:val="0"/>
              <w:spacing w:line="360" w:lineRule="auto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>E/OMS: 5.3、6.2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>7.2、7.3、7.5、9.2 、10.2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>6.1.2、6.1.3、6.1.4、8.1、9.1、8.2</w:t>
            </w:r>
          </w:p>
        </w:tc>
        <w:tc>
          <w:tcPr>
            <w:tcW w:w="1121" w:type="dxa"/>
            <w:vMerge w:val="continue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56" w:type="dxa"/>
            <w:vAlign w:val="center"/>
          </w:tcPr>
          <w:p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 w:ascii="宋体" w:hAnsi="宋体" w:cs="Arial"/>
                <w:szCs w:val="21"/>
              </w:rPr>
              <w:t>组织的岗位、职责和权限</w:t>
            </w:r>
          </w:p>
        </w:tc>
        <w:tc>
          <w:tcPr>
            <w:tcW w:w="1164" w:type="dxa"/>
          </w:tcPr>
          <w:p>
            <w:pPr>
              <w:pStyle w:val="3"/>
            </w:pPr>
          </w:p>
          <w:p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 w:ascii="宋体" w:hAnsi="宋体" w:cs="Arial"/>
                <w:szCs w:val="21"/>
              </w:rPr>
              <w:t>QEO：5.3</w:t>
            </w:r>
          </w:p>
        </w:tc>
        <w:tc>
          <w:tcPr>
            <w:tcW w:w="10468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部门负责人：</w:t>
            </w:r>
            <w:r>
              <w:rPr>
                <w:rFonts w:hint="eastAsia" w:ascii="宋体" w:hAnsi="宋体"/>
                <w:bCs/>
                <w:szCs w:val="21"/>
              </w:rPr>
              <w:t>王文清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新宋体"/>
                <w:szCs w:val="21"/>
              </w:rPr>
              <w:t xml:space="preserve">  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新宋体"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 w:cs="新宋体"/>
                <w:szCs w:val="21"/>
              </w:rPr>
              <w:t>主要职责：</w:t>
            </w:r>
            <w:r>
              <w:rPr>
                <w:rFonts w:ascii="Times New Roman" w:hAnsi="Times New Roman"/>
              </w:rPr>
              <w:t>主要负责公司文件的控制，即文件的编制、收发、归档</w:t>
            </w:r>
            <w:r>
              <w:rPr>
                <w:rFonts w:hint="eastAsia" w:ascii="Times New Roman" w:hAnsi="Times New Roman"/>
                <w:lang w:eastAsia="zh-CN"/>
              </w:rPr>
              <w:t>、</w:t>
            </w:r>
            <w:r>
              <w:rPr>
                <w:rFonts w:hint="eastAsia" w:ascii="Times New Roman" w:hAnsi="Times New Roman"/>
                <w:lang w:val="en-US" w:eastAsia="zh-CN"/>
              </w:rPr>
              <w:t>产品质量、安全环保</w:t>
            </w:r>
            <w:r>
              <w:rPr>
                <w:rFonts w:ascii="Times New Roman" w:hAnsi="Times New Roman"/>
              </w:rPr>
              <w:t>等管理工作。负责公司人力资源及教育培训工作。负责组织内审和管理评审工作，对不</w:t>
            </w:r>
            <w:r>
              <w:rPr>
                <w:rFonts w:hint="eastAsia"/>
                <w:lang w:eastAsia="zh-CN"/>
              </w:rPr>
              <w:t>符合</w:t>
            </w:r>
            <w:r>
              <w:rPr>
                <w:rFonts w:ascii="Times New Roman" w:hAnsi="Times New Roman"/>
              </w:rPr>
              <w:t>采取纠正和预防措施；负责组织辨识和评价公司的环境因素、危险源，对办公区的环境因素、危险源进行控制管理方面的工作等。</w:t>
            </w:r>
          </w:p>
          <w:p>
            <w:pPr>
              <w:snapToGrid w:val="0"/>
              <w:spacing w:line="360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Cs w:val="21"/>
              </w:rPr>
              <w:t>部门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cs="新宋体"/>
                <w:szCs w:val="21"/>
              </w:rPr>
              <w:t>能基本阐述本部门的主要职责。</w:t>
            </w:r>
          </w:p>
        </w:tc>
        <w:tc>
          <w:tcPr>
            <w:tcW w:w="1121" w:type="dxa"/>
          </w:tcPr>
          <w:p>
            <w:pPr>
              <w:rPr>
                <w:rFonts w:hint="eastAsia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</w:trPr>
        <w:tc>
          <w:tcPr>
            <w:tcW w:w="1956" w:type="dxa"/>
          </w:tcPr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</w:rPr>
              <w:t>目标、指标管理方案</w:t>
            </w:r>
          </w:p>
          <w:p>
            <w:pPr>
              <w:rPr>
                <w:color w:val="000000" w:themeColor="text1"/>
              </w:rPr>
            </w:pPr>
          </w:p>
        </w:tc>
        <w:tc>
          <w:tcPr>
            <w:tcW w:w="1164" w:type="dxa"/>
          </w:tcPr>
          <w:p>
            <w:pPr>
              <w:autoSpaceDE w:val="0"/>
              <w:autoSpaceDN w:val="0"/>
              <w:spacing w:line="360" w:lineRule="auto"/>
              <w:ind w:firstLine="210" w:firstLineChars="100"/>
            </w:pPr>
          </w:p>
          <w:p>
            <w:pPr>
              <w:autoSpaceDE w:val="0"/>
              <w:autoSpaceDN w:val="0"/>
              <w:spacing w:line="360" w:lineRule="auto"/>
              <w:ind w:firstLine="210" w:firstLineChars="100"/>
            </w:pPr>
          </w:p>
          <w:p>
            <w:pPr>
              <w:autoSpaceDE w:val="0"/>
              <w:autoSpaceDN w:val="0"/>
              <w:spacing w:line="360" w:lineRule="auto"/>
              <w:ind w:firstLine="210" w:firstLineChars="100"/>
            </w:pPr>
          </w:p>
          <w:p>
            <w:pPr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QEO：6.2</w:t>
            </w:r>
          </w:p>
        </w:tc>
        <w:tc>
          <w:tcPr>
            <w:tcW w:w="10468" w:type="dxa"/>
          </w:tcPr>
          <w:p>
            <w:pPr>
              <w:autoSpaceDE w:val="0"/>
              <w:autoSpaceDN w:val="0"/>
              <w:spacing w:line="360" w:lineRule="auto"/>
              <w:ind w:firstLine="210" w:firstLineChars="100"/>
            </w:pPr>
            <w:r>
              <w:rPr>
                <w:rFonts w:hint="eastAsia"/>
              </w:rPr>
              <w:t>公司有将质量、环境、职业健康安全目标分解到各个部门，</w:t>
            </w:r>
          </w:p>
          <w:p>
            <w:pPr>
              <w:autoSpaceDE w:val="0"/>
              <w:autoSpaceDN w:val="0"/>
              <w:spacing w:line="360" w:lineRule="auto"/>
              <w:ind w:firstLine="210" w:firstLineChars="100"/>
            </w:pPr>
            <w:r>
              <w:rPr>
                <w:rFonts w:hint="eastAsia"/>
              </w:rPr>
              <w:t>行政部的目标及考核：</w:t>
            </w:r>
          </w:p>
          <w:p>
            <w:pPr>
              <w:autoSpaceDE w:val="0"/>
              <w:autoSpaceDN w:val="0"/>
              <w:spacing w:line="360" w:lineRule="auto"/>
              <w:ind w:firstLine="210" w:firstLineChars="100"/>
            </w:pPr>
            <w:r>
              <w:rPr>
                <w:rFonts w:hint="eastAsia"/>
              </w:rPr>
              <w:t>培训一次</w:t>
            </w:r>
            <w:r>
              <w:rPr>
                <w:rFonts w:hint="eastAsia"/>
                <w:lang w:eastAsia="zh-CN"/>
              </w:rPr>
              <w:t>符合</w:t>
            </w:r>
            <w:r>
              <w:rPr>
                <w:rFonts w:hint="eastAsia"/>
              </w:rPr>
              <w:t>率达95%以上；</w:t>
            </w:r>
          </w:p>
          <w:p>
            <w:pPr>
              <w:autoSpaceDE w:val="0"/>
              <w:autoSpaceDN w:val="0"/>
              <w:spacing w:line="360" w:lineRule="auto"/>
              <w:ind w:firstLine="210" w:firstLineChars="100"/>
            </w:pPr>
            <w:r>
              <w:rPr>
                <w:rFonts w:hint="eastAsia"/>
              </w:rPr>
              <w:t>固体废弃物分类处理100%；</w:t>
            </w:r>
          </w:p>
          <w:p>
            <w:pPr>
              <w:autoSpaceDE w:val="0"/>
              <w:autoSpaceDN w:val="0"/>
              <w:spacing w:line="360" w:lineRule="auto"/>
              <w:ind w:firstLine="210" w:firstLineChars="100"/>
            </w:pPr>
            <w:r>
              <w:rPr>
                <w:rFonts w:hint="eastAsia"/>
              </w:rPr>
              <w:t>火灾事故发生率为0；</w:t>
            </w:r>
          </w:p>
          <w:p>
            <w:pPr>
              <w:autoSpaceDE w:val="0"/>
              <w:autoSpaceDN w:val="0"/>
              <w:spacing w:line="360" w:lineRule="auto"/>
              <w:ind w:firstLine="210" w:firstLineChars="100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6月30日</w:t>
            </w:r>
            <w:r>
              <w:rPr>
                <w:rFonts w:hint="eastAsia"/>
              </w:rPr>
              <w:t>经检查考核能达标。</w:t>
            </w:r>
          </w:p>
        </w:tc>
        <w:tc>
          <w:tcPr>
            <w:tcW w:w="1121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环境因素/危险源的识别与评价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措施的策划</w:t>
            </w:r>
          </w:p>
        </w:tc>
        <w:tc>
          <w:tcPr>
            <w:tcW w:w="11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EO:6.1.2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6.1.4</w:t>
            </w:r>
          </w:p>
        </w:tc>
        <w:tc>
          <w:tcPr>
            <w:tcW w:w="10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提供了环境因素和危险源识别评价与控制程序。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提供“环境因素识别和评价表”，涉及行政部的环境因素有纸张使用能源消耗、办公场所吸烟污染环境、复印机打印机废墨盒处置污染环境、火灾发生后废弃物污染大气、水土等。考虑了生命周期观点。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提供“重要环境因素清单”，列有办公活动的潜在火灾为重要环境因素。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提供“危害辨识、风险评价、风险控制工作表”，识别了办公活动过程及相关方活动中的危险源，主要包括车辆伤害、火灾、中暑、其他伤害、机械伤害、其他伤害、起重伤害、物体打击等。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提供“不可接受风险清单”，评价出行政部重大危险源包括：火灾伤害。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策划了控制措施，制订了环境、职业健康安全管理方案。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  <w:t>经组织评价，组织策划的措施基本能够满足风险和机遇应对需要，能够与识别的风险和机遇对产品符合性的潜在影响相适应，基本满足标准要求。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合规义务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合规性评价</w:t>
            </w:r>
          </w:p>
        </w:tc>
        <w:tc>
          <w:tcPr>
            <w:tcW w:w="11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EO:6.1.3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104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了《适用的法律法规及其他要求一览表》，识别了企业相关环境和职业健康安全法律法规、标准和其他要求，如：中华人民共和国环境保护法、中华人民共和国环境噪声污染防治法、中华人民共和国大气污染防治法、中华人民共和国水污染防治法、中华人民共和国固体废物污染环境防治法、中华人民共和国节约能源法、中华人民共和国职业病防治法、中华人民共和国消防法、中华人民共和国食品安全法、中华人民共和国特种设备安全法、中华人民共和国劳动法、中华人民共和国妇女权益保障法、中华人民共和国安全生产法等。共计75余项，基本符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已识别法律法规及其它要求的适用条款，并与环境因素、危险源进行了对应。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公司通过培训、会议等方式向有关员工传达法律、法规及其它要求的相关要求。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提供了《合规性评价报告》，2022年1月26日对公司适用的法律法规及其他要求的遵守情况进行了评价，评价结论：公司没有违反国家法律、法规及相关标准，能严格遵守国家有关环境和职业健康安全管理方面的相关规定，密切关注法律法规的变化，并适时调整，严格按体系标准执行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ind w:firstLine="396" w:firstLineChars="200"/>
              <w:rPr>
                <w:rFonts w:hint="eastAsia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基本满足要求。</w:t>
            </w:r>
          </w:p>
        </w:tc>
        <w:tc>
          <w:tcPr>
            <w:tcW w:w="11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6" w:type="dxa"/>
          </w:tcPr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pStyle w:val="3"/>
              <w:rPr>
                <w:color w:val="000000" w:themeColor="text1"/>
                <w:szCs w:val="21"/>
              </w:rPr>
            </w:pPr>
          </w:p>
          <w:p>
            <w:pPr>
              <w:pStyle w:val="4"/>
              <w:rPr>
                <w:color w:val="000000" w:themeColor="text1"/>
                <w:szCs w:val="21"/>
              </w:rPr>
            </w:pPr>
          </w:p>
          <w:p>
            <w:pPr>
              <w:pStyle w:val="4"/>
              <w:rPr>
                <w:color w:val="000000" w:themeColor="text1"/>
                <w:szCs w:val="21"/>
              </w:rPr>
            </w:pPr>
          </w:p>
          <w:p>
            <w:pPr>
              <w:pStyle w:val="4"/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人员、能力、培训</w:t>
            </w:r>
          </w:p>
        </w:tc>
        <w:tc>
          <w:tcPr>
            <w:tcW w:w="1164" w:type="dxa"/>
          </w:tcPr>
          <w:p>
            <w:pPr>
              <w:pStyle w:val="18"/>
              <w:rPr>
                <w:bCs w:val="0"/>
                <w:color w:val="000000" w:themeColor="text1"/>
                <w:spacing w:val="0"/>
              </w:rPr>
            </w:pPr>
          </w:p>
          <w:p>
            <w:pPr>
              <w:pStyle w:val="18"/>
              <w:rPr>
                <w:bCs w:val="0"/>
                <w:color w:val="000000" w:themeColor="text1"/>
                <w:spacing w:val="0"/>
              </w:rPr>
            </w:pPr>
          </w:p>
          <w:p>
            <w:pPr>
              <w:pStyle w:val="18"/>
              <w:rPr>
                <w:bCs w:val="0"/>
                <w:color w:val="000000" w:themeColor="text1"/>
                <w:spacing w:val="0"/>
              </w:rPr>
            </w:pPr>
          </w:p>
          <w:p>
            <w:pPr>
              <w:pStyle w:val="18"/>
              <w:rPr>
                <w:bCs w:val="0"/>
                <w:color w:val="000000" w:themeColor="text1"/>
                <w:spacing w:val="0"/>
              </w:rPr>
            </w:pPr>
          </w:p>
          <w:p>
            <w:pPr>
              <w:pStyle w:val="18"/>
              <w:rPr>
                <w:bCs w:val="0"/>
                <w:color w:val="000000" w:themeColor="text1"/>
                <w:spacing w:val="0"/>
              </w:rPr>
            </w:pPr>
          </w:p>
          <w:p>
            <w:pPr>
              <w:pStyle w:val="18"/>
              <w:rPr>
                <w:bCs w:val="0"/>
                <w:color w:val="000000" w:themeColor="text1"/>
                <w:spacing w:val="0"/>
              </w:rPr>
            </w:pPr>
          </w:p>
          <w:p>
            <w:pPr>
              <w:pStyle w:val="18"/>
              <w:rPr>
                <w:bCs w:val="0"/>
                <w:color w:val="000000" w:themeColor="text1"/>
                <w:spacing w:val="0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Q：7.1.2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QEO：7.2，7.3</w:t>
            </w:r>
          </w:p>
          <w:p>
            <w:pPr>
              <w:pStyle w:val="18"/>
              <w:rPr>
                <w:bCs w:val="0"/>
                <w:color w:val="000000" w:themeColor="text1"/>
                <w:spacing w:val="0"/>
              </w:rPr>
            </w:pPr>
          </w:p>
        </w:tc>
        <w:tc>
          <w:tcPr>
            <w:tcW w:w="10468" w:type="dxa"/>
          </w:tcPr>
          <w:p>
            <w:pPr>
              <w:spacing w:line="360" w:lineRule="auto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提供《岗位职责和权限》，对各部门人员等工作能力权限与内容等作出了规定。</w:t>
            </w:r>
          </w:p>
          <w:p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提供</w:t>
            </w:r>
            <w:r>
              <w:rPr>
                <w:rFonts w:hint="eastAsia"/>
                <w:color w:val="000000" w:themeColor="text1"/>
              </w:rPr>
              <w:t>“202</w:t>
            </w:r>
            <w:r>
              <w:rPr>
                <w:rFonts w:hint="eastAsia"/>
                <w:color w:val="000000" w:themeColor="text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</w:rPr>
              <w:t>年度培训计划”，编制: 行政部，批准:liulantao，日期:202</w:t>
            </w:r>
            <w:r>
              <w:rPr>
                <w:rFonts w:hint="eastAsia"/>
                <w:color w:val="000000" w:themeColor="text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</w:rPr>
              <w:t>年2月25日。培训内容涉及：标准、体系文件、内审员、岗位技能、环境、安全管理目标及方案、相关法规等。</w:t>
            </w:r>
          </w:p>
          <w:p>
            <w:pPr>
              <w:spacing w:line="360" w:lineRule="auto"/>
              <w:ind w:firstLine="420" w:firstLineChars="200"/>
              <w:rPr>
                <w:rFonts w:hint="eastAsia" w:eastAsia="宋体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</w:rPr>
              <w:t>查到：1、《培训记录及培训效果评价表》，</w:t>
            </w:r>
            <w:r>
              <w:rPr>
                <w:rFonts w:hint="eastAsia"/>
                <w:color w:val="000000" w:themeColor="text1"/>
                <w:lang w:val="en-US" w:eastAsia="zh-CN"/>
              </w:rPr>
              <w:t>分别于</w:t>
            </w: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rFonts w:hint="eastAsia"/>
                <w:color w:val="000000" w:themeColor="text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</w:rPr>
              <w:t>.3.</w:t>
            </w:r>
            <w:r>
              <w:rPr>
                <w:rFonts w:hint="eastAsia"/>
                <w:color w:val="000000" w:themeColor="text1"/>
                <w:lang w:val="en-US" w:eastAsia="zh-CN"/>
              </w:rPr>
              <w:t>12</w:t>
            </w:r>
            <w:r>
              <w:rPr>
                <w:rFonts w:hint="eastAsia"/>
                <w:color w:val="000000" w:themeColor="text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rFonts w:hint="eastAsia"/>
                <w:color w:val="000000" w:themeColor="text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</w:rPr>
              <w:t>.3.1</w:t>
            </w:r>
            <w:r>
              <w:rPr>
                <w:rFonts w:hint="eastAsia"/>
                <w:color w:val="000000" w:themeColor="text1"/>
                <w:lang w:val="en-US" w:eastAsia="zh-CN"/>
              </w:rPr>
              <w:t>3、</w:t>
            </w: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rFonts w:hint="eastAsia"/>
                <w:color w:val="000000" w:themeColor="text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</w:rPr>
              <w:t>.</w:t>
            </w:r>
            <w:r>
              <w:rPr>
                <w:rFonts w:hint="eastAsia"/>
                <w:color w:val="000000" w:themeColor="text1"/>
                <w:lang w:val="en-US" w:eastAsia="zh-CN"/>
              </w:rPr>
              <w:t>3</w:t>
            </w:r>
            <w:r>
              <w:rPr>
                <w:rFonts w:hint="eastAsia"/>
                <w:color w:val="000000" w:themeColor="text1"/>
              </w:rPr>
              <w:t>.</w:t>
            </w:r>
            <w:r>
              <w:rPr>
                <w:rFonts w:hint="eastAsia"/>
                <w:color w:val="000000" w:themeColor="text1"/>
                <w:lang w:val="en-US" w:eastAsia="zh-CN"/>
              </w:rPr>
              <w:t>15、</w:t>
            </w: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rFonts w:hint="eastAsia"/>
                <w:color w:val="000000" w:themeColor="text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</w:rPr>
              <w:t>.</w:t>
            </w: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  <w:r>
              <w:rPr>
                <w:rFonts w:hint="eastAsia"/>
                <w:color w:val="000000" w:themeColor="text1"/>
              </w:rPr>
              <w:t>.</w:t>
            </w:r>
            <w:r>
              <w:rPr>
                <w:rFonts w:hint="eastAsia"/>
                <w:color w:val="000000" w:themeColor="text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  <w:lang w:val="en-US" w:eastAsia="zh-CN"/>
              </w:rPr>
              <w:t>完成了</w:t>
            </w:r>
            <w:r>
              <w:rPr>
                <w:rFonts w:hint="eastAsia"/>
                <w:color w:val="000000" w:themeColor="text1"/>
              </w:rPr>
              <w:t>标准</w:t>
            </w:r>
            <w:r>
              <w:rPr>
                <w:rFonts w:hint="eastAsia"/>
                <w:color w:val="000000" w:themeColor="text1"/>
                <w:lang w:val="en-US" w:eastAsia="zh-CN"/>
              </w:rPr>
              <w:t>培训</w:t>
            </w:r>
            <w:r>
              <w:rPr>
                <w:rFonts w:hint="eastAsia"/>
                <w:color w:val="000000" w:themeColor="text1"/>
              </w:rPr>
              <w:t>、管理手册、程序文件培训</w:t>
            </w:r>
            <w:r>
              <w:rPr>
                <w:rFonts w:hint="eastAsia"/>
                <w:color w:val="000000" w:themeColor="text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</w:rPr>
              <w:t>环境安全法律法规培训</w:t>
            </w:r>
            <w:r>
              <w:rPr>
                <w:rFonts w:hint="eastAsia"/>
                <w:color w:val="000000" w:themeColor="text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</w:rPr>
              <w:t>岗位技能培训</w:t>
            </w:r>
            <w:r>
              <w:rPr>
                <w:rFonts w:hint="eastAsia"/>
                <w:color w:val="000000" w:themeColor="text1"/>
                <w:lang w:val="en-US" w:eastAsia="zh-CN"/>
              </w:rPr>
              <w:t>等培训</w:t>
            </w:r>
            <w:r>
              <w:rPr>
                <w:rFonts w:hint="eastAsia"/>
                <w:color w:val="000000" w:themeColor="text1"/>
                <w:lang w:eastAsia="zh-CN"/>
              </w:rPr>
              <w:t>。</w:t>
            </w:r>
          </w:p>
          <w:p>
            <w:pPr>
              <w:spacing w:line="360" w:lineRule="auto"/>
              <w:ind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过培训、面谈等沟通方式，提高了员工的素质，增强了主人翁的责任感，使员工认识到了自身贡献的重要性。员工对公司的方针及部门目标基本了解，并且能够意识到自己岗位对整个流程的重要性和偏离的后果。</w:t>
            </w:r>
          </w:p>
          <w:p>
            <w:pPr>
              <w:autoSpaceDE w:val="0"/>
              <w:autoSpaceDN w:val="0"/>
              <w:spacing w:line="360" w:lineRule="auto"/>
              <w:ind w:firstLine="420" w:firstLineChars="2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查无特种作业人员。</w:t>
            </w:r>
          </w:p>
          <w:p>
            <w:pPr>
              <w:pStyle w:val="7"/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color w:val="000000" w:themeColor="text1"/>
                <w:lang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</w:rPr>
              <w:t>企业已对人力资源的管理、控制进行了策划，并已实施控制</w:t>
            </w:r>
            <w:r>
              <w:rPr>
                <w:rFonts w:hint="eastAsia" w:ascii="Times New Roman" w:hAnsi="Times New Roman"/>
                <w:color w:val="000000" w:themeColor="text1"/>
                <w:lang w:eastAsia="zh-CN"/>
              </w:rPr>
              <w:t>。</w:t>
            </w:r>
          </w:p>
          <w:p>
            <w:pPr>
              <w:pStyle w:val="7"/>
              <w:widowControl/>
              <w:spacing w:line="360" w:lineRule="auto"/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21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</w:trPr>
        <w:tc>
          <w:tcPr>
            <w:tcW w:w="1956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ind w:firstLine="210" w:firstLineChars="100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组织的知识</w:t>
            </w:r>
          </w:p>
        </w:tc>
        <w:tc>
          <w:tcPr>
            <w:tcW w:w="1164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Q：7.1.6</w:t>
            </w:r>
          </w:p>
        </w:tc>
        <w:tc>
          <w:tcPr>
            <w:tcW w:w="10468" w:type="dxa"/>
          </w:tcPr>
          <w:p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企业确定运行过程所需要的知识，包括专业知识、外部知识。提供了《组织知识清单》，有获取方法、更新方式、责任目标等。</w:t>
            </w:r>
          </w:p>
          <w:p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经组织识别，组织内外部知识包括：外部知识、专业知识、管理经验、教训，不断发现问题、解决问题，通过会议，文件传达或制定有关作业指导书并进行培训。</w:t>
            </w:r>
          </w:p>
          <w:p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现场看到组织各部门层次基本有相应的管理制度、岗位职责、工作要求等组织内部知识。此外还通过文件发放、会议传达、专题培训等方式进行内部知识的获得、交流和更新等。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</w:pPr>
            <w:r>
              <w:rPr>
                <w:rFonts w:hint="eastAsia"/>
              </w:rPr>
              <w:t>行政部负责整理收集组织相关的知识，定期更新。</w:t>
            </w:r>
          </w:p>
        </w:tc>
        <w:tc>
          <w:tcPr>
            <w:tcW w:w="1121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6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意识</w:t>
            </w:r>
          </w:p>
        </w:tc>
        <w:tc>
          <w:tcPr>
            <w:tcW w:w="1164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QES7.3</w:t>
            </w:r>
          </w:p>
        </w:tc>
        <w:tc>
          <w:tcPr>
            <w:tcW w:w="104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主要通过培训提高岗位作业水平及质量和环境、安全意识，明确各岗位要求，自身工作对环境、安全目标的影响，以及如何通过培训和互相交流提高环境绩效，不符合质量管理体系要求的后果等。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询问行政部人员，清楚与其相关的重要环境因素及职业健康安全风险。</w:t>
            </w:r>
          </w:p>
        </w:tc>
        <w:tc>
          <w:tcPr>
            <w:tcW w:w="1121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56" w:type="dxa"/>
          </w:tcPr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</w:pPr>
          </w:p>
          <w:p>
            <w:pPr>
              <w:pStyle w:val="3"/>
              <w:ind w:firstLine="420" w:firstLineChars="200"/>
              <w:rPr>
                <w:rFonts w:ascii="宋体" w:hAnsi="宋体" w:cs="宋体"/>
                <w:b w:val="0"/>
                <w:bCs w:val="0"/>
                <w:sz w:val="21"/>
                <w:szCs w:val="21"/>
                <w:lang w:bidi="ar"/>
              </w:rPr>
            </w:pPr>
          </w:p>
          <w:p>
            <w:pPr>
              <w:pStyle w:val="4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4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4"/>
              <w:ind w:left="0" w:leftChars="0" w:firstLine="0" w:firstLineChars="0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3"/>
              <w:ind w:firstLine="420" w:firstLineChars="200"/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bidi="ar"/>
              </w:rPr>
              <w:t>成文信息</w:t>
            </w:r>
          </w:p>
        </w:tc>
        <w:tc>
          <w:tcPr>
            <w:tcW w:w="1164" w:type="dxa"/>
          </w:tcPr>
          <w:p>
            <w:pPr>
              <w:tabs>
                <w:tab w:val="center" w:pos="3169"/>
              </w:tabs>
              <w:spacing w:line="400" w:lineRule="exact"/>
              <w:jc w:val="left"/>
            </w:pPr>
          </w:p>
          <w:p>
            <w:pPr>
              <w:pStyle w:val="3"/>
            </w:pPr>
          </w:p>
          <w:p>
            <w:pPr>
              <w:pStyle w:val="4"/>
            </w:pPr>
          </w:p>
          <w:p>
            <w:pPr>
              <w:pStyle w:val="4"/>
              <w:ind w:left="0" w:leftChars="0" w:firstLine="0" w:firstLineChars="0"/>
            </w:pP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 xml:space="preserve">QEO：7.5 </w:t>
            </w:r>
          </w:p>
          <w:p>
            <w:pPr>
              <w:pStyle w:val="4"/>
              <w:ind w:left="0"/>
            </w:pPr>
          </w:p>
        </w:tc>
        <w:tc>
          <w:tcPr>
            <w:tcW w:w="10468" w:type="dxa"/>
          </w:tcPr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asciiTheme="minorEastAsia" w:hAnsiTheme="minorEastAsia" w:eastAsiaTheme="minorEastAsia"/>
                <w:color w:val="000000" w:themeColor="text1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</w:rPr>
              <w:t>编制了《文件控制程序》、《记录控制程序》，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lang w:val="en-US" w:eastAsia="zh-CN"/>
              </w:rPr>
              <w:t>由于扩大了认证范围，对管理手册和程序文件做了修改，版本号由A1改A2版，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</w:rPr>
              <w:t>体系文件生效实施日期为20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</w:rPr>
              <w:t>日，文件规定了质量、环境和安全职业健康文件的编制、审批、评审、编号、回收、发放、更改、换版、作废等的管理和控制。</w:t>
            </w:r>
          </w:p>
          <w:p>
            <w:pPr>
              <w:tabs>
                <w:tab w:val="center" w:pos="3169"/>
              </w:tabs>
              <w:spacing w:line="400" w:lineRule="exact"/>
              <w:ind w:firstLine="210" w:firstLineChars="100"/>
              <w:jc w:val="left"/>
              <w:rPr>
                <w:rFonts w:asciiTheme="minorEastAsia" w:hAnsiTheme="minorEastAsia" w:eastAsiaTheme="minorEastAsia"/>
                <w:color w:val="000000" w:themeColor="text1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</w:rPr>
              <w:t>查《受控文件清单 》，包括管理手册、程序文件及公司制定的管理制度等作业文件。</w:t>
            </w:r>
          </w:p>
          <w:p>
            <w:pPr>
              <w:tabs>
                <w:tab w:val="center" w:pos="3169"/>
              </w:tabs>
              <w:spacing w:line="400" w:lineRule="exact"/>
              <w:ind w:firstLine="210" w:firstLineChars="100"/>
              <w:jc w:val="left"/>
              <w:rPr>
                <w:rFonts w:asciiTheme="minorEastAsia" w:hAnsiTheme="minorEastAsia" w:eastAsiaTheme="minorEastAsia"/>
                <w:color w:val="000000" w:themeColor="text1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</w:rPr>
              <w:t>查：《文件、发放回收记录》，抽查文件发放情况，有收文、发文的确认签字，符合文件发放规定。</w:t>
            </w:r>
          </w:p>
          <w:p>
            <w:pPr>
              <w:tabs>
                <w:tab w:val="center" w:pos="3169"/>
              </w:tabs>
              <w:spacing w:line="400" w:lineRule="exact"/>
              <w:ind w:firstLine="210" w:firstLineChars="100"/>
              <w:jc w:val="left"/>
              <w:rPr>
                <w:rFonts w:asciiTheme="minorEastAsia" w:hAnsiTheme="minorEastAsia" w:eastAsiaTheme="minorEastAsia"/>
                <w:color w:val="000000" w:themeColor="text1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</w:rPr>
              <w:t>查：《质量管理体系认证范围内涉及产品/服务的标准清单》、《法律法规及其他要求清单》，内容有国家和地方与质量、环境和职业健康安全管理体系相关适用法律法规等。</w:t>
            </w:r>
          </w:p>
          <w:p>
            <w:pPr>
              <w:tabs>
                <w:tab w:val="center" w:pos="3169"/>
              </w:tabs>
              <w:spacing w:line="400" w:lineRule="exact"/>
              <w:ind w:firstLine="210" w:firstLineChars="100"/>
              <w:jc w:val="left"/>
              <w:rPr>
                <w:rFonts w:asciiTheme="minorEastAsia" w:hAnsiTheme="minorEastAsia" w:eastAsiaTheme="minorEastAsia"/>
                <w:color w:val="000000" w:themeColor="text1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</w:rPr>
              <w:t>文件资料基本满足岗位工作需要，并为现行有效版本。</w:t>
            </w:r>
          </w:p>
        </w:tc>
        <w:tc>
          <w:tcPr>
            <w:tcW w:w="1121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56" w:type="dxa"/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1"/>
              </w:rPr>
              <w:t>内部审核</w:t>
            </w:r>
          </w:p>
        </w:tc>
        <w:tc>
          <w:tcPr>
            <w:tcW w:w="1164" w:type="dxa"/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</w:rPr>
              <w:t>QEO：</w:t>
            </w:r>
            <w:r>
              <w:rPr>
                <w:rFonts w:hint="eastAsia"/>
                <w:color w:val="000000" w:themeColor="text1"/>
                <w:szCs w:val="21"/>
              </w:rPr>
              <w:t>9.2</w:t>
            </w: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Cs w:val="24"/>
              </w:rPr>
            </w:pPr>
          </w:p>
        </w:tc>
        <w:tc>
          <w:tcPr>
            <w:tcW w:w="10468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color w:val="000000" w:themeColor="text1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</w:rPr>
              <w:t>公司制定《内部审核控制程序》，对内部审核方案策划规定：内审每年进行一次，按部门/过程审核。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color w:val="000000" w:themeColor="text1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</w:rPr>
              <w:t>管代介绍内审的安排和做法，与程序文件“内部审核控制程序”相符。</w:t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/>
                <w:color w:val="000000" w:themeColor="text1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</w:rPr>
              <w:t>查最近一次内审记录：202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</w:rPr>
              <w:t>.6.20-6.21进行，内审员:窦广录、朱玉芳，经过培训，并经总经理任命。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</w:rPr>
              <w:t xml:space="preserve">    查内审计划，涉及了所有部门及相关过程。计划编制合理，无漏条款现象。</w:t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/>
                <w:color w:val="000000" w:themeColor="text1"/>
                <w:kern w:val="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</w:rPr>
              <w:t>查审核记录，符合计划安排。审核内容基本符合规定。</w:t>
            </w:r>
          </w:p>
        </w:tc>
        <w:tc>
          <w:tcPr>
            <w:tcW w:w="1121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95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符合</w:t>
            </w:r>
            <w:r>
              <w:rPr>
                <w:rFonts w:hint="eastAsia" w:ascii="宋体" w:hAnsi="宋体" w:cs="宋体"/>
                <w:szCs w:val="21"/>
              </w:rPr>
              <w:t>和纠正措施</w:t>
            </w:r>
          </w:p>
        </w:tc>
        <w:tc>
          <w:tcPr>
            <w:tcW w:w="11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Ansi="宋体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QEO：10.2</w:t>
            </w:r>
          </w:p>
          <w:p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</w:p>
        </w:tc>
        <w:tc>
          <w:tcPr>
            <w:tcW w:w="10468" w:type="dxa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实施《纠正措施和预防措施控制程序》、《事件调查、事故处置、不符合控制程序》，对纠正预防措施识别、评审、验证，事故事件报告、调查、处理等作了规定，其内容符合组织实际及标准要求。 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查纠正措施实施情况：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对内审中提出不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符合</w:t>
            </w:r>
            <w:r>
              <w:rPr>
                <w:rFonts w:hint="eastAsia" w:ascii="宋体" w:hAnsi="宋体" w:cs="宋体"/>
                <w:szCs w:val="21"/>
              </w:rPr>
              <w:t>项进行了原因分析,并制定、实施了纠正措施，并由内审员对所采取的纠正措施进行了验证，纠正措施有效，管理评审中发现的薄弱环节，分析了原因，采取了纠正措施。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体系运行以来公司按照体系的要求，通过运行控制、加强培训，以及开展管理评审活动等方式采取预防措施，防止不符合/不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符合</w:t>
            </w:r>
            <w:r>
              <w:rPr>
                <w:rFonts w:hint="eastAsia" w:ascii="宋体" w:hAnsi="宋体" w:cs="宋体"/>
                <w:szCs w:val="21"/>
              </w:rPr>
              <w:t>的发生，不符合得到了有效控制，人员质量、环保、安全意识有了明显提高，没有发现潜在的不符合，没有发生重大质量事故和投诉处罚，没有发生环境、职业健康安全事件和投诉处罚。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企业纠正和预防措施的管理符合标准规定要求。</w:t>
            </w:r>
          </w:p>
        </w:tc>
        <w:tc>
          <w:tcPr>
            <w:tcW w:w="1121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  <w:u w:val="none"/>
              </w:rPr>
              <w:t>运行策划和控制</w:t>
            </w:r>
          </w:p>
        </w:tc>
        <w:tc>
          <w:tcPr>
            <w:tcW w:w="11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  <w:u w:val="none"/>
                <w:lang w:val="en-US" w:eastAsia="zh-CN"/>
              </w:rPr>
              <w:t>EO: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  <w:u w:val="none"/>
              </w:rPr>
              <w:t>8.1</w:t>
            </w:r>
          </w:p>
        </w:tc>
        <w:tc>
          <w:tcPr>
            <w:tcW w:w="10468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公司策划了环境安全管理相关程序文件和管理制度：运行控制程序、废弃物控制程序、噪声控制程序、消防控制程序、资源能源控制程序、应急准备和响应控制程序等；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远程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观察：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办公面积大约100多平方米，工作场所布局合理，座椅和办公桌符合人体工程学要求，员工有自我防护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意识，工间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能适当走动、休息；各工作人员坐姿正确，避免过度疲劳；电脑显示器调整到保护视力的颜色；配置有适量的绿植，办公环境光照、温度适宜，通风良好，办公场所物品摆放整齐、有序，未见随意乱放私人物品的情况；满足办公需求；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电路、电源正常，电路布线合理、电气插座完整，未见破损，无乱拉乱接电线、使用超额电气等现象；未见用电不当等安全隐患及不良影响现象。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查见配置有灭火器，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微型消防站，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状态良好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消防通道、应急指示良好，监控摄像头运行正常；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查见2022年1月至2022年6月消防设施检查记录，维护人：王文清，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节约用水用电、纸张双面使用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；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生活废水经市政管网排放；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办公环境安静，无明显噪声和废气；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办公垃圾由环卫部门收集处理；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办公用墨盒硒鼓等危废以旧换新；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对部门员工进行了不定期的交通安全宣传；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查见“相关方告知书”，有效文件，对供方进行了环境和职业健康安全有关事项的沟通。</w:t>
            </w:r>
          </w:p>
        </w:tc>
        <w:tc>
          <w:tcPr>
            <w:tcW w:w="11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sz w:val="21"/>
                <w:szCs w:val="21"/>
                <w:u w:val="none"/>
                <w:lang w:eastAsia="zh-CN"/>
              </w:rPr>
              <w:t>应急准备和响应</w:t>
            </w:r>
          </w:p>
        </w:tc>
        <w:tc>
          <w:tcPr>
            <w:tcW w:w="11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  <w:u w:val="none"/>
                <w:lang w:val="en-US" w:eastAsia="zh-CN"/>
              </w:rPr>
              <w:t>EO: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  <w:u w:val="none"/>
              </w:rPr>
              <w:t>8.</w:t>
            </w:r>
            <w:r>
              <w:rPr>
                <w:rFonts w:hint="eastAsia" w:ascii="Times New Roman" w:hAnsi="Times New Roman" w:cs="Times New Roman"/>
                <w:color w:val="auto"/>
                <w:spacing w:val="-6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046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、查策划有《应急准备与响应控制程序》，编制有《</w:t>
            </w:r>
            <w:bookmarkStart w:id="0" w:name="组织名称"/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欧森(天津)科技有限公司</w:t>
            </w:r>
            <w:bookmarkEnd w:id="0"/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生产安全事故应急预案》，内有火灾事故、触电事故等现场应急处置措施。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提供有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22年5月3日“消防演练记录”。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演练时间：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22年5月3日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0：1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；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演练组织部门：办公室；参加部门：生产、采购、销售、质量控制等。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演练效果评价记录：通过演练，证明预案基本适宜，全体人员对预案的要求有了比较适宜的操作方法，可以有效履行预案的要求，对伤害事故起到良好的控制作用。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对火灾爆炸应急预案的适用性、可操作性进行评审；符合要求。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zh-CN" w:eastAsia="zh-CN"/>
              </w:rPr>
              <w:t>现场查看，办公区域配置了灭火器，在有效期内。</w:t>
            </w:r>
          </w:p>
        </w:tc>
        <w:tc>
          <w:tcPr>
            <w:tcW w:w="11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6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监视、测量、分析和评价总则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分析与评价</w:t>
            </w:r>
          </w:p>
        </w:tc>
        <w:tc>
          <w:tcPr>
            <w:tcW w:w="1164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QEO:9.1.1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Q:9.1.3</w:t>
            </w:r>
          </w:p>
        </w:tc>
        <w:tc>
          <w:tcPr>
            <w:tcW w:w="10468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公司保持有“监视和测量控制程序”，有效文件，无变化。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保留“目标分解考核表”，对目标完成情况进行绩效考核；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查见“环境安全运行检查记录”，每月对设备维护、固废、能源消耗等进行了检查，均正常；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查见“消防器材台账及检查记录”，抽见202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1-6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，对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车间和办公区的灭火器和消防栓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等进行了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季度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检查，结果均正常；检查人签字；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未有上级主管部门的监督检查。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公司经营能遵守相关的法律法规，没有违反环境、职业健康安全法律法规现象，近期没有发生环境与职业健康安全的事故。</w:t>
            </w:r>
          </w:p>
        </w:tc>
        <w:tc>
          <w:tcPr>
            <w:tcW w:w="11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符合</w:t>
            </w:r>
          </w:p>
        </w:tc>
      </w:tr>
    </w:tbl>
    <w:p>
      <w:pPr>
        <w:rPr>
          <w:rFonts w:ascii="宋体" w:hAnsi="宋体" w:cs="宋体"/>
        </w:rPr>
      </w:pPr>
    </w:p>
    <w:p>
      <w:pPr>
        <w:pStyle w:val="10"/>
      </w:pPr>
      <w:r>
        <w:rPr>
          <w:rFonts w:hint="eastAsia" w:ascii="宋体" w:hAnsi="宋体" w:cs="宋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1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2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4" o:spid="_x0000_s3074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22"/>
        <w:rFonts w:hint="default"/>
      </w:rPr>
      <w:t>北京国标联合认证有限公司</w:t>
    </w:r>
    <w:r>
      <w:rPr>
        <w:rStyle w:val="22"/>
        <w:rFonts w:hint="default"/>
      </w:rPr>
      <w:tab/>
    </w:r>
    <w:r>
      <w:rPr>
        <w:rStyle w:val="22"/>
        <w:rFonts w:hint="default"/>
      </w:rPr>
      <w:tab/>
    </w:r>
    <w:r>
      <w:rPr>
        <w:rStyle w:val="22"/>
        <w:rFonts w:hint="default"/>
      </w:rPr>
      <w:tab/>
    </w:r>
  </w:p>
  <w:p>
    <w:pPr>
      <w:pStyle w:val="11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22"/>
        <w:rFonts w:hint="default"/>
        <w:w w:val="90"/>
      </w:rPr>
      <w:t>Beijing International Standard united Certification Co.,Ltd.</w:t>
    </w:r>
  </w:p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none"/>
      <w:pStyle w:val="23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9973B4"/>
    <w:rsid w:val="00000FF7"/>
    <w:rsid w:val="000237F6"/>
    <w:rsid w:val="00023B43"/>
    <w:rsid w:val="0003373A"/>
    <w:rsid w:val="00044DAF"/>
    <w:rsid w:val="000459C0"/>
    <w:rsid w:val="00066D35"/>
    <w:rsid w:val="000956BC"/>
    <w:rsid w:val="000B6E9D"/>
    <w:rsid w:val="000F6865"/>
    <w:rsid w:val="001116D4"/>
    <w:rsid w:val="0012389C"/>
    <w:rsid w:val="00153A43"/>
    <w:rsid w:val="001A2D7F"/>
    <w:rsid w:val="001B7E9F"/>
    <w:rsid w:val="002118D6"/>
    <w:rsid w:val="00216381"/>
    <w:rsid w:val="00234E37"/>
    <w:rsid w:val="00254A7A"/>
    <w:rsid w:val="00281B96"/>
    <w:rsid w:val="002E3621"/>
    <w:rsid w:val="00337922"/>
    <w:rsid w:val="00340867"/>
    <w:rsid w:val="00380837"/>
    <w:rsid w:val="003A198A"/>
    <w:rsid w:val="003D70BA"/>
    <w:rsid w:val="00401F2F"/>
    <w:rsid w:val="00410914"/>
    <w:rsid w:val="0041643D"/>
    <w:rsid w:val="00433121"/>
    <w:rsid w:val="0047492E"/>
    <w:rsid w:val="004A4F33"/>
    <w:rsid w:val="00536930"/>
    <w:rsid w:val="00564E53"/>
    <w:rsid w:val="0056768F"/>
    <w:rsid w:val="005879D0"/>
    <w:rsid w:val="005C02C4"/>
    <w:rsid w:val="005C3A64"/>
    <w:rsid w:val="0060570F"/>
    <w:rsid w:val="00622820"/>
    <w:rsid w:val="00627713"/>
    <w:rsid w:val="0062773A"/>
    <w:rsid w:val="00644FE2"/>
    <w:rsid w:val="00647A10"/>
    <w:rsid w:val="0067640C"/>
    <w:rsid w:val="006915E5"/>
    <w:rsid w:val="006E678B"/>
    <w:rsid w:val="007127F7"/>
    <w:rsid w:val="00745EE4"/>
    <w:rsid w:val="00774C81"/>
    <w:rsid w:val="007757F3"/>
    <w:rsid w:val="0078006A"/>
    <w:rsid w:val="007803B7"/>
    <w:rsid w:val="00782094"/>
    <w:rsid w:val="007E6AEB"/>
    <w:rsid w:val="00852843"/>
    <w:rsid w:val="00866CA1"/>
    <w:rsid w:val="008737F4"/>
    <w:rsid w:val="00874FDD"/>
    <w:rsid w:val="00882229"/>
    <w:rsid w:val="00891F6C"/>
    <w:rsid w:val="008973EE"/>
    <w:rsid w:val="008C195C"/>
    <w:rsid w:val="008E0572"/>
    <w:rsid w:val="008E5768"/>
    <w:rsid w:val="0095298C"/>
    <w:rsid w:val="00971600"/>
    <w:rsid w:val="00986EEB"/>
    <w:rsid w:val="009973B4"/>
    <w:rsid w:val="009C28C1"/>
    <w:rsid w:val="009F7EED"/>
    <w:rsid w:val="00A1293D"/>
    <w:rsid w:val="00A4164D"/>
    <w:rsid w:val="00A6538E"/>
    <w:rsid w:val="00AA1825"/>
    <w:rsid w:val="00AF0AAB"/>
    <w:rsid w:val="00B224B7"/>
    <w:rsid w:val="00B73854"/>
    <w:rsid w:val="00BB196F"/>
    <w:rsid w:val="00BF58BC"/>
    <w:rsid w:val="00BF597E"/>
    <w:rsid w:val="00C16844"/>
    <w:rsid w:val="00C17DDB"/>
    <w:rsid w:val="00C51A36"/>
    <w:rsid w:val="00C55228"/>
    <w:rsid w:val="00C94F43"/>
    <w:rsid w:val="00C96CCE"/>
    <w:rsid w:val="00CA6ED4"/>
    <w:rsid w:val="00CB7E78"/>
    <w:rsid w:val="00CC1B87"/>
    <w:rsid w:val="00CD1E02"/>
    <w:rsid w:val="00CE315A"/>
    <w:rsid w:val="00CF0F23"/>
    <w:rsid w:val="00CF31C6"/>
    <w:rsid w:val="00CF762E"/>
    <w:rsid w:val="00D06F59"/>
    <w:rsid w:val="00D752D3"/>
    <w:rsid w:val="00D8388C"/>
    <w:rsid w:val="00D96161"/>
    <w:rsid w:val="00DC320B"/>
    <w:rsid w:val="00DE7C36"/>
    <w:rsid w:val="00E100BE"/>
    <w:rsid w:val="00E237BE"/>
    <w:rsid w:val="00E314B5"/>
    <w:rsid w:val="00E3334E"/>
    <w:rsid w:val="00E45728"/>
    <w:rsid w:val="00E52EAD"/>
    <w:rsid w:val="00E57D9B"/>
    <w:rsid w:val="00E84212"/>
    <w:rsid w:val="00EB0164"/>
    <w:rsid w:val="00ED0F62"/>
    <w:rsid w:val="00ED60A1"/>
    <w:rsid w:val="00F11FB9"/>
    <w:rsid w:val="00F65A06"/>
    <w:rsid w:val="00F925D6"/>
    <w:rsid w:val="00FB21AD"/>
    <w:rsid w:val="00FB3CEC"/>
    <w:rsid w:val="00FC439D"/>
    <w:rsid w:val="00FD49E3"/>
    <w:rsid w:val="00FD4D08"/>
    <w:rsid w:val="00FE38E2"/>
    <w:rsid w:val="01237055"/>
    <w:rsid w:val="014321E6"/>
    <w:rsid w:val="02602D37"/>
    <w:rsid w:val="02A361C3"/>
    <w:rsid w:val="02EC0344"/>
    <w:rsid w:val="031C06B3"/>
    <w:rsid w:val="036A70FE"/>
    <w:rsid w:val="03F04342"/>
    <w:rsid w:val="043A2F29"/>
    <w:rsid w:val="055A79E5"/>
    <w:rsid w:val="06B657DF"/>
    <w:rsid w:val="06D549D6"/>
    <w:rsid w:val="06EA2337"/>
    <w:rsid w:val="06FF764D"/>
    <w:rsid w:val="07074179"/>
    <w:rsid w:val="072106AC"/>
    <w:rsid w:val="07F82E75"/>
    <w:rsid w:val="08037204"/>
    <w:rsid w:val="08713D93"/>
    <w:rsid w:val="088E4159"/>
    <w:rsid w:val="08FC0128"/>
    <w:rsid w:val="090D6A35"/>
    <w:rsid w:val="094249D9"/>
    <w:rsid w:val="0A4E083A"/>
    <w:rsid w:val="0A527FAF"/>
    <w:rsid w:val="0A8A1863"/>
    <w:rsid w:val="0A991BFD"/>
    <w:rsid w:val="0ACC5B2B"/>
    <w:rsid w:val="0B522200"/>
    <w:rsid w:val="0B53515A"/>
    <w:rsid w:val="0C0A0CD1"/>
    <w:rsid w:val="0D457309"/>
    <w:rsid w:val="0D7B30E8"/>
    <w:rsid w:val="0D985F2F"/>
    <w:rsid w:val="0DBE1270"/>
    <w:rsid w:val="0DC26A87"/>
    <w:rsid w:val="0E4201EE"/>
    <w:rsid w:val="0E9D1693"/>
    <w:rsid w:val="0EB50B3B"/>
    <w:rsid w:val="0EF04609"/>
    <w:rsid w:val="0F477E75"/>
    <w:rsid w:val="0F635936"/>
    <w:rsid w:val="0FE43FBC"/>
    <w:rsid w:val="0FEF77FA"/>
    <w:rsid w:val="107550D5"/>
    <w:rsid w:val="108219C2"/>
    <w:rsid w:val="10883E8A"/>
    <w:rsid w:val="110B0911"/>
    <w:rsid w:val="11225C23"/>
    <w:rsid w:val="113D55B8"/>
    <w:rsid w:val="11C66B5E"/>
    <w:rsid w:val="11D3152F"/>
    <w:rsid w:val="11D41D45"/>
    <w:rsid w:val="120E53B5"/>
    <w:rsid w:val="123034E8"/>
    <w:rsid w:val="125E29DC"/>
    <w:rsid w:val="127575BD"/>
    <w:rsid w:val="12780633"/>
    <w:rsid w:val="130B599F"/>
    <w:rsid w:val="142C5ADC"/>
    <w:rsid w:val="143D632D"/>
    <w:rsid w:val="143D7BB1"/>
    <w:rsid w:val="14890295"/>
    <w:rsid w:val="153717A5"/>
    <w:rsid w:val="156D05A1"/>
    <w:rsid w:val="15774AEE"/>
    <w:rsid w:val="157D5558"/>
    <w:rsid w:val="15B23614"/>
    <w:rsid w:val="15D30DE7"/>
    <w:rsid w:val="16440ED9"/>
    <w:rsid w:val="16543128"/>
    <w:rsid w:val="16BF44C4"/>
    <w:rsid w:val="16F7510A"/>
    <w:rsid w:val="17924A21"/>
    <w:rsid w:val="17A67230"/>
    <w:rsid w:val="17BE048E"/>
    <w:rsid w:val="18327362"/>
    <w:rsid w:val="18D3715E"/>
    <w:rsid w:val="197C75B5"/>
    <w:rsid w:val="1A57282B"/>
    <w:rsid w:val="1AA210F7"/>
    <w:rsid w:val="1AC67B71"/>
    <w:rsid w:val="1B0065D0"/>
    <w:rsid w:val="1B087E14"/>
    <w:rsid w:val="1BAA2FBD"/>
    <w:rsid w:val="1CAD5010"/>
    <w:rsid w:val="1D1242D7"/>
    <w:rsid w:val="1D86717A"/>
    <w:rsid w:val="1DC36807"/>
    <w:rsid w:val="1E350D4D"/>
    <w:rsid w:val="1E54581A"/>
    <w:rsid w:val="1E6E174C"/>
    <w:rsid w:val="1ED45FD8"/>
    <w:rsid w:val="200E4909"/>
    <w:rsid w:val="202C6533"/>
    <w:rsid w:val="20444302"/>
    <w:rsid w:val="20961A16"/>
    <w:rsid w:val="21122D5D"/>
    <w:rsid w:val="221C084C"/>
    <w:rsid w:val="227257C1"/>
    <w:rsid w:val="22B709AE"/>
    <w:rsid w:val="22D7582D"/>
    <w:rsid w:val="23235F87"/>
    <w:rsid w:val="23732F32"/>
    <w:rsid w:val="24BD65A1"/>
    <w:rsid w:val="255D6D75"/>
    <w:rsid w:val="25C71E86"/>
    <w:rsid w:val="25D826BB"/>
    <w:rsid w:val="261D2BC4"/>
    <w:rsid w:val="263E019F"/>
    <w:rsid w:val="26BB47F8"/>
    <w:rsid w:val="26F45C8F"/>
    <w:rsid w:val="27571BB0"/>
    <w:rsid w:val="275D5156"/>
    <w:rsid w:val="282355F9"/>
    <w:rsid w:val="28C8582D"/>
    <w:rsid w:val="28DF2BCF"/>
    <w:rsid w:val="291202D2"/>
    <w:rsid w:val="299C23FC"/>
    <w:rsid w:val="29AA0642"/>
    <w:rsid w:val="29AF13DF"/>
    <w:rsid w:val="29F80E54"/>
    <w:rsid w:val="2B3D669F"/>
    <w:rsid w:val="2B612389"/>
    <w:rsid w:val="2C04664A"/>
    <w:rsid w:val="2C917839"/>
    <w:rsid w:val="2CAE49F5"/>
    <w:rsid w:val="2CD45FEF"/>
    <w:rsid w:val="2D297257"/>
    <w:rsid w:val="2D8E612A"/>
    <w:rsid w:val="2DCF4236"/>
    <w:rsid w:val="2DF31F93"/>
    <w:rsid w:val="2E057899"/>
    <w:rsid w:val="2E620A04"/>
    <w:rsid w:val="2E9176CC"/>
    <w:rsid w:val="2EA7415A"/>
    <w:rsid w:val="2ED7287D"/>
    <w:rsid w:val="2F5D67DC"/>
    <w:rsid w:val="2F7A01DB"/>
    <w:rsid w:val="30FD47FD"/>
    <w:rsid w:val="310367F7"/>
    <w:rsid w:val="310F2B74"/>
    <w:rsid w:val="31BB2B41"/>
    <w:rsid w:val="31CD2D76"/>
    <w:rsid w:val="326E72EF"/>
    <w:rsid w:val="32734E29"/>
    <w:rsid w:val="327711BB"/>
    <w:rsid w:val="32860EED"/>
    <w:rsid w:val="32A818D5"/>
    <w:rsid w:val="330F505D"/>
    <w:rsid w:val="33137513"/>
    <w:rsid w:val="3328502A"/>
    <w:rsid w:val="332B0841"/>
    <w:rsid w:val="33997DE2"/>
    <w:rsid w:val="34262394"/>
    <w:rsid w:val="34841756"/>
    <w:rsid w:val="3494193A"/>
    <w:rsid w:val="34DA7F4E"/>
    <w:rsid w:val="351D73C5"/>
    <w:rsid w:val="352019F8"/>
    <w:rsid w:val="35AE2D88"/>
    <w:rsid w:val="35C13BFD"/>
    <w:rsid w:val="35C26EE4"/>
    <w:rsid w:val="38103FE1"/>
    <w:rsid w:val="3814590E"/>
    <w:rsid w:val="387E5472"/>
    <w:rsid w:val="38C248EF"/>
    <w:rsid w:val="393A51D1"/>
    <w:rsid w:val="39A04658"/>
    <w:rsid w:val="3B59769B"/>
    <w:rsid w:val="3B5F54C4"/>
    <w:rsid w:val="3BF3205C"/>
    <w:rsid w:val="3C871C4F"/>
    <w:rsid w:val="3C9A2BF5"/>
    <w:rsid w:val="3D5B555C"/>
    <w:rsid w:val="3D951246"/>
    <w:rsid w:val="3D9A6CF0"/>
    <w:rsid w:val="3DB92AC4"/>
    <w:rsid w:val="3EC07009"/>
    <w:rsid w:val="3F1C24D3"/>
    <w:rsid w:val="3F1F20F4"/>
    <w:rsid w:val="3FFD17CC"/>
    <w:rsid w:val="40425DD8"/>
    <w:rsid w:val="406E64DA"/>
    <w:rsid w:val="40882793"/>
    <w:rsid w:val="40FF3C83"/>
    <w:rsid w:val="416877C4"/>
    <w:rsid w:val="41846EFA"/>
    <w:rsid w:val="41C50928"/>
    <w:rsid w:val="42A83790"/>
    <w:rsid w:val="42D005BA"/>
    <w:rsid w:val="42D62122"/>
    <w:rsid w:val="43543C1C"/>
    <w:rsid w:val="43587CD0"/>
    <w:rsid w:val="43B04046"/>
    <w:rsid w:val="44483C60"/>
    <w:rsid w:val="45BE3CAA"/>
    <w:rsid w:val="461A5941"/>
    <w:rsid w:val="461C30E9"/>
    <w:rsid w:val="463175C9"/>
    <w:rsid w:val="46A0119E"/>
    <w:rsid w:val="46B86DED"/>
    <w:rsid w:val="46CB5A97"/>
    <w:rsid w:val="46DB4564"/>
    <w:rsid w:val="479033F0"/>
    <w:rsid w:val="47FF0F4B"/>
    <w:rsid w:val="48160645"/>
    <w:rsid w:val="48210BFD"/>
    <w:rsid w:val="48752520"/>
    <w:rsid w:val="48D92A98"/>
    <w:rsid w:val="493A73ED"/>
    <w:rsid w:val="4A02594A"/>
    <w:rsid w:val="4A174CB7"/>
    <w:rsid w:val="4A6A2AFC"/>
    <w:rsid w:val="4B511DE2"/>
    <w:rsid w:val="4B7E721E"/>
    <w:rsid w:val="4C017549"/>
    <w:rsid w:val="4CFF3B84"/>
    <w:rsid w:val="4D4E2263"/>
    <w:rsid w:val="4EA8785F"/>
    <w:rsid w:val="4F9420A0"/>
    <w:rsid w:val="4FA333A8"/>
    <w:rsid w:val="4FA356F1"/>
    <w:rsid w:val="4FC219C0"/>
    <w:rsid w:val="50A05722"/>
    <w:rsid w:val="50FA26C7"/>
    <w:rsid w:val="512E3CA0"/>
    <w:rsid w:val="51B07021"/>
    <w:rsid w:val="52BF26AB"/>
    <w:rsid w:val="53444639"/>
    <w:rsid w:val="54454E66"/>
    <w:rsid w:val="546315FC"/>
    <w:rsid w:val="55204D35"/>
    <w:rsid w:val="552B454E"/>
    <w:rsid w:val="556D7264"/>
    <w:rsid w:val="55C73815"/>
    <w:rsid w:val="560554C2"/>
    <w:rsid w:val="56880B28"/>
    <w:rsid w:val="56CD4008"/>
    <w:rsid w:val="56DE0281"/>
    <w:rsid w:val="578E143A"/>
    <w:rsid w:val="58886998"/>
    <w:rsid w:val="58AE4BFC"/>
    <w:rsid w:val="58D04D08"/>
    <w:rsid w:val="58D12569"/>
    <w:rsid w:val="59226013"/>
    <w:rsid w:val="593A21B0"/>
    <w:rsid w:val="594D1804"/>
    <w:rsid w:val="5955745C"/>
    <w:rsid w:val="5A2C536F"/>
    <w:rsid w:val="5A4F418C"/>
    <w:rsid w:val="5A8710A3"/>
    <w:rsid w:val="5AFE756D"/>
    <w:rsid w:val="5B4A53A2"/>
    <w:rsid w:val="5C083D41"/>
    <w:rsid w:val="5C872F74"/>
    <w:rsid w:val="5D036FFF"/>
    <w:rsid w:val="5E243229"/>
    <w:rsid w:val="5E2D3CAF"/>
    <w:rsid w:val="5E7D51D5"/>
    <w:rsid w:val="5E9A53DF"/>
    <w:rsid w:val="5EA12B9A"/>
    <w:rsid w:val="5EAC1CF0"/>
    <w:rsid w:val="5EB9199F"/>
    <w:rsid w:val="5EBF0B8F"/>
    <w:rsid w:val="5F5C20A2"/>
    <w:rsid w:val="5F6B5B9C"/>
    <w:rsid w:val="5FC26D77"/>
    <w:rsid w:val="601217D3"/>
    <w:rsid w:val="60C97544"/>
    <w:rsid w:val="615960EE"/>
    <w:rsid w:val="61B4110F"/>
    <w:rsid w:val="61F25C0D"/>
    <w:rsid w:val="61FE677C"/>
    <w:rsid w:val="628F5DE4"/>
    <w:rsid w:val="62E84468"/>
    <w:rsid w:val="63244403"/>
    <w:rsid w:val="63272C6B"/>
    <w:rsid w:val="634C0405"/>
    <w:rsid w:val="634D35C3"/>
    <w:rsid w:val="63577018"/>
    <w:rsid w:val="63A076AF"/>
    <w:rsid w:val="63B15496"/>
    <w:rsid w:val="63BC1E27"/>
    <w:rsid w:val="64450F89"/>
    <w:rsid w:val="64816A20"/>
    <w:rsid w:val="64950C3F"/>
    <w:rsid w:val="64C23928"/>
    <w:rsid w:val="652C57B3"/>
    <w:rsid w:val="65967FA2"/>
    <w:rsid w:val="65D63B50"/>
    <w:rsid w:val="660A7F70"/>
    <w:rsid w:val="6626385E"/>
    <w:rsid w:val="67706016"/>
    <w:rsid w:val="68703317"/>
    <w:rsid w:val="689F5105"/>
    <w:rsid w:val="693B0827"/>
    <w:rsid w:val="69416448"/>
    <w:rsid w:val="69A060E5"/>
    <w:rsid w:val="6A2D6512"/>
    <w:rsid w:val="6ABD5712"/>
    <w:rsid w:val="6AC66944"/>
    <w:rsid w:val="6B5621A9"/>
    <w:rsid w:val="6BD211F2"/>
    <w:rsid w:val="6C1C5AEE"/>
    <w:rsid w:val="6C8464CC"/>
    <w:rsid w:val="6CE7352A"/>
    <w:rsid w:val="6DEF6D71"/>
    <w:rsid w:val="6E5E28AB"/>
    <w:rsid w:val="6E9844C6"/>
    <w:rsid w:val="6ED008C7"/>
    <w:rsid w:val="6F1C0C18"/>
    <w:rsid w:val="6F2F6271"/>
    <w:rsid w:val="6F3944D9"/>
    <w:rsid w:val="6F4E570C"/>
    <w:rsid w:val="6FB02F06"/>
    <w:rsid w:val="6FDF3742"/>
    <w:rsid w:val="70DD4915"/>
    <w:rsid w:val="7140022C"/>
    <w:rsid w:val="71430325"/>
    <w:rsid w:val="720476F4"/>
    <w:rsid w:val="723E7AE4"/>
    <w:rsid w:val="724974FC"/>
    <w:rsid w:val="7259038B"/>
    <w:rsid w:val="725D5CB2"/>
    <w:rsid w:val="72716478"/>
    <w:rsid w:val="72724CB0"/>
    <w:rsid w:val="729970F7"/>
    <w:rsid w:val="72BE5A93"/>
    <w:rsid w:val="72F5594B"/>
    <w:rsid w:val="73724608"/>
    <w:rsid w:val="744E64E8"/>
    <w:rsid w:val="75147C44"/>
    <w:rsid w:val="753A3ACD"/>
    <w:rsid w:val="755D14B0"/>
    <w:rsid w:val="757229A2"/>
    <w:rsid w:val="75873C45"/>
    <w:rsid w:val="75EA0CC5"/>
    <w:rsid w:val="76520262"/>
    <w:rsid w:val="76B811E6"/>
    <w:rsid w:val="76D0356B"/>
    <w:rsid w:val="771C2CCF"/>
    <w:rsid w:val="7724202B"/>
    <w:rsid w:val="77260C9B"/>
    <w:rsid w:val="78104A82"/>
    <w:rsid w:val="78113928"/>
    <w:rsid w:val="782B046B"/>
    <w:rsid w:val="789A3093"/>
    <w:rsid w:val="78B623DE"/>
    <w:rsid w:val="79BA1408"/>
    <w:rsid w:val="79EC345A"/>
    <w:rsid w:val="7A037F40"/>
    <w:rsid w:val="7B1156A0"/>
    <w:rsid w:val="7B1D7775"/>
    <w:rsid w:val="7B3A36A9"/>
    <w:rsid w:val="7B5444C2"/>
    <w:rsid w:val="7CC273FE"/>
    <w:rsid w:val="7CFB501D"/>
    <w:rsid w:val="7D3751AD"/>
    <w:rsid w:val="7D726D57"/>
    <w:rsid w:val="7DA350EE"/>
    <w:rsid w:val="7DAD7FDA"/>
    <w:rsid w:val="7DB8777E"/>
    <w:rsid w:val="7ED67998"/>
    <w:rsid w:val="7F021588"/>
    <w:rsid w:val="7F601B7C"/>
    <w:rsid w:val="7F8F18F2"/>
    <w:rsid w:val="7FBD30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paragraph" w:styleId="3">
    <w:name w:val="heading 2"/>
    <w:basedOn w:val="1"/>
    <w:next w:val="4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5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Date"/>
    <w:basedOn w:val="1"/>
    <w:next w:val="1"/>
    <w:qFormat/>
    <w:uiPriority w:val="0"/>
    <w:pPr>
      <w:widowControl/>
      <w:ind w:left="100" w:leftChars="2500"/>
      <w:jc w:val="left"/>
    </w:pPr>
    <w:rPr>
      <w:kern w:val="0"/>
    </w:rPr>
  </w:style>
  <w:style w:type="paragraph" w:styleId="9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qFormat/>
    <w:uiPriority w:val="0"/>
    <w:pPr>
      <w:spacing w:line="360" w:lineRule="exact"/>
      <w:ind w:left="630" w:leftChars="300"/>
    </w:pPr>
    <w:rPr>
      <w:rFonts w:eastAsia="楷体_GB2312"/>
      <w:sz w:val="2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9">
    <w:name w:val="页眉 Char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6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框文本 Char"/>
    <w:basedOn w:val="16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23">
    <w:name w:val="附录表标题"/>
    <w:next w:val="1"/>
    <w:qFormat/>
    <w:uiPriority w:val="0"/>
    <w:pPr>
      <w:numPr>
        <w:ilvl w:val="0"/>
        <w:numId w:val="1"/>
      </w:num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6002</Words>
  <Characters>6550</Characters>
  <Lines>32</Lines>
  <Paragraphs>9</Paragraphs>
  <TotalTime>2</TotalTime>
  <ScaleCrop>false</ScaleCrop>
  <LinksUpToDate>false</LinksUpToDate>
  <CharactersWithSpaces>6621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2022-08-28T13:43:06Z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D1F0177DBBC846859EA622580232C30A</vt:lpwstr>
  </property>
</Properties>
</file>