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pPr w:leftFromText="180" w:rightFromText="180" w:vertAnchor="text" w:tblpY="1"/>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11"/>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line="360" w:lineRule="auto"/>
              <w:jc w:val="center"/>
              <w:rPr>
                <w:rFonts w:hint="eastAsia" w:ascii="宋体" w:hAnsi="宋体" w:eastAsia="宋体" w:cs="宋体"/>
                <w:sz w:val="21"/>
                <w:szCs w:val="21"/>
              </w:rPr>
            </w:pPr>
            <w:r>
              <w:rPr>
                <w:rFonts w:hint="eastAsia" w:ascii="宋体" w:hAnsi="宋体" w:eastAsia="宋体" w:cs="宋体"/>
                <w:sz w:val="21"/>
                <w:szCs w:val="21"/>
              </w:rPr>
              <w:t>过程与活动、</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1311"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涉及条款</w:t>
            </w:r>
          </w:p>
        </w:tc>
        <w:tc>
          <w:tcPr>
            <w:tcW w:w="1000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受审核部门：管理层  主管领导：</w:t>
            </w:r>
            <w:r>
              <w:rPr>
                <w:rFonts w:hint="eastAsia" w:ascii="宋体" w:hAnsi="宋体" w:eastAsia="宋体" w:cs="宋体"/>
                <w:sz w:val="21"/>
                <w:szCs w:val="21"/>
                <w:lang w:val="en-US" w:eastAsia="zh-CN"/>
              </w:rPr>
              <w:t>总经理</w:t>
            </w:r>
            <w:r>
              <w:rPr>
                <w:rFonts w:hint="eastAsia" w:ascii="宋体" w:hAnsi="宋体" w:cs="宋体"/>
                <w:sz w:val="21"/>
                <w:szCs w:val="21"/>
                <w:lang w:val="en-US" w:eastAsia="zh-CN"/>
              </w:rPr>
              <w:t xml:space="preserve">  LiuLanTao     </w:t>
            </w:r>
            <w:r>
              <w:rPr>
                <w:rFonts w:hint="eastAsia" w:ascii="宋体" w:hAnsi="宋体" w:eastAsia="宋体" w:cs="宋体"/>
                <w:sz w:val="21"/>
                <w:szCs w:val="21"/>
                <w:lang w:val="en-US" w:eastAsia="zh-CN"/>
              </w:rPr>
              <w:t>管代窦广录</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安全事务代表</w:t>
            </w:r>
            <w:r>
              <w:rPr>
                <w:rFonts w:hint="eastAsia" w:ascii="宋体" w:hAnsi="宋体" w:eastAsia="宋体" w:cs="宋体"/>
                <w:sz w:val="21"/>
                <w:szCs w:val="21"/>
              </w:rPr>
              <w:t>：</w:t>
            </w:r>
            <w:r>
              <w:rPr>
                <w:rFonts w:hint="eastAsia" w:ascii="宋体" w:hAnsi="宋体" w:eastAsia="宋体" w:cs="宋体"/>
                <w:sz w:val="21"/>
                <w:szCs w:val="21"/>
                <w:lang w:val="en-US" w:eastAsia="zh-CN"/>
              </w:rPr>
              <w:t>王文清</w:t>
            </w:r>
            <w:r>
              <w:rPr>
                <w:rFonts w:hint="eastAsia" w:ascii="宋体" w:hAnsi="宋体" w:eastAsia="宋体" w:cs="宋体"/>
                <w:sz w:val="21"/>
                <w:szCs w:val="21"/>
              </w:rPr>
              <w:t xml:space="preserve"> </w:t>
            </w:r>
          </w:p>
        </w:tc>
        <w:tc>
          <w:tcPr>
            <w:tcW w:w="1585"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spacing w:line="360" w:lineRule="auto"/>
              <w:rPr>
                <w:rFonts w:hint="eastAsia" w:ascii="宋体" w:hAnsi="宋体" w:eastAsia="宋体" w:cs="宋体"/>
                <w:sz w:val="21"/>
                <w:szCs w:val="21"/>
              </w:rPr>
            </w:pPr>
          </w:p>
        </w:tc>
        <w:tc>
          <w:tcPr>
            <w:tcW w:w="1311" w:type="dxa"/>
            <w:vMerge w:val="continue"/>
            <w:vAlign w:val="center"/>
          </w:tcPr>
          <w:p>
            <w:pPr>
              <w:spacing w:line="360" w:lineRule="auto"/>
              <w:rPr>
                <w:rFonts w:hint="eastAsia" w:ascii="宋体" w:hAnsi="宋体" w:eastAsia="宋体" w:cs="宋体"/>
                <w:sz w:val="21"/>
                <w:szCs w:val="21"/>
              </w:rPr>
            </w:pPr>
          </w:p>
        </w:tc>
        <w:tc>
          <w:tcPr>
            <w:tcW w:w="10004" w:type="dxa"/>
            <w:vAlign w:val="center"/>
          </w:tcPr>
          <w:p>
            <w:pPr>
              <w:spacing w:before="120" w:line="360" w:lineRule="auto"/>
              <w:rPr>
                <w:rFonts w:hint="eastAsia" w:ascii="宋体" w:hAnsi="宋体" w:eastAsia="宋体" w:cs="宋体"/>
                <w:sz w:val="21"/>
                <w:szCs w:val="21"/>
                <w:lang w:val="en-US" w:eastAsia="zh-CN"/>
              </w:rPr>
            </w:pPr>
            <w:r>
              <w:rPr>
                <w:rFonts w:hint="eastAsia" w:ascii="宋体" w:hAnsi="宋体" w:eastAsia="宋体" w:cs="宋体"/>
                <w:sz w:val="21"/>
                <w:szCs w:val="21"/>
              </w:rPr>
              <w:t>审核员：</w:t>
            </w:r>
            <w:r>
              <w:rPr>
                <w:rFonts w:hint="eastAsia" w:ascii="宋体" w:hAnsi="宋体" w:eastAsia="宋体" w:cs="宋体"/>
                <w:sz w:val="21"/>
                <w:szCs w:val="21"/>
                <w:lang w:val="en-US" w:eastAsia="zh-CN"/>
              </w:rPr>
              <w:t xml:space="preserve">李俐  （远程审核、微信沟通）              </w:t>
            </w:r>
            <w:r>
              <w:rPr>
                <w:rFonts w:hint="eastAsia" w:ascii="宋体" w:hAnsi="宋体" w:eastAsia="宋体" w:cs="宋体"/>
                <w:sz w:val="21"/>
                <w:szCs w:val="21"/>
              </w:rPr>
              <w:t xml:space="preserve"> 审核时间：202</w:t>
            </w:r>
            <w:r>
              <w:rPr>
                <w:rFonts w:hint="eastAsia" w:ascii="宋体" w:hAnsi="宋体" w:eastAsia="宋体" w:cs="宋体"/>
                <w:sz w:val="21"/>
                <w:szCs w:val="21"/>
                <w:lang w:val="en-US" w:eastAsia="zh-CN"/>
              </w:rPr>
              <w:t>2.8.28</w:t>
            </w:r>
          </w:p>
        </w:tc>
        <w:tc>
          <w:tcPr>
            <w:tcW w:w="1585" w:type="dxa"/>
            <w:vMerge w:val="continue"/>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trPr>
        <w:tc>
          <w:tcPr>
            <w:tcW w:w="1809" w:type="dxa"/>
            <w:vMerge w:val="continue"/>
            <w:vAlign w:val="center"/>
          </w:tcPr>
          <w:p>
            <w:pPr>
              <w:spacing w:line="360" w:lineRule="auto"/>
              <w:rPr>
                <w:rFonts w:hint="eastAsia" w:ascii="宋体" w:hAnsi="宋体" w:eastAsia="宋体" w:cs="宋体"/>
                <w:sz w:val="21"/>
                <w:szCs w:val="21"/>
              </w:rPr>
            </w:pPr>
          </w:p>
        </w:tc>
        <w:tc>
          <w:tcPr>
            <w:tcW w:w="1311" w:type="dxa"/>
            <w:vMerge w:val="continue"/>
            <w:vAlign w:val="center"/>
          </w:tcPr>
          <w:p>
            <w:pPr>
              <w:spacing w:line="360" w:lineRule="auto"/>
              <w:rPr>
                <w:rFonts w:hint="eastAsia" w:ascii="宋体" w:hAnsi="宋体" w:eastAsia="宋体" w:cs="宋体"/>
                <w:sz w:val="21"/>
                <w:szCs w:val="21"/>
              </w:rPr>
            </w:pPr>
          </w:p>
        </w:tc>
        <w:tc>
          <w:tcPr>
            <w:tcW w:w="1000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审核条款</w:t>
            </w:r>
          </w:p>
          <w:p>
            <w:pPr>
              <w:adjustRightInd w:val="0"/>
              <w:snapToGrid w:val="0"/>
              <w:spacing w:line="360" w:lineRule="auto"/>
              <w:ind w:right="105" w:rightChars="50"/>
              <w:textAlignment w:val="baseline"/>
              <w:rPr>
                <w:rFonts w:hint="eastAsia" w:ascii="宋体" w:hAnsi="宋体" w:eastAsia="宋体" w:cs="宋体"/>
                <w:spacing w:val="-6"/>
                <w:sz w:val="21"/>
                <w:szCs w:val="21"/>
              </w:rPr>
            </w:pPr>
            <w:r>
              <w:rPr>
                <w:rFonts w:hint="eastAsia" w:ascii="宋体" w:hAnsi="宋体" w:eastAsia="宋体" w:cs="宋体"/>
                <w:spacing w:val="-6"/>
                <w:sz w:val="21"/>
                <w:szCs w:val="21"/>
              </w:rPr>
              <w:t>QEO:4.1</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、4.2</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 xml:space="preserve">、4.3 </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、4.4</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、5.1</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、5.2</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、5.3</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、O5.4</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、6.1</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、6.2</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、Q6.3</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、7.1.1（EO7.1）</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、7.4、9.3、10.1、10.3，</w:t>
            </w:r>
          </w:p>
          <w:p>
            <w:pPr>
              <w:spacing w:line="360" w:lineRule="auto"/>
              <w:rPr>
                <w:rFonts w:hint="eastAsia" w:ascii="宋体" w:hAnsi="宋体" w:eastAsia="宋体" w:cs="宋体"/>
                <w:spacing w:val="-6"/>
                <w:sz w:val="21"/>
                <w:szCs w:val="21"/>
              </w:rPr>
            </w:pPr>
            <w:r>
              <w:rPr>
                <w:rFonts w:hint="eastAsia" w:ascii="宋体" w:hAnsi="宋体" w:eastAsia="宋体" w:cs="宋体"/>
                <w:spacing w:val="-6"/>
                <w:sz w:val="21"/>
                <w:szCs w:val="21"/>
              </w:rPr>
              <w:t>国家/地方监督抽查情况；顾客满意、相关方投诉及处理情况；</w:t>
            </w:r>
            <w:r>
              <w:rPr>
                <w:rFonts w:hint="eastAsia" w:ascii="宋体" w:hAnsi="宋体" w:eastAsia="宋体" w:cs="宋体"/>
                <w:spacing w:val="-6"/>
                <w:sz w:val="21"/>
                <w:szCs w:val="21"/>
                <w:lang w:val="en-US" w:eastAsia="zh-CN"/>
              </w:rPr>
              <w:t>上次审核不符合</w:t>
            </w:r>
            <w:r>
              <w:rPr>
                <w:rFonts w:hint="eastAsia" w:ascii="宋体" w:hAnsi="宋体" w:eastAsia="宋体" w:cs="宋体"/>
                <w:spacing w:val="-6"/>
                <w:sz w:val="21"/>
                <w:szCs w:val="21"/>
              </w:rPr>
              <w:t>问题验证，</w:t>
            </w:r>
          </w:p>
          <w:p>
            <w:pPr>
              <w:spacing w:line="360" w:lineRule="auto"/>
              <w:rPr>
                <w:rFonts w:hint="eastAsia" w:ascii="宋体" w:hAnsi="宋体" w:eastAsia="宋体" w:cs="宋体"/>
                <w:sz w:val="21"/>
                <w:szCs w:val="21"/>
              </w:rPr>
            </w:pPr>
            <w:r>
              <w:rPr>
                <w:rFonts w:hint="eastAsia" w:ascii="宋体" w:hAnsi="宋体" w:eastAsia="宋体" w:cs="宋体"/>
                <w:spacing w:val="-6"/>
                <w:sz w:val="21"/>
                <w:szCs w:val="21"/>
              </w:rPr>
              <w:t>验证企业相关资质证明的有效性；</w:t>
            </w:r>
          </w:p>
        </w:tc>
        <w:tc>
          <w:tcPr>
            <w:tcW w:w="1585" w:type="dxa"/>
            <w:vMerge w:val="continue"/>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809" w:type="dxa"/>
            <w:vAlign w:val="center"/>
          </w:tcPr>
          <w:p>
            <w:pPr>
              <w:spacing w:line="360" w:lineRule="auto"/>
              <w:rPr>
                <w:rFonts w:hint="eastAsia" w:ascii="宋体" w:hAnsi="宋体" w:eastAsia="宋体" w:cs="宋体"/>
                <w:b/>
                <w:sz w:val="21"/>
                <w:szCs w:val="21"/>
              </w:rPr>
            </w:pPr>
            <w:r>
              <w:rPr>
                <w:rFonts w:hint="eastAsia" w:ascii="宋体" w:hAnsi="宋体" w:eastAsia="宋体" w:cs="宋体"/>
                <w:sz w:val="21"/>
                <w:szCs w:val="21"/>
              </w:rPr>
              <w:t>企业基本信息</w:t>
            </w:r>
          </w:p>
        </w:tc>
        <w:tc>
          <w:tcPr>
            <w:tcW w:w="1311" w:type="dxa"/>
            <w:vAlign w:val="center"/>
          </w:tcPr>
          <w:p>
            <w:pPr>
              <w:spacing w:line="360" w:lineRule="auto"/>
              <w:rPr>
                <w:rFonts w:hint="eastAsia" w:ascii="宋体" w:hAnsi="宋体" w:eastAsia="宋体" w:cs="宋体"/>
                <w:b/>
                <w:sz w:val="21"/>
                <w:szCs w:val="21"/>
              </w:rPr>
            </w:pPr>
          </w:p>
        </w:tc>
        <w:tc>
          <w:tcPr>
            <w:tcW w:w="10004" w:type="dxa"/>
            <w:vAlign w:val="center"/>
          </w:tcPr>
          <w:p>
            <w:pPr>
              <w:spacing w:beforeLines="30" w:afterLines="30" w:line="360" w:lineRule="auto"/>
              <w:rPr>
                <w:rFonts w:hint="eastAsia" w:ascii="宋体" w:hAnsi="宋体" w:eastAsia="宋体" w:cs="宋体"/>
                <w:sz w:val="21"/>
                <w:szCs w:val="21"/>
              </w:rPr>
            </w:pPr>
            <w:r>
              <w:rPr>
                <w:rFonts w:hint="eastAsia" w:ascii="宋体" w:hAnsi="宋体" w:eastAsia="宋体" w:cs="宋体"/>
                <w:sz w:val="21"/>
                <w:szCs w:val="21"/>
              </w:rPr>
              <w:t>最管理者：</w:t>
            </w:r>
            <w:r>
              <w:rPr>
                <w:rFonts w:hint="eastAsia" w:ascii="宋体" w:hAnsi="宋体" w:cs="宋体"/>
                <w:sz w:val="21"/>
                <w:szCs w:val="21"/>
                <w:lang w:val="en-US" w:eastAsia="zh-CN"/>
              </w:rPr>
              <w:t xml:space="preserve">LiuLanTao </w:t>
            </w:r>
            <w:r>
              <w:rPr>
                <w:rFonts w:hint="eastAsia" w:ascii="宋体" w:hAnsi="宋体" w:eastAsia="宋体" w:cs="宋体"/>
                <w:sz w:val="21"/>
                <w:szCs w:val="21"/>
              </w:rPr>
              <w:t>，管代</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窦广录</w:t>
            </w:r>
            <w:r>
              <w:rPr>
                <w:rFonts w:hint="eastAsia" w:ascii="宋体" w:hAnsi="宋体" w:eastAsia="宋体" w:cs="宋体"/>
                <w:sz w:val="21"/>
                <w:szCs w:val="21"/>
              </w:rPr>
              <w:t>，</w:t>
            </w:r>
          </w:p>
          <w:p>
            <w:pPr>
              <w:spacing w:beforeLines="30" w:afterLines="30" w:line="360" w:lineRule="auto"/>
              <w:rPr>
                <w:rFonts w:hint="eastAsia" w:ascii="宋体" w:hAnsi="宋体" w:eastAsia="宋体" w:cs="宋体"/>
                <w:sz w:val="21"/>
                <w:szCs w:val="21"/>
              </w:rPr>
            </w:pPr>
            <w:r>
              <w:rPr>
                <w:rFonts w:hint="eastAsia" w:ascii="宋体" w:hAnsi="宋体" w:eastAsia="宋体" w:cs="宋体"/>
                <w:sz w:val="21"/>
                <w:szCs w:val="21"/>
              </w:rPr>
              <w:t>公司成立于201</w:t>
            </w:r>
            <w:r>
              <w:rPr>
                <w:rFonts w:hint="eastAsia" w:ascii="宋体" w:hAnsi="宋体" w:eastAsia="宋体" w:cs="宋体"/>
                <w:sz w:val="21"/>
                <w:szCs w:val="21"/>
                <w:lang w:val="en-US" w:eastAsia="zh-CN"/>
              </w:rPr>
              <w:t>9</w:t>
            </w:r>
            <w:r>
              <w:rPr>
                <w:rFonts w:hint="eastAsia" w:ascii="宋体" w:hAnsi="宋体" w:eastAsia="宋体" w:cs="宋体"/>
                <w:sz w:val="21"/>
                <w:szCs w:val="21"/>
              </w:rPr>
              <w:t>年</w:t>
            </w:r>
            <w:r>
              <w:rPr>
                <w:rFonts w:hint="eastAsia" w:ascii="宋体" w:hAnsi="宋体" w:eastAsia="宋体" w:cs="宋体"/>
                <w:sz w:val="21"/>
                <w:szCs w:val="21"/>
                <w:lang w:val="en-US" w:eastAsia="zh-CN"/>
              </w:rPr>
              <w:t>7</w:t>
            </w:r>
            <w:r>
              <w:rPr>
                <w:rFonts w:hint="eastAsia" w:ascii="宋体" w:hAnsi="宋体" w:eastAsia="宋体" w:cs="宋体"/>
                <w:sz w:val="21"/>
                <w:szCs w:val="21"/>
              </w:rPr>
              <w:t>月</w:t>
            </w:r>
            <w:r>
              <w:rPr>
                <w:rFonts w:hint="eastAsia" w:ascii="宋体" w:hAnsi="宋体" w:eastAsia="宋体" w:cs="宋体"/>
                <w:sz w:val="21"/>
                <w:szCs w:val="21"/>
                <w:lang w:val="en-US" w:eastAsia="zh-CN"/>
              </w:rPr>
              <w:t>4</w:t>
            </w:r>
            <w:r>
              <w:rPr>
                <w:rFonts w:hint="eastAsia" w:ascii="宋体" w:hAnsi="宋体" w:eastAsia="宋体" w:cs="宋体"/>
                <w:sz w:val="21"/>
                <w:szCs w:val="21"/>
              </w:rPr>
              <w:t>日，法人代表</w:t>
            </w:r>
            <w:r>
              <w:rPr>
                <w:rFonts w:hint="eastAsia" w:ascii="宋体" w:hAnsi="宋体" w:eastAsia="宋体" w:cs="宋体"/>
                <w:sz w:val="21"/>
                <w:szCs w:val="21"/>
                <w:lang w:eastAsia="zh-CN"/>
              </w:rPr>
              <w:t>：</w:t>
            </w:r>
            <w:r>
              <w:rPr>
                <w:rFonts w:hint="eastAsia" w:ascii="宋体" w:hAnsi="宋体" w:eastAsia="宋体" w:cs="宋体"/>
                <w:sz w:val="21"/>
                <w:szCs w:val="21"/>
              </w:rPr>
              <w:t>liulantao，</w:t>
            </w:r>
            <w:r>
              <w:rPr>
                <w:rFonts w:hint="eastAsia" w:ascii="宋体" w:hAnsi="宋体" w:eastAsia="宋体" w:cs="宋体"/>
                <w:color w:val="000000"/>
                <w:sz w:val="21"/>
                <w:szCs w:val="21"/>
              </w:rPr>
              <w:t>公司注册资本</w:t>
            </w:r>
            <w:r>
              <w:rPr>
                <w:rFonts w:hint="eastAsia" w:ascii="宋体" w:hAnsi="宋体" w:eastAsia="宋体" w:cs="宋体"/>
                <w:color w:val="000000"/>
                <w:sz w:val="21"/>
                <w:szCs w:val="21"/>
                <w:lang w:val="en-US" w:eastAsia="zh-CN"/>
              </w:rPr>
              <w:t>200</w:t>
            </w:r>
            <w:r>
              <w:rPr>
                <w:rFonts w:hint="eastAsia" w:ascii="宋体" w:hAnsi="宋体" w:eastAsia="宋体" w:cs="宋体"/>
                <w:color w:val="000000"/>
                <w:sz w:val="21"/>
                <w:szCs w:val="21"/>
              </w:rPr>
              <w:t>万</w:t>
            </w:r>
            <w:r>
              <w:rPr>
                <w:rFonts w:hint="eastAsia" w:ascii="宋体" w:hAnsi="宋体" w:eastAsia="宋体" w:cs="宋体"/>
                <w:color w:val="000000"/>
                <w:sz w:val="21"/>
                <w:szCs w:val="21"/>
                <w:lang w:val="en-US" w:eastAsia="zh-CN"/>
              </w:rPr>
              <w:t>澳大利亚</w:t>
            </w:r>
            <w:r>
              <w:rPr>
                <w:rFonts w:hint="eastAsia" w:ascii="宋体" w:hAnsi="宋体" w:eastAsia="宋体" w:cs="宋体"/>
                <w:color w:val="000000"/>
                <w:sz w:val="21"/>
                <w:szCs w:val="21"/>
              </w:rPr>
              <w:t>元。</w:t>
            </w:r>
          </w:p>
          <w:p>
            <w:pPr>
              <w:spacing w:beforeLines="30" w:afterLines="30" w:line="360" w:lineRule="auto"/>
              <w:rPr>
                <w:rFonts w:hint="eastAsia" w:ascii="宋体" w:hAnsi="宋体" w:eastAsia="宋体" w:cs="宋体"/>
                <w:sz w:val="21"/>
                <w:szCs w:val="21"/>
              </w:rPr>
            </w:pPr>
            <w:r>
              <w:rPr>
                <w:rFonts w:hint="eastAsia" w:ascii="宋体" w:hAnsi="宋体" w:eastAsia="宋体" w:cs="宋体"/>
                <w:sz w:val="21"/>
                <w:szCs w:val="21"/>
                <w:lang w:val="en-US" w:eastAsia="zh-CN"/>
              </w:rPr>
              <w:t>2022.8.18 营业执照进行了更改</w:t>
            </w:r>
          </w:p>
          <w:p>
            <w:pPr>
              <w:spacing w:beforeLines="30" w:afterLines="30" w:line="360" w:lineRule="auto"/>
              <w:rPr>
                <w:rFonts w:hint="eastAsia" w:ascii="宋体" w:hAnsi="宋体" w:eastAsia="宋体" w:cs="宋体"/>
                <w:sz w:val="21"/>
                <w:szCs w:val="21"/>
                <w:lang w:eastAsia="zh-CN"/>
              </w:rPr>
            </w:pPr>
            <w:r>
              <w:rPr>
                <w:rFonts w:hint="eastAsia" w:ascii="宋体" w:hAnsi="宋体" w:eastAsia="宋体" w:cs="宋体"/>
                <w:sz w:val="21"/>
                <w:szCs w:val="21"/>
              </w:rPr>
              <w:t>注册地址：</w:t>
            </w:r>
            <w:bookmarkStart w:id="0" w:name="注册地址"/>
            <w:r>
              <w:rPr>
                <w:rFonts w:hint="eastAsia" w:ascii="宋体" w:hAnsi="宋体" w:eastAsia="宋体" w:cs="宋体"/>
                <w:sz w:val="21"/>
                <w:szCs w:val="21"/>
              </w:rPr>
              <w:t>天津自贸试验区(中心商务区)金昌道637号宝正大厦15层G区1501-093</w:t>
            </w:r>
            <w:bookmarkEnd w:id="0"/>
            <w:r>
              <w:rPr>
                <w:rFonts w:hint="eastAsia" w:ascii="宋体" w:hAnsi="宋体" w:eastAsia="宋体" w:cs="宋体"/>
                <w:sz w:val="21"/>
                <w:szCs w:val="21"/>
                <w:lang w:eastAsia="zh-CN"/>
              </w:rPr>
              <w:t>，</w:t>
            </w:r>
          </w:p>
          <w:p>
            <w:pPr>
              <w:pStyle w:val="2"/>
              <w:spacing w:line="36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经营范围变为：一</w:t>
            </w:r>
            <w:r>
              <w:rPr>
                <w:rFonts w:hint="eastAsia" w:ascii="宋体" w:hAnsi="宋体" w:eastAsia="宋体" w:cs="宋体"/>
                <w:sz w:val="21"/>
                <w:szCs w:val="21"/>
                <w:lang w:eastAsia="zh-CN"/>
              </w:rPr>
              <w:t>般项目:技术服务、技术开发、技术咨询、技术交流、技术转让、技术推广;石油天然气技术服务;石油钻采专用设备销售;环境保护专用设备销售;电子元器件与机电组件设备销售;防腐材料销售:保温材料销售;数据处理服务;生物化工产品技术研发;新兴能源技术研发;新材料技术研发;智能机器人的研发;智能机器人销售;人工智能应用软件开发;固体废物治理;物业管理:园林绿化工程施工工程管理服务;污水处理及其再生利用:水污染治理;水环境污染防治服务:机械电气设备销售;人工智能硬件销售;工业机器人安装、维修;工业机器人制造:通用设备修理;工业设计服务;工业机器人销售;污泥处理装备制造:环境应急技术装备销售;海洋工程装备销售;机械设备研发;机械设备销售;深海石油钻探设备销售;深海石油钻探设备制造;石油钻采专用设备制造;,机械电气设备制造;石油制品制造(不含危险化学品) ;机械零件、零部件加工:机械零件、零部件销售:电子元器件批发:电子元器件零售:电子真空器件销售;通用零部件制造;技术进出口;货物进出口。( 除依法须经批准的项目外，凭营业执照依法自主开展经营活动)许可项目:道路货物运输(不含危险货物)。(依法须经批准的项目，经相关部门门批准后方可开展经营活动，具体经营项目以相关部门批准文件或许可证件为准) (不得投资 《外商投资准入负面清单》中禁止外商投资的领域)</w:t>
            </w:r>
          </w:p>
          <w:p>
            <w:pPr>
              <w:pStyle w:val="2"/>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drawing>
                <wp:anchor distT="0" distB="0" distL="114300" distR="114300" simplePos="0" relativeHeight="251659264" behindDoc="0" locked="0" layoutInCell="1" allowOverlap="1">
                  <wp:simplePos x="0" y="0"/>
                  <wp:positionH relativeFrom="column">
                    <wp:posOffset>473710</wp:posOffset>
                  </wp:positionH>
                  <wp:positionV relativeFrom="paragraph">
                    <wp:posOffset>-368300</wp:posOffset>
                  </wp:positionV>
                  <wp:extent cx="2153920" cy="3132455"/>
                  <wp:effectExtent l="0" t="0" r="4445" b="5080"/>
                  <wp:wrapNone/>
                  <wp:docPr id="1" name="图片 1" descr="营业执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营业执照"/>
                          <pic:cNvPicPr>
                            <a:picLocks noChangeAspect="1"/>
                          </pic:cNvPicPr>
                        </pic:nvPicPr>
                        <pic:blipFill>
                          <a:blip r:embed="rId6"/>
                          <a:srcRect l="4424" t="1863"/>
                          <a:stretch>
                            <a:fillRect/>
                          </a:stretch>
                        </pic:blipFill>
                        <pic:spPr>
                          <a:xfrm rot="5400000">
                            <a:off x="0" y="0"/>
                            <a:ext cx="2153920" cy="3132455"/>
                          </a:xfrm>
                          <a:prstGeom prst="rect">
                            <a:avLst/>
                          </a:prstGeom>
                        </pic:spPr>
                      </pic:pic>
                    </a:graphicData>
                  </a:graphic>
                </wp:anchor>
              </w:drawing>
            </w:r>
          </w:p>
          <w:p>
            <w:pPr>
              <w:pStyle w:val="2"/>
              <w:spacing w:line="360" w:lineRule="auto"/>
              <w:rPr>
                <w:rFonts w:hint="eastAsia" w:ascii="宋体" w:hAnsi="宋体" w:eastAsia="宋体" w:cs="宋体"/>
                <w:sz w:val="21"/>
                <w:szCs w:val="21"/>
                <w:lang w:eastAsia="zh-CN"/>
              </w:rPr>
            </w:pPr>
          </w:p>
          <w:p>
            <w:pPr>
              <w:pStyle w:val="2"/>
              <w:spacing w:line="360" w:lineRule="auto"/>
              <w:rPr>
                <w:rFonts w:hint="eastAsia" w:ascii="宋体" w:hAnsi="宋体" w:eastAsia="宋体" w:cs="宋体"/>
                <w:sz w:val="21"/>
                <w:szCs w:val="21"/>
                <w:lang w:eastAsia="zh-CN"/>
              </w:rPr>
            </w:pPr>
          </w:p>
          <w:p>
            <w:pPr>
              <w:pStyle w:val="2"/>
              <w:spacing w:line="360" w:lineRule="auto"/>
              <w:rPr>
                <w:rFonts w:hint="eastAsia" w:ascii="宋体" w:hAnsi="宋体" w:eastAsia="宋体" w:cs="宋体"/>
                <w:sz w:val="21"/>
                <w:szCs w:val="21"/>
                <w:lang w:eastAsia="zh-CN"/>
              </w:rPr>
            </w:pPr>
          </w:p>
          <w:p>
            <w:pPr>
              <w:pStyle w:val="2"/>
              <w:spacing w:line="360" w:lineRule="auto"/>
              <w:rPr>
                <w:rFonts w:hint="eastAsia" w:ascii="宋体" w:hAnsi="宋体" w:eastAsia="宋体" w:cs="宋体"/>
                <w:sz w:val="21"/>
                <w:szCs w:val="21"/>
                <w:lang w:eastAsia="zh-CN"/>
              </w:rPr>
            </w:pPr>
          </w:p>
          <w:p>
            <w:pPr>
              <w:pStyle w:val="2"/>
              <w:spacing w:line="360" w:lineRule="auto"/>
              <w:rPr>
                <w:rFonts w:hint="eastAsia" w:ascii="宋体" w:hAnsi="宋体" w:eastAsia="宋体" w:cs="宋体"/>
                <w:sz w:val="21"/>
                <w:szCs w:val="21"/>
                <w:lang w:eastAsia="zh-CN"/>
              </w:rPr>
            </w:pPr>
          </w:p>
          <w:p>
            <w:pPr>
              <w:pStyle w:val="2"/>
              <w:spacing w:line="360" w:lineRule="auto"/>
              <w:rPr>
                <w:rFonts w:hint="eastAsia" w:ascii="宋体" w:hAnsi="宋体" w:eastAsia="宋体" w:cs="宋体"/>
                <w:sz w:val="21"/>
                <w:szCs w:val="21"/>
                <w:lang w:eastAsia="zh-CN"/>
              </w:rPr>
            </w:pPr>
          </w:p>
          <w:p>
            <w:pPr>
              <w:spacing w:beforeLines="30" w:afterLines="30"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组织机构：行政部、技术部、</w:t>
            </w:r>
            <w:r>
              <w:rPr>
                <w:rFonts w:hint="eastAsia" w:ascii="宋体" w:hAnsi="宋体" w:eastAsia="宋体" w:cs="宋体"/>
                <w:color w:val="000000"/>
                <w:sz w:val="21"/>
                <w:szCs w:val="21"/>
                <w:lang w:val="en-US" w:eastAsia="zh-CN"/>
              </w:rPr>
              <w:t>供销</w:t>
            </w:r>
            <w:r>
              <w:rPr>
                <w:rFonts w:hint="eastAsia" w:ascii="宋体" w:hAnsi="宋体" w:eastAsia="宋体" w:cs="宋体"/>
                <w:color w:val="000000"/>
                <w:sz w:val="21"/>
                <w:szCs w:val="21"/>
              </w:rPr>
              <w:t>部</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生产部，扩大了经营范围。</w:t>
            </w:r>
          </w:p>
        </w:tc>
        <w:tc>
          <w:tcPr>
            <w:tcW w:w="1585" w:type="dxa"/>
          </w:tcPr>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809" w:type="dxa"/>
            <w:vAlign w:val="center"/>
          </w:tcPr>
          <w:p>
            <w:pPr>
              <w:spacing w:line="360" w:lineRule="auto"/>
              <w:rPr>
                <w:rFonts w:hint="eastAsia" w:ascii="宋体" w:hAnsi="宋体" w:eastAsia="宋体" w:cs="宋体"/>
                <w:b/>
                <w:kern w:val="2"/>
                <w:sz w:val="21"/>
                <w:szCs w:val="21"/>
                <w:lang w:val="en-US" w:eastAsia="zh-CN" w:bidi="ar-SA"/>
              </w:rPr>
            </w:pPr>
            <w:r>
              <w:rPr>
                <w:rFonts w:hint="eastAsia" w:ascii="宋体" w:hAnsi="宋体" w:eastAsia="宋体" w:cs="宋体"/>
                <w:sz w:val="21"/>
                <w:szCs w:val="21"/>
              </w:rPr>
              <w:t>理解组织及其环境</w:t>
            </w:r>
          </w:p>
        </w:tc>
        <w:tc>
          <w:tcPr>
            <w:tcW w:w="1311" w:type="dxa"/>
            <w:vAlign w:val="center"/>
          </w:tcPr>
          <w:p>
            <w:pPr>
              <w:spacing w:line="360" w:lineRule="auto"/>
              <w:rPr>
                <w:rFonts w:hint="eastAsia" w:ascii="宋体" w:hAnsi="宋体" w:eastAsia="宋体" w:cs="宋体"/>
                <w:b/>
                <w:kern w:val="2"/>
                <w:sz w:val="21"/>
                <w:szCs w:val="21"/>
                <w:lang w:val="en-US" w:eastAsia="zh-CN" w:bidi="ar-SA"/>
              </w:rPr>
            </w:pPr>
            <w:r>
              <w:rPr>
                <w:rFonts w:hint="eastAsia" w:ascii="宋体" w:hAnsi="宋体" w:eastAsia="宋体" w:cs="宋体"/>
                <w:sz w:val="21"/>
                <w:szCs w:val="21"/>
              </w:rPr>
              <w:t>QEO：4.1</w:t>
            </w:r>
          </w:p>
        </w:tc>
        <w:tc>
          <w:tcPr>
            <w:tcW w:w="10004" w:type="dxa"/>
            <w:vAlign w:val="center"/>
          </w:tcPr>
          <w:p>
            <w:pPr>
              <w:spacing w:beforeLines="30" w:afterLines="30"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提供《管理手册》，对公司地理位置、国内市场地位、法律法规要求、公司内部文化观价值观、内外部环境变化等均作出描述。</w:t>
            </w:r>
          </w:p>
          <w:p>
            <w:pPr>
              <w:spacing w:beforeLines="30" w:afterLines="30"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与总经理</w:t>
            </w:r>
            <w:r>
              <w:rPr>
                <w:rFonts w:hint="eastAsia" w:ascii="宋体" w:hAnsi="宋体" w:eastAsia="宋体" w:cs="宋体"/>
                <w:color w:val="000000"/>
                <w:sz w:val="21"/>
                <w:szCs w:val="21"/>
                <w:lang w:val="en-US" w:eastAsia="zh-CN"/>
              </w:rPr>
              <w:t>远程沟通</w:t>
            </w:r>
            <w:r>
              <w:rPr>
                <w:rFonts w:hint="eastAsia" w:ascii="宋体" w:hAnsi="宋体" w:eastAsia="宋体" w:cs="宋体"/>
                <w:color w:val="000000"/>
                <w:sz w:val="21"/>
                <w:szCs w:val="21"/>
              </w:rPr>
              <w:t>，简单介绍了公司发展历程、公司文化的形成与发展、长短期发展目标、价值观的沟通，并对如何创造公司良好的内部环境提出要求，对公司目前所处的外部环境也做了简单分析。公司介绍，销售的产品在国内业务逐步开展，在行业内占据一定市场地位。</w:t>
            </w:r>
          </w:p>
          <w:p>
            <w:pPr>
              <w:spacing w:beforeLines="30" w:afterLines="30"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color w:val="000000"/>
                <w:sz w:val="21"/>
                <w:szCs w:val="21"/>
              </w:rPr>
              <w:t>提供有《组织的内外重要环境因素分析表》，识别了相关内容，确定了监视、评审方法、责任部门、监视频率等。如内部因素：从人力、财务、过程环境、市场营销能力等，外部因素从经济因素、政治因素、竞争力、市场需求等方面。监视评审方法：网上收集、沟通会、政府部门获取。</w:t>
            </w:r>
          </w:p>
        </w:tc>
        <w:tc>
          <w:tcPr>
            <w:tcW w:w="1585" w:type="dxa"/>
          </w:tcPr>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809" w:type="dxa"/>
            <w:vAlign w:val="center"/>
          </w:tcPr>
          <w:p>
            <w:pPr>
              <w:spacing w:line="360" w:lineRule="auto"/>
              <w:rPr>
                <w:rFonts w:hint="eastAsia" w:ascii="宋体" w:hAnsi="宋体" w:eastAsia="宋体" w:cs="宋体"/>
                <w:b/>
                <w:kern w:val="2"/>
                <w:sz w:val="21"/>
                <w:szCs w:val="21"/>
                <w:lang w:val="en-US" w:eastAsia="zh-CN" w:bidi="ar-SA"/>
              </w:rPr>
            </w:pPr>
            <w:r>
              <w:rPr>
                <w:rFonts w:hint="eastAsia" w:ascii="宋体" w:hAnsi="宋体" w:eastAsia="宋体" w:cs="宋体"/>
                <w:sz w:val="21"/>
                <w:szCs w:val="21"/>
              </w:rPr>
              <w:t>理解相关方的需求和期望</w:t>
            </w:r>
          </w:p>
        </w:tc>
        <w:tc>
          <w:tcPr>
            <w:tcW w:w="1311" w:type="dxa"/>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QEO：4.2</w:t>
            </w:r>
          </w:p>
        </w:tc>
        <w:tc>
          <w:tcPr>
            <w:tcW w:w="10004" w:type="dxa"/>
            <w:vAlign w:val="center"/>
          </w:tcPr>
          <w:p>
            <w:pPr>
              <w:spacing w:beforeLines="30" w:afterLines="30"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相关方包括顾客、股东、员工、供应商、竞争对手、社会团体等。相关方期望和要求为价格、安全性、合同协议、行业规范标准等。识别的方法为：主动调查、水平对比等。检测指标或项目：顾客满意度、客户投诉率、供方评价表等。</w:t>
            </w:r>
          </w:p>
          <w:p>
            <w:pPr>
              <w:spacing w:beforeLines="30" w:afterLines="30"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基本识别了与组织管理体系有关的相关方和要求</w:t>
            </w:r>
            <w:r>
              <w:rPr>
                <w:rFonts w:hint="eastAsia" w:ascii="宋体" w:hAnsi="宋体" w:eastAsia="宋体" w:cs="宋体"/>
                <w:sz w:val="21"/>
                <w:szCs w:val="21"/>
                <w:lang w:val="zh-CN"/>
              </w:rPr>
              <w:t>。</w:t>
            </w:r>
          </w:p>
        </w:tc>
        <w:tc>
          <w:tcPr>
            <w:tcW w:w="1585" w:type="dxa"/>
          </w:tcPr>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809" w:type="dxa"/>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质量/环境/职业健康安全/职业健康安全管理体系的范围</w:t>
            </w:r>
          </w:p>
        </w:tc>
        <w:tc>
          <w:tcPr>
            <w:tcW w:w="1311" w:type="dxa"/>
            <w:vAlign w:val="center"/>
          </w:tcPr>
          <w:p>
            <w:pPr>
              <w:spacing w:line="360"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 xml:space="preserve">QEO：4.3 </w:t>
            </w:r>
          </w:p>
        </w:tc>
        <w:tc>
          <w:tcPr>
            <w:tcW w:w="10004" w:type="dxa"/>
            <w:vAlign w:val="center"/>
          </w:tcPr>
          <w:p>
            <w:pPr>
              <w:spacing w:beforeLines="30" w:afterLines="30"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由于经营的需要扩大了</w:t>
            </w:r>
            <w:r>
              <w:rPr>
                <w:rFonts w:hint="eastAsia" w:ascii="宋体" w:hAnsi="宋体" w:eastAsia="宋体" w:cs="宋体"/>
                <w:color w:val="000000"/>
                <w:sz w:val="21"/>
                <w:szCs w:val="21"/>
              </w:rPr>
              <w:t>管理体系范围是：</w:t>
            </w:r>
          </w:p>
          <w:p>
            <w:pPr>
              <w:spacing w:beforeLines="30" w:afterLines="3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Q：认可：智能化工业机器人、钻井泥浆无害化处理设备、电磁加热设备和电磁加热三项分离装置、固体废弃物处理设备设计、销售；采油设备、石油钻采机械部件的销售；石油钻采设备（电磁加热设备和电磁加热三项分离装置、游离水脱除器、油水增效分离元件、无淤塞油水泥分离填料）的零部件设计、加工、组装和销售；环保专用设备设计及技术服务</w:t>
            </w:r>
          </w:p>
          <w:p>
            <w:pPr>
              <w:spacing w:beforeLines="30" w:afterLines="3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非认可：油田技术服务;钻井泥浆(水基泥浆、油基泥浆、盐水泥浆)不落地无害化处理;污水处理（油田含油污水、压裂返排液、城市生活污水、垃圾渗滤液、化工污水等）服务危废污水除外。</w:t>
            </w:r>
          </w:p>
          <w:p>
            <w:pPr>
              <w:spacing w:beforeLines="30" w:afterLines="3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E：认可：智能化工业机器人、钻井泥浆无害化处理设备、电磁加热设备和电磁加热三项分离装置、固体废弃物处理设备设计、销售；采油设备、石油钻采机械部件的销售；石油钻采设备（电磁加热设备和电磁加热三项分离装置、游离水脱除器、油水增效分离元件、无淤塞油水泥分离填料）的零部件设计、加工、组装和销售；环保专用设备设计及技术服务</w:t>
            </w:r>
          </w:p>
          <w:p>
            <w:pPr>
              <w:spacing w:beforeLines="30" w:afterLines="3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非认可：油田技术服务;钻井泥浆(水基泥浆、油基泥浆、盐水泥浆)不落地无害化处理;污水处理（油田含油污水、压裂返排液、城市生活污水、垃圾渗滤液、化工污水等）服务危废污水除外</w:t>
            </w:r>
          </w:p>
          <w:p>
            <w:pPr>
              <w:spacing w:beforeLines="30" w:afterLines="3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O：认可：智能化工业机器人、钻井泥浆无害化处理设备、电磁加热设备和电磁加热三项分离装置、固体废弃物处理设备设计、销售；采油设备、石油钻采机械部件的销售；石油钻采设备（电磁加热设备和电磁加热三项分离装置、游离水脱除器、油水增效分离元件、无淤塞油水泥分离填料）的零部件设计、加工、组装和销售；环保专用设备设计及技术服务</w:t>
            </w:r>
          </w:p>
          <w:p>
            <w:pPr>
              <w:spacing w:beforeLines="30" w:afterLines="30"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非认可：油田技术服务;钻井泥浆(水基泥浆、油基泥浆、盐水泥浆)不落地无害化处理;污水处理（油田含油污水、压裂返排液、城市生活污水、垃圾渗滤液、化工污水等）服务危废污水除外</w:t>
            </w:r>
            <w:r>
              <w:rPr>
                <w:rFonts w:hint="eastAsia" w:ascii="宋体" w:hAnsi="宋体" w:eastAsia="宋体" w:cs="宋体"/>
                <w:sz w:val="21"/>
                <w:szCs w:val="21"/>
                <w:lang w:eastAsia="zh-CN"/>
              </w:rPr>
              <w:t>。</w:t>
            </w:r>
          </w:p>
          <w:p>
            <w:pPr>
              <w:spacing w:beforeLines="30" w:afterLines="30" w:line="360" w:lineRule="auto"/>
              <w:rPr>
                <w:rFonts w:hint="eastAsia" w:ascii="宋体" w:hAnsi="宋体" w:eastAsia="宋体" w:cs="宋体"/>
                <w:color w:val="FF0000"/>
                <w:kern w:val="2"/>
                <w:sz w:val="21"/>
                <w:szCs w:val="21"/>
                <w:lang w:val="en-US" w:eastAsia="zh-CN" w:bidi="ar-SA"/>
              </w:rPr>
            </w:pPr>
            <w:r>
              <w:rPr>
                <w:rFonts w:hint="eastAsia" w:ascii="宋体" w:hAnsi="宋体" w:eastAsia="宋体" w:cs="宋体"/>
                <w:sz w:val="21"/>
                <w:szCs w:val="21"/>
                <w:lang w:val="en-US" w:eastAsia="zh-CN"/>
              </w:rPr>
              <w:t>经确认</w:t>
            </w:r>
            <w:r>
              <w:rPr>
                <w:rFonts w:hint="eastAsia" w:ascii="宋体" w:hAnsi="宋体" w:eastAsia="宋体" w:cs="宋体"/>
                <w:sz w:val="21"/>
                <w:szCs w:val="21"/>
              </w:rPr>
              <w:t>体系</w:t>
            </w:r>
            <w:r>
              <w:rPr>
                <w:rFonts w:hint="eastAsia" w:ascii="宋体" w:hAnsi="宋体" w:eastAsia="宋体" w:cs="宋体"/>
                <w:sz w:val="21"/>
                <w:szCs w:val="21"/>
                <w:lang w:val="en-US" w:eastAsia="zh-CN"/>
              </w:rPr>
              <w:t>营业执照范围覆盖认证范围。</w:t>
            </w:r>
          </w:p>
        </w:tc>
        <w:tc>
          <w:tcPr>
            <w:tcW w:w="1585" w:type="dxa"/>
          </w:tcPr>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809"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质量/环境/职业健康安全管理体系及其过程</w:t>
            </w:r>
          </w:p>
        </w:tc>
        <w:tc>
          <w:tcPr>
            <w:tcW w:w="1311" w:type="dxa"/>
            <w:vAlign w:val="center"/>
          </w:tcPr>
          <w:p>
            <w:pPr>
              <w:spacing w:line="360" w:lineRule="auto"/>
              <w:rPr>
                <w:rFonts w:hint="eastAsia" w:ascii="宋体" w:hAnsi="宋体" w:eastAsia="宋体" w:cs="宋体"/>
                <w:color w:val="000000"/>
                <w:sz w:val="21"/>
                <w:szCs w:val="21"/>
              </w:rPr>
            </w:pPr>
            <w:r>
              <w:rPr>
                <w:rFonts w:hint="eastAsia" w:ascii="宋体" w:hAnsi="宋体" w:eastAsia="宋体" w:cs="宋体"/>
                <w:sz w:val="21"/>
                <w:szCs w:val="21"/>
              </w:rPr>
              <w:t xml:space="preserve">QEO：4.4  </w:t>
            </w:r>
          </w:p>
        </w:tc>
        <w:tc>
          <w:tcPr>
            <w:tcW w:w="10004" w:type="dxa"/>
            <w:vAlign w:val="center"/>
          </w:tcPr>
          <w:p>
            <w:pPr>
              <w:spacing w:beforeLines="30" w:afterLines="3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公司按照 GB/T19001-2016 和 GB/T24001-2016、ISO45001:2018 标准的要求识别了质量/环境/职业健康安全管理所需的过程及相互作用，识别了质量和环境、职业健康安全管理体系涉及的各个过程：</w:t>
            </w:r>
          </w:p>
          <w:p>
            <w:pPr>
              <w:spacing w:beforeLines="30" w:afterLines="30" w:line="360" w:lineRule="auto"/>
              <w:rPr>
                <w:rFonts w:hint="eastAsia" w:ascii="宋体" w:hAnsi="宋体" w:eastAsia="宋体" w:cs="宋体"/>
                <w:sz w:val="21"/>
                <w:szCs w:val="21"/>
              </w:rPr>
            </w:pPr>
            <w:r>
              <w:rPr>
                <w:rFonts w:hint="eastAsia" w:ascii="宋体" w:hAnsi="宋体" w:eastAsia="宋体" w:cs="宋体"/>
                <w:sz w:val="21"/>
                <w:szCs w:val="21"/>
              </w:rPr>
              <w:t>a) 确定这些过程所需的输入和期望的输出；b) 确定这些过程的顺序和相互作用；</w:t>
            </w:r>
          </w:p>
          <w:p>
            <w:pPr>
              <w:spacing w:beforeLines="30" w:afterLines="30" w:line="360" w:lineRule="auto"/>
              <w:rPr>
                <w:rFonts w:hint="eastAsia" w:ascii="宋体" w:hAnsi="宋体" w:eastAsia="宋体" w:cs="宋体"/>
                <w:sz w:val="21"/>
                <w:szCs w:val="21"/>
              </w:rPr>
            </w:pPr>
            <w:r>
              <w:rPr>
                <w:rFonts w:hint="eastAsia" w:ascii="宋体" w:hAnsi="宋体" w:eastAsia="宋体" w:cs="宋体"/>
                <w:sz w:val="21"/>
                <w:szCs w:val="21"/>
              </w:rPr>
              <w:t>c) 建立了程序文件、管理制度、作业指导书、检验规程等明确了各个过程所需的准则和方法，并明确了目标。d) 规定了每个过程所需的资源；e) 规定与这些过程相关的责任和权限； f) 针对这些过程识别和确定了质量管理活动的风险、机会以及所需的措施；g) 对这些过程进行了评价，暂无所需的变更；h) 公司通过绩效评价、内部审核、管理评审等以期对质量/环境/职业健康安全管理管理体系得到改进。</w:t>
            </w:r>
          </w:p>
          <w:p>
            <w:pPr>
              <w:spacing w:beforeLines="30" w:afterLines="30"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公司按照标准建立了文件化的质量/环境/职业健康安全管理体系，编制了质量／环境/职业健康安全手册，流程性文件、管理制度、作业指导书、检验规程等；并对各个过程的监控进行了记录，形成了相关文件化信息，为过程运行提供了支持，以证实过程按照策划执行。</w:t>
            </w:r>
          </w:p>
        </w:tc>
        <w:tc>
          <w:tcPr>
            <w:tcW w:w="1585" w:type="dxa"/>
          </w:tcPr>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1809" w:type="dxa"/>
            <w:vAlign w:val="center"/>
          </w:tcPr>
          <w:p>
            <w:pPr>
              <w:spacing w:line="360" w:lineRule="auto"/>
              <w:rPr>
                <w:rFonts w:hint="eastAsia" w:ascii="宋体" w:hAnsi="宋体" w:eastAsia="宋体" w:cs="宋体"/>
                <w:b/>
                <w:sz w:val="21"/>
                <w:szCs w:val="21"/>
              </w:rPr>
            </w:pPr>
            <w:r>
              <w:rPr>
                <w:rFonts w:hint="eastAsia" w:ascii="宋体" w:hAnsi="宋体" w:eastAsia="宋体" w:cs="宋体"/>
                <w:sz w:val="21"/>
                <w:szCs w:val="21"/>
              </w:rPr>
              <w:t>领导作用和承诺、组织的岗位职责和权限</w:t>
            </w:r>
          </w:p>
        </w:tc>
        <w:tc>
          <w:tcPr>
            <w:tcW w:w="1311"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QEO：</w:t>
            </w:r>
          </w:p>
          <w:p>
            <w:pPr>
              <w:spacing w:line="360" w:lineRule="auto"/>
              <w:rPr>
                <w:rFonts w:hint="eastAsia" w:ascii="宋体" w:hAnsi="宋体" w:eastAsia="宋体" w:cs="宋体"/>
                <w:b/>
                <w:sz w:val="21"/>
                <w:szCs w:val="21"/>
              </w:rPr>
            </w:pPr>
            <w:r>
              <w:rPr>
                <w:rFonts w:hint="eastAsia" w:ascii="宋体" w:hAnsi="宋体" w:eastAsia="宋体" w:cs="宋体"/>
                <w:sz w:val="21"/>
                <w:szCs w:val="21"/>
              </w:rPr>
              <w:t xml:space="preserve">5.1，5.3  </w:t>
            </w:r>
          </w:p>
        </w:tc>
        <w:tc>
          <w:tcPr>
            <w:tcW w:w="10004" w:type="dxa"/>
            <w:vAlign w:val="center"/>
          </w:tcPr>
          <w:p>
            <w:pPr>
              <w:spacing w:beforeLines="30" w:afterLines="3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公司管理体系运行</w:t>
            </w:r>
            <w:r>
              <w:rPr>
                <w:rFonts w:hint="eastAsia" w:ascii="宋体" w:hAnsi="宋体" w:eastAsia="宋体" w:cs="宋体"/>
                <w:sz w:val="21"/>
                <w:szCs w:val="21"/>
                <w:lang w:val="en-US" w:eastAsia="zh-CN"/>
              </w:rPr>
              <w:t>以来</w:t>
            </w:r>
            <w:r>
              <w:rPr>
                <w:rFonts w:hint="eastAsia" w:ascii="宋体" w:hAnsi="宋体" w:eastAsia="宋体" w:cs="宋体"/>
                <w:sz w:val="21"/>
                <w:szCs w:val="21"/>
              </w:rPr>
              <w:t>。对部门及其职责进行了规定，设有</w:t>
            </w:r>
            <w:r>
              <w:rPr>
                <w:rFonts w:hint="eastAsia" w:ascii="宋体" w:hAnsi="宋体" w:eastAsia="宋体" w:cs="宋体"/>
                <w:color w:val="000000"/>
                <w:sz w:val="21"/>
                <w:szCs w:val="21"/>
              </w:rPr>
              <w:t>行政部、技术部、</w:t>
            </w:r>
            <w:r>
              <w:rPr>
                <w:rFonts w:hint="eastAsia" w:ascii="宋体" w:hAnsi="宋体" w:eastAsia="宋体" w:cs="宋体"/>
                <w:color w:val="000000"/>
                <w:sz w:val="21"/>
                <w:szCs w:val="21"/>
                <w:lang w:val="en-US" w:eastAsia="zh-CN"/>
              </w:rPr>
              <w:t>供销</w:t>
            </w:r>
            <w:r>
              <w:rPr>
                <w:rFonts w:hint="eastAsia" w:ascii="宋体" w:hAnsi="宋体" w:eastAsia="宋体" w:cs="宋体"/>
                <w:color w:val="000000"/>
                <w:sz w:val="21"/>
                <w:szCs w:val="21"/>
              </w:rPr>
              <w:t>部、</w:t>
            </w:r>
            <w:r>
              <w:rPr>
                <w:rFonts w:hint="eastAsia" w:ascii="宋体" w:hAnsi="宋体" w:eastAsia="宋体" w:cs="宋体"/>
                <w:color w:val="000000"/>
                <w:sz w:val="21"/>
                <w:szCs w:val="21"/>
                <w:lang w:val="en-US" w:eastAsia="zh-CN"/>
              </w:rPr>
              <w:t>生产</w:t>
            </w:r>
            <w:r>
              <w:rPr>
                <w:rFonts w:hint="eastAsia" w:ascii="宋体" w:hAnsi="宋体" w:eastAsia="宋体" w:cs="宋体"/>
                <w:color w:val="000000"/>
                <w:sz w:val="21"/>
                <w:szCs w:val="21"/>
              </w:rPr>
              <w:t>部</w:t>
            </w:r>
            <w:r>
              <w:rPr>
                <w:rFonts w:hint="eastAsia" w:ascii="宋体" w:hAnsi="宋体" w:eastAsia="宋体" w:cs="宋体"/>
                <w:sz w:val="21"/>
                <w:szCs w:val="21"/>
              </w:rPr>
              <w:t>，编制了岗位职责汇编，以文件上发的形式沟通各部门的职责及各部门之间工作的联系。</w:t>
            </w:r>
          </w:p>
          <w:p>
            <w:pPr>
              <w:spacing w:beforeLines="30" w:afterLines="3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总经理，主要负责公司全面工作，</w:t>
            </w:r>
            <w:r>
              <w:rPr>
                <w:rFonts w:hint="eastAsia" w:ascii="宋体" w:hAnsi="宋体" w:eastAsia="宋体" w:cs="宋体"/>
                <w:color w:val="000000"/>
                <w:sz w:val="21"/>
                <w:szCs w:val="21"/>
              </w:rPr>
              <w:t>日常主要侧重于公司财务及采购销售工作，根据体系的要求，负责组织制定方针、目标，管理评审等工作；</w:t>
            </w:r>
            <w:r>
              <w:rPr>
                <w:rFonts w:hint="eastAsia" w:ascii="宋体" w:hAnsi="宋体" w:eastAsia="宋体" w:cs="宋体"/>
                <w:sz w:val="21"/>
                <w:szCs w:val="21"/>
              </w:rPr>
              <w:t>确保本公司三体系所需的过程得到建立、实施和保持；在全公司范围内促进满足顾客要求意识、环境保护意识、职业健康安全意识的形成和提高；就体系有关事宜对外联系。</w:t>
            </w:r>
          </w:p>
          <w:p>
            <w:pPr>
              <w:spacing w:beforeLines="30" w:afterLines="30"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总经理主持建立了质量环境职业健康安全管理体系，对管理体系的运行和保持进行了适当的授权，提供了必需的资源，能履行其管理承诺。组织了内审员培训，识别了生产的过程及其相互关系，企业提供《管理手册》，依据GB/T19001-2016/ISO9001:2015、GB/T24001-2016/IS014001:2015、ISO45001:2018标准。</w:t>
            </w:r>
            <w:r>
              <w:rPr>
                <w:rFonts w:hint="eastAsia" w:ascii="宋体" w:hAnsi="宋体" w:eastAsia="宋体" w:cs="宋体"/>
                <w:sz w:val="21"/>
                <w:szCs w:val="21"/>
                <w:lang w:val="en-US" w:eastAsia="zh-CN"/>
              </w:rPr>
              <w:t>由于扩大了认证范围，手册和程序文件做了相应修改，版本号由A1版变更为A2版，并于</w:t>
            </w:r>
            <w:r>
              <w:rPr>
                <w:rFonts w:hint="eastAsia" w:ascii="宋体" w:hAnsi="宋体" w:eastAsia="宋体" w:cs="宋体"/>
                <w:sz w:val="21"/>
                <w:szCs w:val="21"/>
              </w:rPr>
              <w:t>20</w:t>
            </w:r>
            <w:r>
              <w:rPr>
                <w:rFonts w:hint="eastAsia" w:ascii="宋体" w:hAnsi="宋体" w:eastAsia="宋体" w:cs="宋体"/>
                <w:sz w:val="21"/>
                <w:szCs w:val="21"/>
                <w:lang w:val="en-US" w:eastAsia="zh-CN"/>
              </w:rPr>
              <w:t>22.8.5</w:t>
            </w:r>
            <w:r>
              <w:rPr>
                <w:rFonts w:hint="eastAsia" w:ascii="宋体" w:hAnsi="宋体" w:eastAsia="宋体" w:cs="宋体"/>
                <w:sz w:val="21"/>
                <w:szCs w:val="21"/>
              </w:rPr>
              <w:t>发布，20</w:t>
            </w:r>
            <w:r>
              <w:rPr>
                <w:rFonts w:hint="eastAsia" w:ascii="宋体" w:hAnsi="宋体" w:eastAsia="宋体" w:cs="宋体"/>
                <w:sz w:val="21"/>
                <w:szCs w:val="21"/>
                <w:lang w:val="en-US" w:eastAsia="zh-CN"/>
              </w:rPr>
              <w:t>22.8.5</w:t>
            </w:r>
            <w:r>
              <w:rPr>
                <w:rFonts w:hint="eastAsia" w:ascii="宋体" w:hAnsi="宋体" w:eastAsia="宋体" w:cs="宋体"/>
                <w:sz w:val="21"/>
                <w:szCs w:val="21"/>
              </w:rPr>
              <w:t>实施；</w:t>
            </w:r>
            <w:r>
              <w:rPr>
                <w:rFonts w:hint="eastAsia" w:ascii="宋体" w:hAnsi="宋体" w:eastAsia="宋体" w:cs="宋体"/>
                <w:sz w:val="21"/>
                <w:szCs w:val="21"/>
                <w:lang w:val="en-US" w:eastAsia="zh-CN"/>
              </w:rPr>
              <w:t>对组织机构的职责进行了调整，部门依然为</w:t>
            </w:r>
            <w:r>
              <w:rPr>
                <w:rFonts w:hint="eastAsia" w:ascii="宋体" w:hAnsi="宋体" w:eastAsia="宋体" w:cs="宋体"/>
                <w:color w:val="000000"/>
                <w:sz w:val="21"/>
                <w:szCs w:val="21"/>
              </w:rPr>
              <w:t>组织机构：行政部、技术部、</w:t>
            </w:r>
            <w:r>
              <w:rPr>
                <w:rFonts w:hint="eastAsia" w:ascii="宋体" w:hAnsi="宋体" w:eastAsia="宋体" w:cs="宋体"/>
                <w:color w:val="000000"/>
                <w:sz w:val="21"/>
                <w:szCs w:val="21"/>
                <w:lang w:val="en-US" w:eastAsia="zh-CN"/>
              </w:rPr>
              <w:t>供销</w:t>
            </w:r>
            <w:r>
              <w:rPr>
                <w:rFonts w:hint="eastAsia" w:ascii="宋体" w:hAnsi="宋体" w:eastAsia="宋体" w:cs="宋体"/>
                <w:color w:val="000000"/>
                <w:sz w:val="21"/>
                <w:szCs w:val="21"/>
              </w:rPr>
              <w:t>部</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生产部。</w:t>
            </w:r>
          </w:p>
        </w:tc>
        <w:tc>
          <w:tcPr>
            <w:tcW w:w="1585" w:type="dxa"/>
          </w:tcPr>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809"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方针</w:t>
            </w:r>
          </w:p>
        </w:tc>
        <w:tc>
          <w:tcPr>
            <w:tcW w:w="1311"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QEO：5.2 </w:t>
            </w:r>
          </w:p>
        </w:tc>
        <w:tc>
          <w:tcPr>
            <w:tcW w:w="10004" w:type="dxa"/>
            <w:vAlign w:val="center"/>
          </w:tcPr>
          <w:p>
            <w:pPr>
              <w:spacing w:beforeLines="30" w:afterLines="3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企业已经制定质量、环境、安全方针，具体包含在《管理手册》，公司的方针是：</w:t>
            </w:r>
          </w:p>
          <w:p>
            <w:pPr>
              <w:spacing w:line="360" w:lineRule="auto"/>
              <w:rPr>
                <w:rFonts w:hint="eastAsia" w:ascii="宋体" w:hAnsi="宋体" w:eastAsia="宋体" w:cs="宋体"/>
                <w:sz w:val="21"/>
                <w:szCs w:val="21"/>
              </w:rPr>
            </w:pPr>
            <w:r>
              <w:rPr>
                <w:rFonts w:hint="eastAsia" w:ascii="宋体" w:hAnsi="宋体" w:eastAsia="宋体" w:cs="宋体"/>
                <w:sz w:val="21"/>
                <w:szCs w:val="21"/>
              </w:rPr>
              <w:t>公司的质量方针是：</w:t>
            </w:r>
          </w:p>
          <w:p>
            <w:pPr>
              <w:spacing w:line="360" w:lineRule="auto"/>
              <w:ind w:firstLine="516" w:firstLineChars="246"/>
              <w:rPr>
                <w:rFonts w:hint="eastAsia" w:ascii="宋体" w:hAnsi="宋体" w:eastAsia="宋体" w:cs="宋体"/>
                <w:sz w:val="21"/>
                <w:szCs w:val="21"/>
              </w:rPr>
            </w:pPr>
            <w:r>
              <w:rPr>
                <w:rFonts w:hint="eastAsia" w:ascii="宋体" w:hAnsi="宋体" w:eastAsia="宋体" w:cs="宋体"/>
                <w:sz w:val="21"/>
                <w:szCs w:val="21"/>
              </w:rPr>
              <w:t>质量为先、创新为重、诚实守信、顾客至上。</w:t>
            </w:r>
          </w:p>
          <w:p>
            <w:pPr>
              <w:spacing w:line="360" w:lineRule="auto"/>
              <w:ind w:left="479" w:leftChars="228" w:firstLine="96" w:firstLineChars="46"/>
              <w:rPr>
                <w:rFonts w:hint="eastAsia" w:ascii="宋体" w:hAnsi="宋体" w:eastAsia="宋体" w:cs="宋体"/>
                <w:sz w:val="21"/>
                <w:szCs w:val="21"/>
              </w:rPr>
            </w:pPr>
            <w:r>
              <w:rPr>
                <w:rFonts w:hint="eastAsia" w:ascii="宋体" w:hAnsi="宋体" w:eastAsia="宋体" w:cs="宋体"/>
                <w:sz w:val="21"/>
                <w:szCs w:val="21"/>
              </w:rPr>
              <w:t>公司的环境、职业健康安全方针：遵纪守法，重视效益，防治污染，持续发展；</w:t>
            </w:r>
          </w:p>
          <w:p>
            <w:pPr>
              <w:spacing w:line="360" w:lineRule="auto"/>
              <w:ind w:left="479" w:leftChars="228" w:firstLine="96" w:firstLineChars="46"/>
              <w:rPr>
                <w:rFonts w:hint="eastAsia" w:ascii="宋体" w:hAnsi="宋体" w:eastAsia="宋体" w:cs="宋体"/>
                <w:sz w:val="21"/>
                <w:szCs w:val="21"/>
              </w:rPr>
            </w:pPr>
            <w:r>
              <w:rPr>
                <w:rFonts w:hint="eastAsia" w:ascii="宋体" w:hAnsi="宋体" w:eastAsia="宋体" w:cs="宋体"/>
                <w:sz w:val="21"/>
                <w:szCs w:val="21"/>
              </w:rPr>
              <w:t>以人为本，遵纪守法，预防危害，持续改进。</w:t>
            </w:r>
          </w:p>
          <w:p>
            <w:pPr>
              <w:spacing w:beforeLines="30" w:afterLines="3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查领导层参与制定管理体系方针的情况，是否熟悉组织的管理体系方针内容、含义： 总经理</w:t>
            </w:r>
            <w:r>
              <w:rPr>
                <w:rFonts w:hint="eastAsia" w:ascii="宋体" w:hAnsi="宋体" w:eastAsia="宋体" w:cs="宋体"/>
                <w:sz w:val="21"/>
                <w:szCs w:val="21"/>
                <w:lang w:eastAsia="zh-CN"/>
              </w:rPr>
              <w:t>、</w:t>
            </w:r>
            <w:r>
              <w:rPr>
                <w:rFonts w:hint="eastAsia" w:ascii="宋体" w:hAnsi="宋体" w:eastAsia="宋体" w:cs="宋体"/>
                <w:sz w:val="21"/>
                <w:szCs w:val="21"/>
              </w:rPr>
              <w:t>管代，按照标准要求制订的方针，并介绍了方针的含义，对体系知识的学习还需加强。管理评审对质量、环境方针的适宜性作了评审，判定适宜，适合公司的发展需求。质量、环境方针符合标准要求。</w:t>
            </w:r>
          </w:p>
        </w:tc>
        <w:tc>
          <w:tcPr>
            <w:tcW w:w="1585" w:type="dxa"/>
          </w:tcPr>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组织的角色、职责和权限</w:t>
            </w:r>
          </w:p>
        </w:tc>
        <w:tc>
          <w:tcPr>
            <w:tcW w:w="1311"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QEO：5.3  </w:t>
            </w:r>
          </w:p>
        </w:tc>
        <w:tc>
          <w:tcPr>
            <w:tcW w:w="10004" w:type="dxa"/>
            <w:vAlign w:val="center"/>
          </w:tcPr>
          <w:p>
            <w:pPr>
              <w:spacing w:beforeLines="30" w:afterLines="30" w:line="360" w:lineRule="auto"/>
              <w:ind w:firstLine="420" w:firstLineChars="200"/>
              <w:rPr>
                <w:rFonts w:hint="eastAsia" w:ascii="宋体" w:hAnsi="宋体" w:eastAsia="宋体" w:cs="宋体"/>
                <w:color w:val="000000"/>
                <w:sz w:val="21"/>
                <w:szCs w:val="21"/>
              </w:rPr>
            </w:pPr>
            <w:r>
              <w:rPr>
                <w:rFonts w:hint="eastAsia" w:ascii="宋体" w:hAnsi="宋体" w:eastAsia="宋体" w:cs="宋体"/>
                <w:sz w:val="21"/>
                <w:szCs w:val="21"/>
              </w:rPr>
              <w:t>最高管理者明确了各部门和各岗位的职责和权限，以确保管理体系符合各项标准的要求，并确保各个过程获得其预期输出，向最高管理者报告质量、环境、职业健康安全管理体系的绩效及改进机会，确保整个组织推动以顾客为关注焦点，确保在策划和实施管理体系变更时保持其完整性。经查每个部门均有部门职责和权限，各岗位的职责和权限、任职要求在《岗位任职要求》中得到规定。经查问组织内的职责和权限基本得到沟通，通过文件发布、传达、会议、培训等了解有关职责和权限。同总经理交谈，对于自身职责权限比较清楚。</w:t>
            </w:r>
          </w:p>
        </w:tc>
        <w:tc>
          <w:tcPr>
            <w:tcW w:w="1585" w:type="dxa"/>
          </w:tcPr>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1" w:hRule="atLeast"/>
        </w:trPr>
        <w:tc>
          <w:tcPr>
            <w:tcW w:w="1809"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应对风险和机会的措施</w:t>
            </w:r>
          </w:p>
        </w:tc>
        <w:tc>
          <w:tcPr>
            <w:tcW w:w="1311"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QEO：6.1</w:t>
            </w:r>
          </w:p>
        </w:tc>
        <w:tc>
          <w:tcPr>
            <w:tcW w:w="10004" w:type="dxa"/>
            <w:vAlign w:val="center"/>
          </w:tcPr>
          <w:p>
            <w:pPr>
              <w:spacing w:beforeLines="30" w:afterLines="30" w:line="360" w:lineRule="auto"/>
              <w:rPr>
                <w:rFonts w:hint="eastAsia" w:ascii="宋体" w:hAnsi="宋体" w:eastAsia="宋体" w:cs="宋体"/>
                <w:sz w:val="21"/>
                <w:szCs w:val="21"/>
              </w:rPr>
            </w:pPr>
            <w:r>
              <w:rPr>
                <w:rFonts w:hint="eastAsia" w:ascii="宋体" w:hAnsi="宋体" w:eastAsia="宋体" w:cs="宋体"/>
                <w:sz w:val="21"/>
                <w:szCs w:val="21"/>
              </w:rPr>
              <w:t>编制有《风险和机遇的应对控制程序》，对组织内外的风险和机遇进行了策划。提供《风险和机遇评估分析表》，识别了风险和机遇来源、风险和机遇内容、管理措施、责任部门、实时时间、评价措施等，应对措施：与风险、机遇相适应。</w:t>
            </w:r>
          </w:p>
        </w:tc>
        <w:tc>
          <w:tcPr>
            <w:tcW w:w="1585" w:type="dxa"/>
          </w:tcPr>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809"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目标和措施计划（管理方案）</w:t>
            </w:r>
          </w:p>
        </w:tc>
        <w:tc>
          <w:tcPr>
            <w:tcW w:w="1311"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QEO：6.2  </w:t>
            </w:r>
          </w:p>
        </w:tc>
        <w:tc>
          <w:tcPr>
            <w:tcW w:w="10004" w:type="dxa"/>
            <w:vAlign w:val="center"/>
          </w:tcPr>
          <w:p>
            <w:pPr>
              <w:spacing w:beforeLines="30" w:afterLines="30" w:line="360" w:lineRule="auto"/>
              <w:rPr>
                <w:rFonts w:hint="eastAsia" w:ascii="宋体" w:hAnsi="宋体" w:eastAsia="宋体" w:cs="宋体"/>
                <w:sz w:val="21"/>
                <w:szCs w:val="21"/>
              </w:rPr>
            </w:pPr>
            <w:r>
              <w:rPr>
                <w:rFonts w:hint="eastAsia" w:ascii="宋体" w:hAnsi="宋体" w:eastAsia="宋体" w:cs="宋体"/>
                <w:sz w:val="21"/>
                <w:szCs w:val="21"/>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pPr>
              <w:spacing w:line="360" w:lineRule="auto"/>
              <w:rPr>
                <w:rFonts w:hint="eastAsia" w:ascii="宋体" w:hAnsi="宋体" w:eastAsia="宋体" w:cs="宋体"/>
                <w:sz w:val="21"/>
                <w:szCs w:val="21"/>
              </w:rPr>
            </w:pPr>
            <w:r>
              <w:rPr>
                <w:rFonts w:hint="eastAsia" w:ascii="宋体" w:hAnsi="宋体" w:eastAsia="宋体" w:cs="宋体"/>
                <w:sz w:val="21"/>
                <w:szCs w:val="21"/>
              </w:rPr>
              <w:t>质量目标：</w:t>
            </w:r>
          </w:p>
          <w:p>
            <w:pPr>
              <w:spacing w:line="360" w:lineRule="auto"/>
              <w:rPr>
                <w:rFonts w:hint="eastAsia" w:ascii="宋体" w:hAnsi="宋体" w:eastAsia="宋体" w:cs="宋体"/>
                <w:sz w:val="21"/>
                <w:szCs w:val="21"/>
              </w:rPr>
            </w:pPr>
            <w:r>
              <w:rPr>
                <w:rFonts w:hint="eastAsia" w:ascii="宋体" w:hAnsi="宋体" w:eastAsia="宋体" w:cs="宋体"/>
                <w:sz w:val="21"/>
                <w:szCs w:val="21"/>
              </w:rPr>
              <w:t>a）产品一次交验合格率&gt;95%</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b）产品出厂合格率100%；c）顾客满意度≥96%。</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环境目标</w:t>
            </w:r>
            <w:r>
              <w:rPr>
                <w:rFonts w:hint="eastAsia" w:ascii="宋体" w:hAnsi="宋体" w:eastAsia="宋体" w:cs="宋体"/>
                <w:sz w:val="21"/>
                <w:szCs w:val="21"/>
                <w:lang w:val="en-US" w:eastAsia="zh-CN"/>
              </w:rPr>
              <w:t>;</w:t>
            </w:r>
          </w:p>
          <w:p>
            <w:pPr>
              <w:spacing w:line="360" w:lineRule="auto"/>
              <w:rPr>
                <w:rFonts w:hint="eastAsia" w:ascii="宋体" w:hAnsi="宋体" w:eastAsia="宋体" w:cs="宋体"/>
                <w:sz w:val="21"/>
                <w:szCs w:val="21"/>
              </w:rPr>
            </w:pPr>
            <w:r>
              <w:rPr>
                <w:rFonts w:hint="eastAsia" w:ascii="宋体" w:hAnsi="宋体" w:eastAsia="宋体" w:cs="宋体"/>
                <w:sz w:val="21"/>
                <w:szCs w:val="21"/>
              </w:rPr>
              <w:t>a)固体废弃物分类管理</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b)环保无环保投诉</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c)火灾事故为零          </w:t>
            </w:r>
          </w:p>
          <w:p>
            <w:pPr>
              <w:spacing w:line="360" w:lineRule="auto"/>
              <w:rPr>
                <w:rFonts w:hint="eastAsia" w:ascii="宋体" w:hAnsi="宋体" w:eastAsia="宋体" w:cs="宋体"/>
                <w:sz w:val="21"/>
                <w:szCs w:val="21"/>
              </w:rPr>
            </w:pPr>
            <w:r>
              <w:rPr>
                <w:rFonts w:hint="eastAsia" w:ascii="宋体" w:hAnsi="宋体" w:eastAsia="宋体" w:cs="宋体"/>
                <w:sz w:val="21"/>
                <w:szCs w:val="21"/>
              </w:rPr>
              <w:t>职业健康安全目标：</w:t>
            </w:r>
          </w:p>
          <w:p>
            <w:pPr>
              <w:spacing w:line="360" w:lineRule="auto"/>
              <w:rPr>
                <w:rFonts w:hint="eastAsia" w:ascii="宋体" w:hAnsi="宋体" w:eastAsia="宋体" w:cs="宋体"/>
                <w:b/>
                <w:bCs/>
                <w:sz w:val="21"/>
                <w:szCs w:val="21"/>
              </w:rPr>
            </w:pPr>
            <w:r>
              <w:rPr>
                <w:rFonts w:hint="eastAsia" w:ascii="宋体" w:hAnsi="宋体" w:eastAsia="宋体" w:cs="宋体"/>
                <w:sz w:val="21"/>
                <w:szCs w:val="21"/>
              </w:rPr>
              <w:t>a)重大安全事故为零</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b)员工职业病为零</w:t>
            </w:r>
          </w:p>
          <w:p>
            <w:pPr>
              <w:spacing w:beforeLines="30" w:afterLines="30"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组织</w:t>
            </w:r>
            <w:r>
              <w:rPr>
                <w:rFonts w:hint="eastAsia" w:ascii="宋体" w:hAnsi="宋体" w:eastAsia="宋体" w:cs="宋体"/>
                <w:color w:val="000000"/>
                <w:sz w:val="21"/>
                <w:szCs w:val="21"/>
              </w:rPr>
              <w:t>对公司质量、环境、职业健康安全目标、指标予以分解，并在相关职能层次部门建立分目标，</w:t>
            </w:r>
            <w:r>
              <w:rPr>
                <w:rFonts w:hint="eastAsia" w:ascii="宋体" w:hAnsi="宋体" w:eastAsia="宋体" w:cs="宋体"/>
                <w:color w:val="000000"/>
                <w:sz w:val="21"/>
                <w:szCs w:val="21"/>
                <w:lang w:val="en-US" w:eastAsia="zh-CN"/>
              </w:rPr>
              <w:t>2022.6.30</w:t>
            </w:r>
            <w:r>
              <w:rPr>
                <w:rFonts w:hint="eastAsia" w:ascii="宋体" w:hAnsi="宋体" w:eastAsia="宋体" w:cs="宋体"/>
                <w:color w:val="000000"/>
                <w:sz w:val="21"/>
                <w:szCs w:val="21"/>
              </w:rPr>
              <w:t>各指标已达成，具体达成情况见各部门目标完成记录单。</w:t>
            </w:r>
          </w:p>
        </w:tc>
        <w:tc>
          <w:tcPr>
            <w:tcW w:w="1585" w:type="dxa"/>
          </w:tcPr>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1809"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变更的策划</w:t>
            </w:r>
          </w:p>
        </w:tc>
        <w:tc>
          <w:tcPr>
            <w:tcW w:w="1311"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Q：6.3</w:t>
            </w:r>
          </w:p>
        </w:tc>
        <w:tc>
          <w:tcPr>
            <w:tcW w:w="10004" w:type="dxa"/>
            <w:vAlign w:val="center"/>
          </w:tcPr>
          <w:p>
            <w:pPr>
              <w:spacing w:beforeLines="30" w:afterLines="3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总经理介绍变更时应考虑到：变更目的及其潜在后果；管理体系的完整性；资源的可获得性；</w:t>
            </w:r>
            <w:r>
              <w:rPr>
                <w:rFonts w:hint="eastAsia" w:ascii="宋体" w:hAnsi="宋体" w:eastAsia="宋体" w:cs="宋体"/>
                <w:sz w:val="21"/>
                <w:szCs w:val="21"/>
                <w:lang w:val="en-US" w:eastAsia="zh-CN"/>
              </w:rPr>
              <w:t>2022.8.18经营范围变化后，</w:t>
            </w:r>
            <w:r>
              <w:rPr>
                <w:rFonts w:hint="eastAsia" w:ascii="宋体" w:hAnsi="宋体" w:eastAsia="宋体" w:cs="宋体"/>
                <w:sz w:val="21"/>
                <w:szCs w:val="21"/>
              </w:rPr>
              <w:t>责任和权限</w:t>
            </w:r>
            <w:r>
              <w:rPr>
                <w:rFonts w:hint="eastAsia" w:ascii="宋体" w:hAnsi="宋体" w:eastAsia="宋体" w:cs="宋体"/>
                <w:sz w:val="21"/>
                <w:szCs w:val="21"/>
                <w:lang w:val="en-US" w:eastAsia="zh-CN"/>
              </w:rPr>
              <w:t>进行了</w:t>
            </w:r>
            <w:r>
              <w:rPr>
                <w:rFonts w:hint="eastAsia" w:ascii="宋体" w:hAnsi="宋体" w:eastAsia="宋体" w:cs="宋体"/>
                <w:sz w:val="21"/>
                <w:szCs w:val="21"/>
              </w:rPr>
              <w:t>再分配。并要求对变更管理体系应进行评审，确保文件的适宜性，经批准后发布实施</w:t>
            </w:r>
            <w:r>
              <w:rPr>
                <w:rFonts w:hint="eastAsia" w:ascii="宋体" w:hAnsi="宋体" w:eastAsia="宋体" w:cs="宋体"/>
                <w:sz w:val="21"/>
                <w:szCs w:val="21"/>
                <w:lang w:val="en-US" w:eastAsia="zh-CN"/>
              </w:rPr>
              <w:t>了新版《管理手册》和《程序文件》</w:t>
            </w:r>
            <w:r>
              <w:rPr>
                <w:rFonts w:hint="eastAsia" w:ascii="宋体" w:hAnsi="宋体" w:eastAsia="宋体" w:cs="宋体"/>
                <w:sz w:val="21"/>
                <w:szCs w:val="21"/>
              </w:rPr>
              <w:t>。</w:t>
            </w:r>
          </w:p>
        </w:tc>
        <w:tc>
          <w:tcPr>
            <w:tcW w:w="1585" w:type="dxa"/>
          </w:tcPr>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09"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资源</w:t>
            </w:r>
          </w:p>
        </w:tc>
        <w:tc>
          <w:tcPr>
            <w:tcW w:w="1311"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Q：7.1.1</w:t>
            </w:r>
          </w:p>
          <w:p>
            <w:pPr>
              <w:spacing w:line="360" w:lineRule="auto"/>
              <w:rPr>
                <w:rFonts w:hint="eastAsia" w:ascii="宋体" w:hAnsi="宋体" w:eastAsia="宋体" w:cs="宋体"/>
                <w:sz w:val="21"/>
                <w:szCs w:val="21"/>
              </w:rPr>
            </w:pPr>
            <w:r>
              <w:rPr>
                <w:rFonts w:hint="eastAsia" w:ascii="宋体" w:hAnsi="宋体" w:eastAsia="宋体" w:cs="宋体"/>
                <w:sz w:val="21"/>
                <w:szCs w:val="21"/>
              </w:rPr>
              <w:t>EO：7.1</w:t>
            </w:r>
          </w:p>
        </w:tc>
        <w:tc>
          <w:tcPr>
            <w:tcW w:w="10004" w:type="dxa"/>
            <w:vAlign w:val="center"/>
          </w:tcPr>
          <w:p>
            <w:pPr>
              <w:spacing w:beforeLines="30" w:afterLines="3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为确保管理体系的有效运行和持续改进，确保满足顾客要求，增强顾客满意，为管理体系的有效运行和持续改进提供充分的资源，包括人力资源、基础设施和工作环境；还包括为增强顾客满意所必需的资源。现有员工、生产及办公场所、办公设备等基础设施以及必要的工作环境，配备较为充分。</w:t>
            </w:r>
          </w:p>
          <w:p>
            <w:pPr>
              <w:spacing w:beforeLines="30" w:afterLines="3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总经理主持了今年的管理评审，对方针、目标的适宜性进行了评审，协助管代进行了内审，确保所需资源得到满足。</w:t>
            </w:r>
          </w:p>
          <w:p>
            <w:pPr>
              <w:spacing w:beforeLines="30" w:afterLines="3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为确保公司环保、安全资金得得以保障，公司每年制定专门预算，及时提供有关资金，确保本公司各项资金及时到位，保证环保、安全活动得到实施，达到预防污染、安全第一的活动目的。通过观察组织的办公设备有台式电脑、笔记本电脑、办公桌椅、投影仪、打印机、固定电话、网线钳</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生产设备万能表、切割机、压线钳子、螺丝刀、角磨机、钢卷尺、光电测量仪、电磁辐射监测仪</w:t>
            </w:r>
            <w:r>
              <w:rPr>
                <w:rFonts w:hint="eastAsia" w:ascii="宋体" w:hAnsi="宋体" w:eastAsia="宋体" w:cs="宋体"/>
                <w:sz w:val="21"/>
                <w:szCs w:val="21"/>
              </w:rPr>
              <w:t>等。</w:t>
            </w:r>
          </w:p>
          <w:p>
            <w:pPr>
              <w:spacing w:beforeLines="30" w:afterLines="3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通过现场观察及与领导沟通了解到，公司为确保管理体系的有效运行和持续改进，确保满足顾客要求，增强顾客满意，确定并提供了必要的资源，经过管理体系运行证明，现有资源可满足体系和产品的要求。</w:t>
            </w:r>
          </w:p>
          <w:p>
            <w:pPr>
              <w:spacing w:beforeLines="30" w:afterLines="3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公司目前的基础设施，能够满足当前三体系的要求。公司将依据经营发展的需要，会不断补充与增加。</w:t>
            </w:r>
          </w:p>
        </w:tc>
        <w:tc>
          <w:tcPr>
            <w:tcW w:w="1585" w:type="dxa"/>
          </w:tcPr>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09"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信息交流、沟通、</w:t>
            </w:r>
          </w:p>
          <w:p>
            <w:pPr>
              <w:spacing w:line="360" w:lineRule="auto"/>
              <w:rPr>
                <w:rFonts w:hint="eastAsia" w:ascii="宋体" w:hAnsi="宋体" w:eastAsia="宋体" w:cs="宋体"/>
                <w:sz w:val="21"/>
                <w:szCs w:val="21"/>
              </w:rPr>
            </w:pPr>
            <w:r>
              <w:rPr>
                <w:rFonts w:hint="eastAsia" w:ascii="宋体" w:hAnsi="宋体" w:eastAsia="宋体" w:cs="宋体"/>
                <w:sz w:val="21"/>
                <w:szCs w:val="21"/>
              </w:rPr>
              <w:t>协商与参与、安全事务代表</w:t>
            </w:r>
          </w:p>
        </w:tc>
        <w:tc>
          <w:tcPr>
            <w:tcW w:w="1311"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QEO：7.4</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O5.4  </w:t>
            </w:r>
          </w:p>
          <w:p>
            <w:pPr>
              <w:spacing w:line="360" w:lineRule="auto"/>
              <w:rPr>
                <w:rFonts w:hint="eastAsia" w:ascii="宋体" w:hAnsi="宋体" w:eastAsia="宋体" w:cs="宋体"/>
                <w:sz w:val="21"/>
                <w:szCs w:val="21"/>
              </w:rPr>
            </w:pPr>
          </w:p>
        </w:tc>
        <w:tc>
          <w:tcPr>
            <w:tcW w:w="10004" w:type="dxa"/>
            <w:vAlign w:val="center"/>
          </w:tcPr>
          <w:p>
            <w:pPr>
              <w:spacing w:beforeLines="30" w:afterLines="3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组织在各部门之间建立了与体系有关的信息通渠沟道，借助于会议、电话、口头交流等方式使全体员工达到沟通和理解。目前各部门协调一致，工作基本理顺。</w:t>
            </w:r>
          </w:p>
          <w:p>
            <w:pPr>
              <w:spacing w:beforeLines="30" w:afterLines="3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总经理定期主持经营办公例会，分析公司的发展、市场情况和体系运行是否有效，管理目标完成情况，满足顾客要求和法规程度，改进建议等内部管理存在问题等。</w:t>
            </w:r>
          </w:p>
          <w:p>
            <w:pPr>
              <w:spacing w:beforeLines="30" w:afterLines="3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总经理为协商、参与提供了时间、机会、培训、资源等保障，明确了沟通、协商、参与渠道，消除了障碍和壁垒。</w:t>
            </w:r>
          </w:p>
          <w:p>
            <w:pPr>
              <w:spacing w:beforeLines="30" w:afterLines="3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管代</w:t>
            </w:r>
            <w:r>
              <w:rPr>
                <w:rFonts w:hint="eastAsia" w:ascii="宋体" w:hAnsi="宋体" w:eastAsia="宋体" w:cs="宋体"/>
                <w:sz w:val="21"/>
                <w:szCs w:val="21"/>
                <w:lang w:val="en-US" w:eastAsia="zh-CN"/>
              </w:rPr>
              <w:t>窦广录</w:t>
            </w:r>
            <w:r>
              <w:rPr>
                <w:rFonts w:hint="eastAsia" w:ascii="宋体" w:hAnsi="宋体" w:eastAsia="宋体" w:cs="宋体"/>
                <w:sz w:val="21"/>
                <w:szCs w:val="21"/>
              </w:rPr>
              <w:t>介绍公司规模较小，组织为各部门管理人员及基层工作人员明确了职责和权限，各部门管理人参与了环境因素和危险源辨识、风险和机遇评价和控制措施的确定，在确定相关方的需求和期望时进行了适当的协商，共同参与了质量、环境、职业健康安全方针和目标的制定和评审，共同协商如何履行法律法规要求和其他要求，在确定管理体系的监视和测量及内部审核方案和持续改进方向时进行了事先协商，如有事件发生将组织相关人员适当参与事件调查。日常对于质量、环保、安全方面的信息主要利用会议、培训、座谈、电话、网络、收文等方式进行内外部沟通和协商。</w:t>
            </w:r>
          </w:p>
          <w:p>
            <w:pPr>
              <w:spacing w:beforeLines="30" w:afterLines="3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有</w:t>
            </w:r>
            <w:r>
              <w:rPr>
                <w:rFonts w:hint="eastAsia" w:ascii="宋体" w:hAnsi="宋体" w:eastAsia="宋体" w:cs="宋体"/>
                <w:sz w:val="21"/>
                <w:szCs w:val="21"/>
              </w:rPr>
              <w:t>会议记录、通知通报、培训记录、文件签收等组织内部培训方式相关记录。</w:t>
            </w:r>
          </w:p>
          <w:p>
            <w:pPr>
              <w:spacing w:beforeLines="30" w:afterLines="3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经</w:t>
            </w:r>
            <w:r>
              <w:rPr>
                <w:rFonts w:hint="eastAsia" w:ascii="宋体" w:hAnsi="宋体" w:eastAsia="宋体" w:cs="宋体"/>
                <w:sz w:val="21"/>
                <w:szCs w:val="21"/>
                <w:lang w:val="en-US" w:eastAsia="zh-CN"/>
              </w:rPr>
              <w:t>远程</w:t>
            </w:r>
            <w:r>
              <w:rPr>
                <w:rFonts w:hint="eastAsia" w:ascii="宋体" w:hAnsi="宋体" w:eastAsia="宋体" w:cs="宋体"/>
                <w:sz w:val="21"/>
                <w:szCs w:val="21"/>
              </w:rPr>
              <w:t>交流：目前与环保、劳动、消防、安监部门的信息交流主要是参加会议、接收来文、电话、邮件等，均按要求予以传达和落实，沟通情况较好。</w:t>
            </w:r>
          </w:p>
          <w:p>
            <w:pPr>
              <w:spacing w:beforeLines="30" w:afterLines="3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相关人员能够适当参与并协商办理公司经营管理及安全事务等工作。</w:t>
            </w:r>
          </w:p>
          <w:p>
            <w:pPr>
              <w:spacing w:beforeLines="30" w:afterLines="3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公司经选举确定职业健康安全事务代表是</w:t>
            </w:r>
            <w:r>
              <w:rPr>
                <w:rFonts w:hint="eastAsia" w:ascii="宋体" w:hAnsi="宋体" w:eastAsia="宋体" w:cs="宋体"/>
                <w:sz w:val="21"/>
                <w:szCs w:val="21"/>
                <w:lang w:val="en-US" w:eastAsia="zh-CN"/>
              </w:rPr>
              <w:t>王文清</w:t>
            </w:r>
            <w:r>
              <w:rPr>
                <w:rFonts w:hint="eastAsia" w:ascii="宋体" w:hAnsi="宋体" w:eastAsia="宋体" w:cs="宋体"/>
                <w:sz w:val="21"/>
                <w:szCs w:val="21"/>
              </w:rPr>
              <w:t>，其主要职责为a）负责职工代表大会的日常工作，检查、督促职工代表大会决议的执行；b）负责召开讨论有关工资、福利、劳动安全卫生、社会保险等涉及职工切身利益的会议，代表员工反映员工的建议和意见；c）接收、处理外部职业健康安全信息；d）收集、处理和反馈员工所关心的职业健康安全问题；</w:t>
            </w:r>
          </w:p>
          <w:p>
            <w:pPr>
              <w:spacing w:beforeLines="30" w:afterLines="3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由于公司福利待遇正常发放，员工无抱怨，目前信息交流机制畅通。</w:t>
            </w:r>
          </w:p>
          <w:p>
            <w:pPr>
              <w:spacing w:beforeLines="30" w:afterLines="3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现有的沟通渠道和方法能满足要求。审核中未发现因沟通不利不及时而造成（影响）某项工作不能正常运行的情况。</w:t>
            </w:r>
          </w:p>
        </w:tc>
        <w:tc>
          <w:tcPr>
            <w:tcW w:w="1585" w:type="dxa"/>
          </w:tcPr>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1809"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管理评审</w:t>
            </w:r>
          </w:p>
        </w:tc>
        <w:tc>
          <w:tcPr>
            <w:tcW w:w="1311"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QEO：9.3  </w:t>
            </w:r>
          </w:p>
        </w:tc>
        <w:tc>
          <w:tcPr>
            <w:tcW w:w="10004" w:type="dxa"/>
            <w:vAlign w:val="center"/>
          </w:tcPr>
          <w:p>
            <w:pPr>
              <w:spacing w:beforeLines="30" w:afterLines="3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查看《管理评审程序》，基本符合要求。202</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6</w:t>
            </w:r>
            <w:r>
              <w:rPr>
                <w:rFonts w:hint="eastAsia" w:ascii="宋体" w:hAnsi="宋体" w:eastAsia="宋体" w:cs="宋体"/>
                <w:sz w:val="21"/>
                <w:szCs w:val="21"/>
              </w:rPr>
              <w:t>.</w:t>
            </w:r>
            <w:r>
              <w:rPr>
                <w:rFonts w:hint="eastAsia" w:ascii="宋体" w:hAnsi="宋体" w:eastAsia="宋体" w:cs="宋体"/>
                <w:sz w:val="21"/>
                <w:szCs w:val="21"/>
                <w:lang w:val="en-US" w:eastAsia="zh-CN"/>
              </w:rPr>
              <w:t>30</w:t>
            </w:r>
            <w:r>
              <w:rPr>
                <w:rFonts w:hint="eastAsia" w:ascii="宋体" w:hAnsi="宋体" w:eastAsia="宋体" w:cs="宋体"/>
                <w:sz w:val="21"/>
                <w:szCs w:val="21"/>
              </w:rPr>
              <w:t>日进行了管理评审。</w:t>
            </w:r>
          </w:p>
          <w:p>
            <w:pPr>
              <w:spacing w:beforeLines="30" w:afterLines="3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查看“管理评审计划”，由</w:t>
            </w:r>
            <w:r>
              <w:rPr>
                <w:rFonts w:hint="eastAsia" w:ascii="宋体" w:hAnsi="宋体" w:eastAsia="宋体" w:cs="宋体"/>
                <w:sz w:val="21"/>
                <w:szCs w:val="21"/>
                <w:lang w:val="en-US" w:eastAsia="zh-CN"/>
              </w:rPr>
              <w:t>总经理</w:t>
            </w:r>
            <w:r>
              <w:rPr>
                <w:rFonts w:hint="eastAsia" w:ascii="宋体" w:hAnsi="宋体" w:eastAsia="宋体" w:cs="宋体"/>
                <w:sz w:val="21"/>
                <w:szCs w:val="21"/>
              </w:rPr>
              <w:t>签发；内容包括；评审目的、评审时间、参加部门人员、评审输入内容等。</w:t>
            </w:r>
          </w:p>
          <w:p>
            <w:pPr>
              <w:spacing w:beforeLines="30" w:afterLines="3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管理评审输入:包括组织的战略方向、与管理体系相关的内外部因素的变化，顾客满意和相关方的反馈，目标的实现情况，监视和测量结果，内部审核结果，外部供方的绩效，资源的充分性，应对风险和机遇所采取的措施，重要环境因素，重要危险源，合规义务履行情况，事件调查、纠正和预防措施，改进的机会等。管理评审的输入基本充分。查到各部门汇报材料，有参加人员签到表。</w:t>
            </w:r>
          </w:p>
          <w:p>
            <w:pPr>
              <w:spacing w:beforeLines="30" w:afterLines="3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管理评审输出：</w:t>
            </w:r>
          </w:p>
          <w:p>
            <w:pPr>
              <w:spacing w:line="360" w:lineRule="auto"/>
              <w:ind w:firstLine="420"/>
              <w:jc w:val="left"/>
              <w:rPr>
                <w:rFonts w:hint="eastAsia" w:ascii="宋体" w:hAnsi="宋体" w:eastAsia="宋体" w:cs="宋体"/>
                <w:color w:val="000000"/>
                <w:sz w:val="21"/>
                <w:szCs w:val="21"/>
              </w:rPr>
            </w:pPr>
            <w:r>
              <w:rPr>
                <w:rFonts w:hint="eastAsia" w:ascii="宋体" w:hAnsi="宋体" w:eastAsia="宋体" w:cs="宋体"/>
                <w:sz w:val="21"/>
                <w:szCs w:val="21"/>
              </w:rPr>
              <w:t>查看了总经理批准的“管理评审报告”，对公司体系文件的符合性，国家、地方及行业相关法规、标准的执行情况，风险和机遇的应对情况，产品质量情况，内审实施情况、相关方投诉情况、管理目标完成情况、管理体系的适宜性、有效性、充分性做出了评价。评审结论：自体系建立以来，公司的质量管理体系运行全面展开，通过新版的运行，收到良好的效果，经评审认为本公司的质量管理体系的建立和运行是充分的、适宜的、有效的。已具备了认证审核的条件。提出了3项改进措施:</w:t>
            </w:r>
            <w:r>
              <w:rPr>
                <w:rFonts w:hint="eastAsia" w:ascii="宋体" w:hAnsi="宋体" w:eastAsia="宋体" w:cs="宋体"/>
                <w:color w:val="000000"/>
                <w:sz w:val="21"/>
                <w:szCs w:val="21"/>
              </w:rPr>
              <w:t>加强供应商质量控制；加强内部管理，提高人员综合素质；ISO管理体系文件改进；</w:t>
            </w:r>
          </w:p>
          <w:p>
            <w:pPr>
              <w:spacing w:line="360" w:lineRule="auto"/>
              <w:ind w:firstLine="420"/>
              <w:jc w:val="left"/>
              <w:rPr>
                <w:rFonts w:hint="eastAsia" w:ascii="宋体" w:hAnsi="宋体" w:eastAsia="宋体" w:cs="宋体"/>
                <w:sz w:val="21"/>
                <w:szCs w:val="21"/>
              </w:rPr>
            </w:pPr>
            <w:r>
              <w:rPr>
                <w:rFonts w:hint="eastAsia" w:ascii="宋体" w:hAnsi="宋体" w:eastAsia="宋体" w:cs="宋体"/>
                <w:sz w:val="21"/>
                <w:szCs w:val="21"/>
              </w:rPr>
              <w:t>管理评审的策划及实施符合要求。</w:t>
            </w:r>
          </w:p>
        </w:tc>
        <w:tc>
          <w:tcPr>
            <w:tcW w:w="1585" w:type="dxa"/>
          </w:tcPr>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trPr>
        <w:tc>
          <w:tcPr>
            <w:tcW w:w="1809"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改进</w:t>
            </w:r>
          </w:p>
          <w:p>
            <w:pPr>
              <w:spacing w:line="360" w:lineRule="auto"/>
              <w:rPr>
                <w:rFonts w:hint="eastAsia" w:ascii="宋体" w:hAnsi="宋体" w:eastAsia="宋体" w:cs="宋体"/>
                <w:sz w:val="21"/>
                <w:szCs w:val="21"/>
              </w:rPr>
            </w:pPr>
          </w:p>
        </w:tc>
        <w:tc>
          <w:tcPr>
            <w:tcW w:w="1311"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QEO10.1、10.3</w:t>
            </w:r>
          </w:p>
          <w:p>
            <w:pPr>
              <w:spacing w:line="360" w:lineRule="auto"/>
              <w:rPr>
                <w:rFonts w:hint="eastAsia" w:ascii="宋体" w:hAnsi="宋体" w:eastAsia="宋体" w:cs="宋体"/>
                <w:sz w:val="21"/>
                <w:szCs w:val="21"/>
              </w:rPr>
            </w:pPr>
          </w:p>
        </w:tc>
        <w:tc>
          <w:tcPr>
            <w:tcW w:w="10004" w:type="dxa"/>
            <w:vAlign w:val="center"/>
          </w:tcPr>
          <w:p>
            <w:pPr>
              <w:snapToGrid w:val="0"/>
              <w:spacing w:beforeLines="30" w:afterLines="30" w:line="360" w:lineRule="auto"/>
              <w:ind w:firstLine="420" w:firstLineChars="200"/>
              <w:rPr>
                <w:rFonts w:hint="eastAsia" w:ascii="宋体" w:hAnsi="宋体" w:eastAsia="宋体" w:cs="宋体"/>
                <w:sz w:val="21"/>
                <w:szCs w:val="21"/>
              </w:rPr>
            </w:pPr>
            <w:r>
              <w:rPr>
                <w:rFonts w:hint="eastAsia" w:ascii="宋体" w:hAnsi="宋体" w:eastAsia="宋体" w:cs="宋体"/>
                <w:color w:val="000000"/>
                <w:sz w:val="21"/>
                <w:szCs w:val="21"/>
              </w:rPr>
              <w:t>管理者代表根据总经理意图组织持续改进过程的策划工作，由行政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tc>
        <w:tc>
          <w:tcPr>
            <w:tcW w:w="1585" w:type="dxa"/>
          </w:tcPr>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trPr>
        <w:tc>
          <w:tcPr>
            <w:tcW w:w="1809"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国家/地方抽查、顾客满意、相关方投诉处理</w:t>
            </w:r>
          </w:p>
        </w:tc>
        <w:tc>
          <w:tcPr>
            <w:tcW w:w="1311" w:type="dxa"/>
          </w:tcPr>
          <w:p>
            <w:pPr>
              <w:spacing w:line="360" w:lineRule="auto"/>
              <w:rPr>
                <w:rFonts w:hint="eastAsia" w:ascii="宋体" w:hAnsi="宋体" w:eastAsia="宋体" w:cs="宋体"/>
                <w:sz w:val="21"/>
                <w:szCs w:val="21"/>
              </w:rPr>
            </w:pPr>
          </w:p>
        </w:tc>
        <w:tc>
          <w:tcPr>
            <w:tcW w:w="10004" w:type="dxa"/>
          </w:tcPr>
          <w:p>
            <w:pPr>
              <w:spacing w:beforeLines="30" w:afterLines="3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自公司成立以来，未受到上级主管部门有关质量、环境问题、职业健康安全的行政处罚。未发生相关方的投诉。</w:t>
            </w:r>
          </w:p>
          <w:p>
            <w:pPr>
              <w:spacing w:beforeLines="30" w:afterLines="3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暂时没有国家/地方抽查情况。</w:t>
            </w:r>
          </w:p>
          <w:p>
            <w:pPr>
              <w:spacing w:beforeLines="30" w:afterLines="3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目前没有相关行政主管部门的检查处罚，在审核现场也未发现抽查、相关方投诉等情况。</w:t>
            </w:r>
          </w:p>
        </w:tc>
        <w:tc>
          <w:tcPr>
            <w:tcW w:w="1585" w:type="dxa"/>
          </w:tcPr>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809" w:type="dxa"/>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验证资质</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多场所</w:t>
            </w:r>
          </w:p>
        </w:tc>
        <w:tc>
          <w:tcPr>
            <w:tcW w:w="1311" w:type="dxa"/>
          </w:tcPr>
          <w:p>
            <w:pPr>
              <w:spacing w:line="360" w:lineRule="auto"/>
              <w:rPr>
                <w:rFonts w:hint="eastAsia" w:ascii="宋体" w:hAnsi="宋体" w:eastAsia="宋体" w:cs="宋体"/>
                <w:sz w:val="21"/>
                <w:szCs w:val="21"/>
              </w:rPr>
            </w:pPr>
          </w:p>
        </w:tc>
        <w:tc>
          <w:tcPr>
            <w:tcW w:w="10004" w:type="dxa"/>
          </w:tcPr>
          <w:p>
            <w:pPr>
              <w:spacing w:beforeLines="30" w:afterLines="30"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提供了组织营业执照均为有效。</w:t>
            </w:r>
            <w:r>
              <w:rPr>
                <w:rFonts w:hint="eastAsia" w:ascii="宋体" w:hAnsi="宋体" w:eastAsia="宋体" w:cs="宋体"/>
                <w:sz w:val="21"/>
                <w:szCs w:val="21"/>
                <w:lang w:val="en-US" w:eastAsia="zh-CN"/>
              </w:rPr>
              <w:t>无多场所。</w:t>
            </w:r>
          </w:p>
        </w:tc>
        <w:tc>
          <w:tcPr>
            <w:tcW w:w="1585" w:type="dxa"/>
          </w:tcPr>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809" w:type="dxa"/>
          </w:tcPr>
          <w:p>
            <w:pPr>
              <w:spacing w:line="360" w:lineRule="auto"/>
              <w:rPr>
                <w:rFonts w:hint="eastAsia" w:ascii="宋体" w:hAnsi="宋体" w:eastAsia="宋体" w:cs="宋体"/>
                <w:sz w:val="21"/>
                <w:szCs w:val="21"/>
                <w:lang w:val="en-US" w:eastAsia="zh-CN"/>
              </w:rPr>
            </w:pPr>
            <w:r>
              <w:rPr>
                <w:rFonts w:hint="eastAsia" w:ascii="宋体" w:hAnsi="宋体" w:eastAsia="宋体" w:cs="宋体"/>
                <w:color w:val="auto"/>
                <w:sz w:val="21"/>
                <w:szCs w:val="21"/>
                <w:lang w:val="en-US" w:eastAsia="zh-CN"/>
              </w:rPr>
              <w:t>上次审核</w:t>
            </w:r>
            <w:r>
              <w:rPr>
                <w:rFonts w:hint="eastAsia" w:ascii="宋体" w:hAnsi="宋体" w:eastAsia="宋体" w:cs="宋体"/>
                <w:sz w:val="21"/>
                <w:szCs w:val="21"/>
              </w:rPr>
              <w:t>问题验证</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体系变动</w:t>
            </w:r>
          </w:p>
        </w:tc>
        <w:tc>
          <w:tcPr>
            <w:tcW w:w="1311" w:type="dxa"/>
          </w:tcPr>
          <w:p>
            <w:pPr>
              <w:spacing w:line="360" w:lineRule="auto"/>
              <w:rPr>
                <w:rFonts w:hint="eastAsia" w:ascii="宋体" w:hAnsi="宋体" w:eastAsia="宋体" w:cs="宋体"/>
                <w:sz w:val="21"/>
                <w:szCs w:val="21"/>
              </w:rPr>
            </w:pPr>
          </w:p>
        </w:tc>
        <w:tc>
          <w:tcPr>
            <w:tcW w:w="10004" w:type="dxa"/>
          </w:tcPr>
          <w:p>
            <w:pPr>
              <w:spacing w:beforeLines="30" w:afterLines="30" w:line="360" w:lineRule="auto"/>
              <w:ind w:firstLine="420" w:firstLineChars="200"/>
              <w:rPr>
                <w:rFonts w:hint="eastAsia" w:ascii="宋体" w:hAnsi="宋体" w:eastAsia="宋体" w:cs="宋体"/>
                <w:sz w:val="21"/>
                <w:szCs w:val="21"/>
              </w:rPr>
            </w:pPr>
            <w:r>
              <w:rPr>
                <w:rFonts w:hint="eastAsia" w:ascii="宋体" w:hAnsi="宋体" w:eastAsia="宋体" w:cs="宋体"/>
                <w:color w:val="auto"/>
                <w:sz w:val="21"/>
                <w:szCs w:val="21"/>
                <w:lang w:val="en-US" w:eastAsia="zh-CN"/>
              </w:rPr>
              <w:t>上次审核不符合2项，已经按要求进行了整改，纠正有效</w:t>
            </w:r>
            <w:r>
              <w:rPr>
                <w:rFonts w:hint="eastAsia" w:ascii="宋体" w:hAnsi="宋体" w:eastAsia="宋体" w:cs="宋体"/>
                <w:color w:val="auto"/>
                <w:sz w:val="21"/>
                <w:szCs w:val="21"/>
              </w:rPr>
              <w:t>。</w:t>
            </w:r>
            <w:r>
              <w:rPr>
                <w:rFonts w:hint="eastAsia" w:ascii="宋体" w:hAnsi="宋体" w:eastAsia="宋体" w:cs="宋体"/>
                <w:sz w:val="21"/>
                <w:szCs w:val="21"/>
                <w:lang w:val="en-US" w:eastAsia="zh-CN"/>
              </w:rPr>
              <w:t>由于扩大了认证范围，手册和程序文件做了相应修改，版本号由A1版变更为A2版，并于</w:t>
            </w:r>
            <w:r>
              <w:rPr>
                <w:rFonts w:hint="eastAsia" w:ascii="宋体" w:hAnsi="宋体" w:eastAsia="宋体" w:cs="宋体"/>
                <w:sz w:val="21"/>
                <w:szCs w:val="21"/>
              </w:rPr>
              <w:t>20</w:t>
            </w:r>
            <w:r>
              <w:rPr>
                <w:rFonts w:hint="eastAsia" w:ascii="宋体" w:hAnsi="宋体" w:eastAsia="宋体" w:cs="宋体"/>
                <w:sz w:val="21"/>
                <w:szCs w:val="21"/>
                <w:lang w:val="en-US" w:eastAsia="zh-CN"/>
              </w:rPr>
              <w:t>22.8.5</w:t>
            </w:r>
            <w:r>
              <w:rPr>
                <w:rFonts w:hint="eastAsia" w:ascii="宋体" w:hAnsi="宋体" w:eastAsia="宋体" w:cs="宋体"/>
                <w:sz w:val="21"/>
                <w:szCs w:val="21"/>
              </w:rPr>
              <w:t>发布，20</w:t>
            </w:r>
            <w:r>
              <w:rPr>
                <w:rFonts w:hint="eastAsia" w:ascii="宋体" w:hAnsi="宋体" w:eastAsia="宋体" w:cs="宋体"/>
                <w:sz w:val="21"/>
                <w:szCs w:val="21"/>
                <w:lang w:val="en-US" w:eastAsia="zh-CN"/>
              </w:rPr>
              <w:t>22.8.5</w:t>
            </w:r>
            <w:r>
              <w:rPr>
                <w:rFonts w:hint="eastAsia" w:ascii="宋体" w:hAnsi="宋体" w:eastAsia="宋体" w:cs="宋体"/>
                <w:sz w:val="21"/>
                <w:szCs w:val="21"/>
              </w:rPr>
              <w:t>实施；</w:t>
            </w:r>
          </w:p>
        </w:tc>
        <w:tc>
          <w:tcPr>
            <w:tcW w:w="1585" w:type="dxa"/>
          </w:tcPr>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符合</w:t>
            </w:r>
          </w:p>
        </w:tc>
      </w:tr>
    </w:tbl>
    <w:p>
      <w:r>
        <w:ptab w:relativeTo="margin" w:alignment="center" w:leader="none"/>
      </w:r>
    </w:p>
    <w:p/>
    <w:p>
      <w:pPr>
        <w:pStyle w:val="4"/>
      </w:pPr>
      <w:bookmarkStart w:id="1" w:name="_GoBack"/>
      <w:bookmarkEnd w:id="1"/>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10</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1026" o:spid="_x0000_s1026" o:spt="202" type="#_x0000_t202" style="position:absolute;left:0pt;margin-left:620.4pt;margin-top:12.55pt;height:20.2pt;width:102.7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0"/>
      </w:pBdr>
      <w:spacing w:line="320" w:lineRule="exact"/>
      <w:ind w:firstLine="756" w:firstLineChars="400"/>
      <w:jc w:val="left"/>
    </w:pPr>
    <w:r>
      <w:rPr>
        <w:rStyle w:val="12"/>
        <w:rFonts w:hint="default"/>
        <w:w w:val="90"/>
      </w:rPr>
      <w:t>Beijing International Standard united Certification Co.,Ltd.</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JhN2U4Y2Q5MGE2Mzc1MDlkNDVmNzZkYmRlMTYyYjcifQ=="/>
  </w:docVars>
  <w:rsids>
    <w:rsidRoot w:val="005C040C"/>
    <w:rsid w:val="000179DB"/>
    <w:rsid w:val="00027CFD"/>
    <w:rsid w:val="000318CB"/>
    <w:rsid w:val="00160243"/>
    <w:rsid w:val="00216D0F"/>
    <w:rsid w:val="002453E0"/>
    <w:rsid w:val="002F116E"/>
    <w:rsid w:val="003230EB"/>
    <w:rsid w:val="003254EE"/>
    <w:rsid w:val="003B6B18"/>
    <w:rsid w:val="003D25D2"/>
    <w:rsid w:val="00443311"/>
    <w:rsid w:val="004815BC"/>
    <w:rsid w:val="004D58AA"/>
    <w:rsid w:val="004E1E33"/>
    <w:rsid w:val="00537A14"/>
    <w:rsid w:val="0055317A"/>
    <w:rsid w:val="005C040C"/>
    <w:rsid w:val="005C2CC2"/>
    <w:rsid w:val="00607106"/>
    <w:rsid w:val="00615BD7"/>
    <w:rsid w:val="00711EF7"/>
    <w:rsid w:val="00720BC8"/>
    <w:rsid w:val="007D12E6"/>
    <w:rsid w:val="007F23D6"/>
    <w:rsid w:val="008A1D90"/>
    <w:rsid w:val="008B13D5"/>
    <w:rsid w:val="008B394B"/>
    <w:rsid w:val="008B4944"/>
    <w:rsid w:val="008D6E91"/>
    <w:rsid w:val="008E0CBF"/>
    <w:rsid w:val="009C6CE5"/>
    <w:rsid w:val="009C71AF"/>
    <w:rsid w:val="00A143B6"/>
    <w:rsid w:val="00A23916"/>
    <w:rsid w:val="00A31BAA"/>
    <w:rsid w:val="00AD0913"/>
    <w:rsid w:val="00B20739"/>
    <w:rsid w:val="00BC5B55"/>
    <w:rsid w:val="00CF62F2"/>
    <w:rsid w:val="00D050A8"/>
    <w:rsid w:val="00D10ACD"/>
    <w:rsid w:val="00D471E6"/>
    <w:rsid w:val="00D572DD"/>
    <w:rsid w:val="00D61BE1"/>
    <w:rsid w:val="00DB07D3"/>
    <w:rsid w:val="00DC08CB"/>
    <w:rsid w:val="00E15843"/>
    <w:rsid w:val="00E34B66"/>
    <w:rsid w:val="00E92D77"/>
    <w:rsid w:val="00EA40CD"/>
    <w:rsid w:val="00ED7AC6"/>
    <w:rsid w:val="00F7678E"/>
    <w:rsid w:val="09DE55FC"/>
    <w:rsid w:val="0AFB1C9F"/>
    <w:rsid w:val="10A602E2"/>
    <w:rsid w:val="1F5A273D"/>
    <w:rsid w:val="263E0955"/>
    <w:rsid w:val="2A435ABB"/>
    <w:rsid w:val="38887767"/>
    <w:rsid w:val="39F03076"/>
    <w:rsid w:val="3A581E61"/>
    <w:rsid w:val="4B7A3399"/>
    <w:rsid w:val="4F351F13"/>
    <w:rsid w:val="519D312B"/>
    <w:rsid w:val="5CB05CD3"/>
    <w:rsid w:val="6B9771C8"/>
    <w:rsid w:val="6F417657"/>
    <w:rsid w:val="702B4B40"/>
    <w:rsid w:val="78A76B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rFonts w:ascii="Times New Roman" w:hAnsi="Times New Roman" w:eastAsia="宋体" w:cs="Times New Roman"/>
      <w:sz w:val="18"/>
      <w:szCs w:val="18"/>
    </w:rPr>
  </w:style>
  <w:style w:type="character" w:customStyle="1" w:styleId="10">
    <w:name w:val="页脚 Char"/>
    <w:basedOn w:val="8"/>
    <w:link w:val="4"/>
    <w:qFormat/>
    <w:uiPriority w:val="99"/>
    <w:rPr>
      <w:rFonts w:ascii="Times New Roman" w:hAnsi="Times New Roman" w:eastAsia="宋体" w:cs="Times New Roman"/>
      <w:sz w:val="18"/>
      <w:szCs w:val="18"/>
    </w:rPr>
  </w:style>
  <w:style w:type="character" w:customStyle="1" w:styleId="11">
    <w:name w:val="批注框文本 Char"/>
    <w:basedOn w:val="8"/>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5765</Words>
  <Characters>6123</Characters>
  <Lines>41</Lines>
  <Paragraphs>11</Paragraphs>
  <TotalTime>3</TotalTime>
  <ScaleCrop>false</ScaleCrop>
  <LinksUpToDate>false</LinksUpToDate>
  <CharactersWithSpaces>6237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LIL</cp:lastModifiedBy>
  <dcterms:modified xsi:type="dcterms:W3CDTF">2022-08-30T14:03:45Z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1E6AF0107A4945E7A46BFB9AB72DF13C</vt:lpwstr>
  </property>
</Properties>
</file>