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b/>
          <w:bCs/>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赢胜节能集团</w:t>
      </w:r>
      <w:r>
        <w:rPr>
          <w:rFonts w:hint="eastAsia" w:ascii="宋体" w:hAnsi="宋体"/>
          <w:b/>
          <w:bCs/>
          <w:sz w:val="32"/>
          <w:szCs w:val="32"/>
          <w:u w:val="single"/>
          <w:lang w:val="en-US" w:eastAsia="zh-CN"/>
        </w:rPr>
        <w:t>股份</w:t>
      </w:r>
      <w:r>
        <w:rPr>
          <w:rFonts w:ascii="宋体" w:hAnsi="宋体"/>
          <w:b/>
          <w:bCs/>
          <w:sz w:val="32"/>
          <w:szCs w:val="32"/>
          <w:u w:val="single"/>
        </w:rPr>
        <w:t>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0124-2020-2022</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0124-2020-2022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赢胜节能集团</w:t>
            </w:r>
            <w:r>
              <w:rPr>
                <w:rFonts w:hint="eastAsia" w:cs="宋体" w:asciiTheme="minorEastAsia" w:hAnsiTheme="minorEastAsia"/>
                <w:kern w:val="0"/>
                <w:szCs w:val="21"/>
                <w:lang w:val="en-US" w:eastAsia="zh-CN"/>
              </w:rPr>
              <w:t>股份</w:t>
            </w:r>
            <w:r>
              <w:rPr>
                <w:rFonts w:cs="宋体" w:asciiTheme="minorEastAsia" w:hAnsiTheme="minorEastAsia"/>
                <w:kern w:val="0"/>
                <w:szCs w:val="21"/>
              </w:rPr>
              <w:t>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戴瑞</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ISC-2020-0758</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2025-07-05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2022年08月29日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color w:val="000000"/>
                <w:szCs w:val="21"/>
                <w:shd w:val="clear" w:color="auto" w:fill="auto"/>
                <w:lang w:val="en-US" w:eastAsia="zh-CN"/>
              </w:rPr>
            </w:pPr>
            <w:r>
              <w:rPr>
                <w:rFonts w:hint="eastAsia"/>
                <w:color w:val="000000"/>
                <w:szCs w:val="21"/>
                <w:shd w:val="clear" w:color="auto" w:fill="auto"/>
                <w:lang w:val="en-US" w:eastAsia="zh-CN"/>
              </w:rPr>
              <w:t>黄金荣</w:t>
            </w:r>
          </w:p>
          <w:p>
            <w:pPr>
              <w:tabs>
                <w:tab w:val="left" w:pos="880"/>
              </w:tabs>
              <w:autoSpaceDE w:val="0"/>
              <w:autoSpaceDN w:val="0"/>
              <w:adjustRightInd w:val="0"/>
              <w:spacing w:before="35" w:line="276" w:lineRule="auto"/>
              <w:ind w:right="161"/>
              <w:rPr>
                <w:color w:val="000000"/>
                <w:szCs w:val="21"/>
                <w:shd w:val="clear" w:color="auto" w:fill="auto"/>
              </w:rPr>
            </w:pPr>
            <w:r>
              <w:rPr>
                <w:color w:val="000000"/>
                <w:szCs w:val="21"/>
                <w:shd w:val="clear" w:color="auto" w:fill="auto"/>
              </w:rPr>
              <w:t>2021-M1MMS-2227641</w:t>
            </w:r>
          </w:p>
          <w:p>
            <w:pPr>
              <w:tabs>
                <w:tab w:val="left" w:pos="880"/>
              </w:tabs>
              <w:autoSpaceDE w:val="0"/>
              <w:autoSpaceDN w:val="0"/>
              <w:adjustRightInd w:val="0"/>
              <w:spacing w:before="35" w:line="276" w:lineRule="auto"/>
              <w:ind w:right="161"/>
              <w:rPr>
                <w:rFonts w:hint="eastAsia"/>
                <w:color w:val="000000"/>
                <w:szCs w:val="21"/>
                <w:shd w:val="clear" w:color="auto" w:fill="auto"/>
                <w:lang w:val="en-US" w:eastAsia="zh-CN"/>
              </w:rPr>
            </w:pPr>
            <w:r>
              <w:rPr>
                <w:rFonts w:hint="eastAsia"/>
                <w:color w:val="000000"/>
                <w:szCs w:val="21"/>
                <w:shd w:val="clear" w:color="auto" w:fill="auto"/>
                <w:lang w:val="en-US" w:eastAsia="zh-CN"/>
              </w:rPr>
              <w:t>蔡萍</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color w:val="000000"/>
                <w:szCs w:val="21"/>
                <w:shd w:val="clear" w:color="auto" w:fill="auto"/>
              </w:rPr>
              <w:t>2021-M1MMS-2274225</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eastAsia="宋体" w:cs="宋体"/>
                <w:kern w:val="0"/>
                <w:szCs w:val="21"/>
                <w:lang w:eastAsia="zh-CN"/>
              </w:rPr>
            </w:pPr>
            <w:r>
              <w:rPr>
                <w:rFonts w:hint="eastAsia" w:ascii="宋体" w:hAnsi="宋体"/>
                <w:color w:val="auto"/>
                <w:szCs w:val="21"/>
                <w:lang w:val="en-US" w:eastAsia="zh-CN"/>
              </w:rPr>
              <w:t>管理层/</w:t>
            </w:r>
            <w:r>
              <w:rPr>
                <w:rFonts w:hint="eastAsia" w:ascii="宋体" w:hAnsi="宋体"/>
                <w:color w:val="auto"/>
                <w:szCs w:val="21"/>
              </w:rPr>
              <w:t>管理者代表</w:t>
            </w:r>
            <w:r>
              <w:rPr>
                <w:rFonts w:hint="eastAsia" w:ascii="宋体" w:hAnsi="宋体"/>
                <w:color w:val="auto"/>
                <w:szCs w:val="21"/>
                <w:lang w:eastAsia="zh-CN"/>
              </w:rPr>
              <w:t>、</w:t>
            </w:r>
            <w:r>
              <w:rPr>
                <w:rFonts w:hint="eastAsia" w:ascii="宋体" w:hAnsi="宋体"/>
                <w:color w:val="auto"/>
                <w:szCs w:val="21"/>
                <w:lang w:val="en-US" w:eastAsia="zh-CN"/>
              </w:rPr>
              <w:t>质管部</w:t>
            </w:r>
            <w:r>
              <w:rPr>
                <w:rFonts w:hint="eastAsia" w:ascii="宋体" w:hAnsi="宋体" w:cs="宋体"/>
                <w:kern w:val="0"/>
                <w:szCs w:val="21"/>
                <w:lang w:eastAsia="zh-CN"/>
              </w:rPr>
              <w:t>、</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s="宋体"/>
                <w:kern w:val="0"/>
                <w:szCs w:val="21"/>
                <w:lang w:val="en-US" w:eastAsia="zh-CN"/>
              </w:rPr>
              <w:t>采购部、销售部、制造部（车间、动力能源部）、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spacing w:line="360" w:lineRule="auto"/>
        <w:rPr>
          <w:rFonts w:hint="eastAsia" w:asciiTheme="majorEastAsia" w:hAnsiTheme="majorEastAsia" w:eastAsiaTheme="majorEastAsia" w:cstheme="majorEastAsia"/>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2.1公司于2022年5月5日至5月6日组织了公司测量管理体系内审，内审分2个组，对公司7个部门和车间进行了审核，共开出了1个不符合项，到目前为止不符合项已全部完成整改。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6月1日开展了测量管理体系管理评审，会议由公司总经理张君主持，由管理者代表汇报了测量体系运行情况。相关部门汇报了本部门分管的测量体系相关工作。会议肯定了公司测量管理体系的充分性、有效性和适宜性。形成了管理评审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表观密度称重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a)计量要求的导出和验证：查表观密度称重测量过程，计量要求导出方法正确，验证满足测量过程要求。祥见附件《计量要求导出及验证记录表》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b)测量不确定评定：查表观密度称重测量过程，测量不确定度评定方法正确。祥见附件《测量不确定度评定》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c)有效性确认：查表观密度称重测量过程有效性确认，满足要求。祥见附件《测量过程有效性确认》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d)测量过程的控制：查表观密度称重测量过程，编制了控制规范，对测量人员、测量设备、测量环境进行控制，满足要求。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e)测量过程的监视：查表观密度称重测量过程，采用统计技术进行控制和监视测量过程。祥见《测量过程监视记录》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质管部负责组织委外检定/校准。公司测量设备委托中国赛宝实验室计量检测中心、苏州莱测检测科技有限公司、广东精衡检测科技有限公司校准，抽查8台测量设备校准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能源管理情况：企业不是重点能耗单位，企业主要耗能有电、水，2021年1-12月全年消耗电量22911.5 kWh，水64930t，合计耗能689.15tce，符合GB17167-2006的要求。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对认证审核时提出的的不符合项的纠正措施情况：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去年监督审核未发现不符合项。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企业根据测量体系质量方针，制定了5项质量目标，目标可测量，编制了《测量管理体系质量目标监测表 》，每月统计质量目标完成情况。查:2022年1月至7月质量目标全部完成。企业测量体系进一步满足顾客、质量、服务等方面的要求，符合GB/T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企业营业执照已发生变更，企业名称由赢胜节能集团有限公司变更为赢胜节能集团股份有限公司，其他没有变更。2021年10月26日取得新的营业执照。营业期限2002年05月28日至2052年5月23日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FF"/>
          <w:kern w:val="0"/>
          <w:sz w:val="24"/>
          <w:szCs w:val="24"/>
          <w:highlight w:val="none"/>
          <w:lang w:val="en-US" w:eastAsia="zh-CN"/>
        </w:rPr>
      </w:pPr>
    </w:p>
    <w:p>
      <w:pPr>
        <w:numPr>
          <w:ilvl w:val="0"/>
          <w:numId w:val="2"/>
        </w:numPr>
        <w:spacing w:line="440" w:lineRule="exact"/>
        <w:ind w:right="-27" w:rightChars="-13"/>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本次审核未发现一般不符合项 ，未发现严重或系统性的不符合情况。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11.产品的售后</w:t>
      </w:r>
      <w:bookmarkStart w:id="11" w:name="_GoBack"/>
      <w:bookmarkEnd w:id="11"/>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抽查《青岛京东方项目橡塑保温买卖合同》，合同号:BJ-QDJDF-020，签订时间2022年06月27日，合同内容包括技术服务与支持。主要是到现场进行技术指导，不需要测量设备。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8月29日，对赢胜节能集团股份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赢胜节能集团股份有限公司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color w:val="auto"/>
          <w:kern w:val="0"/>
          <w:szCs w:val="21"/>
        </w:rPr>
      </w:pP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70528" behindDoc="0" locked="0" layoutInCell="1" allowOverlap="1">
            <wp:simplePos x="0" y="0"/>
            <wp:positionH relativeFrom="column">
              <wp:posOffset>1459230</wp:posOffset>
            </wp:positionH>
            <wp:positionV relativeFrom="paragraph">
              <wp:posOffset>1270</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2022年8月29日</w:t>
      </w:r>
    </w:p>
    <w:p>
      <w:pPr>
        <w:widowControl/>
        <w:spacing w:line="360" w:lineRule="auto"/>
        <w:jc w:val="left"/>
        <w:rPr>
          <w:rFonts w:ascii="宋体" w:hAnsi="宋体" w:eastAsia="宋体" w:cs="宋体"/>
          <w:color w:val="000000"/>
          <w:kern w:val="0"/>
          <w:szCs w:val="21"/>
        </w:rPr>
      </w:pPr>
      <w:r>
        <w:rPr>
          <w:rFonts w:ascii="宋体" w:hAnsi="宋体" w:eastAsia="宋体" w:cs="宋体"/>
          <w:sz w:val="24"/>
          <w:szCs w:val="24"/>
        </w:rPr>
        <w:drawing>
          <wp:anchor distT="0" distB="0" distL="114300" distR="114300" simplePos="0" relativeHeight="251673600" behindDoc="0" locked="0" layoutInCell="1" allowOverlap="1">
            <wp:simplePos x="0" y="0"/>
            <wp:positionH relativeFrom="column">
              <wp:posOffset>1478915</wp:posOffset>
            </wp:positionH>
            <wp:positionV relativeFrom="paragraph">
              <wp:posOffset>251460</wp:posOffset>
            </wp:positionV>
            <wp:extent cx="516890" cy="293370"/>
            <wp:effectExtent l="0" t="0" r="6985" b="190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516890" cy="293370"/>
                    </a:xfrm>
                    <a:prstGeom prst="rect">
                      <a:avLst/>
                    </a:prstGeom>
                    <a:noFill/>
                    <a:ln>
                      <a:noFill/>
                    </a:ln>
                  </pic:spPr>
                </pic:pic>
              </a:graphicData>
            </a:graphic>
          </wp:anchor>
        </w:drawing>
      </w: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2022年8月29日</w:t>
      </w:r>
    </w:p>
    <w:p>
      <w:pPr>
        <w:widowControl/>
        <w:spacing w:line="276" w:lineRule="auto"/>
        <w:ind w:right="945"/>
        <w:jc w:val="left"/>
        <w:rPr>
          <w:rFonts w:ascii="宋体" w:hAnsi="宋体" w:eastAsia="宋体" w:cs="宋体"/>
          <w:kern w:val="0"/>
          <w:szCs w:val="28"/>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3A7FC"/>
    <w:multiLevelType w:val="singleLevel"/>
    <w:tmpl w:val="A9C3A7FC"/>
    <w:lvl w:ilvl="0" w:tentative="0">
      <w:start w:val="10"/>
      <w:numFmt w:val="decimal"/>
      <w:lvlText w:val="%1."/>
      <w:lvlJc w:val="left"/>
      <w:pPr>
        <w:tabs>
          <w:tab w:val="left" w:pos="312"/>
        </w:tabs>
      </w:pPr>
    </w:lvl>
  </w:abstractNum>
  <w:abstractNum w:abstractNumId="1">
    <w:nsid w:val="16FF7031"/>
    <w:multiLevelType w:val="singleLevel"/>
    <w:tmpl w:val="16FF7031"/>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9446F4"/>
    <w:rsid w:val="100F05AA"/>
    <w:rsid w:val="17C14FB9"/>
    <w:rsid w:val="193E014D"/>
    <w:rsid w:val="1BF43F91"/>
    <w:rsid w:val="24306004"/>
    <w:rsid w:val="285A6261"/>
    <w:rsid w:val="29474198"/>
    <w:rsid w:val="46A6398A"/>
    <w:rsid w:val="561771C1"/>
    <w:rsid w:val="62E370F4"/>
    <w:rsid w:val="71684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2022-08-30T01:27:25Z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