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江苏凤灵钢琴有限公司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0162-2020-2022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0162-2020-2022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江苏凤灵钢琴有限公司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李瑞林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ISC-2020-0782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2025-08-24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2022年08月28日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黄金荣</w:t>
            </w:r>
          </w:p>
          <w:p>
            <w:pPr>
              <w:tabs>
                <w:tab w:val="left" w:pos="880"/>
              </w:tabs>
              <w:autoSpaceDE w:val="0"/>
              <w:autoSpaceDN w:val="0"/>
              <w:adjustRightInd w:val="0"/>
              <w:spacing w:before="35" w:line="276" w:lineRule="auto"/>
              <w:ind w:right="161"/>
              <w:rPr>
                <w:color w:val="000000"/>
                <w:szCs w:val="21"/>
                <w:shd w:val="clear" w:color="auto" w:fill="auto"/>
              </w:rPr>
            </w:pPr>
            <w:r>
              <w:rPr>
                <w:color w:val="000000"/>
                <w:szCs w:val="21"/>
                <w:shd w:val="clear" w:color="auto" w:fill="auto"/>
              </w:rPr>
              <w:t>2021-M1MMS-2227641</w:t>
            </w:r>
          </w:p>
          <w:p>
            <w:pPr>
              <w:tabs>
                <w:tab w:val="left" w:pos="880"/>
              </w:tabs>
              <w:autoSpaceDE w:val="0"/>
              <w:autoSpaceDN w:val="0"/>
              <w:adjustRightInd w:val="0"/>
              <w:spacing w:before="35" w:line="276" w:lineRule="auto"/>
              <w:ind w:right="161"/>
              <w:rPr>
                <w:rFonts w:hint="eastAsia"/>
                <w:color w:val="000000"/>
                <w:szCs w:val="21"/>
                <w:shd w:val="clear" w:color="auto" w:fill="auto"/>
                <w:lang w:val="en-US" w:eastAsia="zh-CN"/>
              </w:rPr>
            </w:pPr>
            <w:r>
              <w:rPr>
                <w:rFonts w:hint="eastAsia"/>
                <w:color w:val="000000"/>
                <w:szCs w:val="21"/>
                <w:shd w:val="clear" w:color="auto" w:fill="auto"/>
                <w:lang w:val="en-US" w:eastAsia="zh-CN"/>
              </w:rPr>
              <w:t>蔡萍</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shd w:val="clear" w:color="auto" w:fill="auto"/>
              </w:rPr>
              <w:t>2021-M1MMS-2274225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eastAsia="宋体" w:cs="宋体"/>
                <w:kern w:val="0"/>
                <w:szCs w:val="21"/>
                <w:lang w:eastAsia="zh-CN"/>
              </w:rPr>
            </w:pPr>
            <w:r>
              <w:rPr>
                <w:rFonts w:hint="eastAsia" w:ascii="宋体" w:hAnsi="宋体"/>
                <w:color w:val="auto"/>
                <w:szCs w:val="21"/>
              </w:rPr>
              <w:t>管理者代表</w:t>
            </w:r>
            <w:r>
              <w:rPr>
                <w:rFonts w:hint="eastAsia" w:ascii="宋体" w:hAnsi="宋体"/>
                <w:color w:val="auto"/>
                <w:szCs w:val="21"/>
                <w:lang w:eastAsia="zh-CN"/>
              </w:rPr>
              <w:t>、</w:t>
            </w:r>
            <w:r>
              <w:rPr>
                <w:rFonts w:hint="eastAsia" w:ascii="宋体" w:hAnsi="宋体" w:cs="宋体"/>
                <w:kern w:val="0"/>
                <w:szCs w:val="21"/>
                <w:lang w:val="en-US" w:eastAsia="zh-CN"/>
              </w:rPr>
              <w:t>技术设备</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olor w:val="auto"/>
                <w:szCs w:val="21"/>
                <w:lang w:val="en-US" w:eastAsia="zh-CN"/>
              </w:rPr>
              <w:t>生产</w:t>
            </w:r>
            <w:r>
              <w:rPr>
                <w:rFonts w:hint="eastAsia" w:ascii="宋体" w:hAnsi="宋体" w:cs="宋体"/>
                <w:kern w:val="0"/>
                <w:szCs w:val="21"/>
              </w:rPr>
              <w:t>部</w:t>
            </w:r>
            <w:r>
              <w:rPr>
                <w:rFonts w:hint="eastAsia" w:ascii="宋体" w:hAnsi="宋体" w:cs="宋体"/>
                <w:kern w:val="0"/>
                <w:szCs w:val="21"/>
                <w:lang w:eastAsia="zh-CN"/>
              </w:rPr>
              <w:t>（</w:t>
            </w:r>
            <w:r>
              <w:rPr>
                <w:rFonts w:hint="eastAsia" w:ascii="宋体" w:hAnsi="宋体" w:cs="宋体"/>
                <w:kern w:val="0"/>
                <w:szCs w:val="21"/>
                <w:lang w:val="en-US" w:eastAsia="zh-CN"/>
              </w:rPr>
              <w:t>车间</w:t>
            </w:r>
            <w:r>
              <w:rPr>
                <w:rFonts w:hint="eastAsia" w:ascii="宋体" w:hAnsi="宋体" w:cs="宋体"/>
                <w:kern w:val="0"/>
                <w:szCs w:val="21"/>
                <w:lang w:eastAsia="zh-CN"/>
              </w:rPr>
              <w:t>）、</w:t>
            </w:r>
          </w:p>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质管部、采购部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2.1公司于2022年7月30日至7月31日组织了公司测量管理体系内审，内审分1个组，对公司6个部门和车间进行了审核，共开出了1个不符合项，到目前为止不符合项已全部完成整改。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8月18日开展了测量管理体系管理评审，会议由公司总经理姚瑶主持，由管理者代表汇报了测量体系运行情况。相关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弦轴直径均匀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a)计量要求的导出和验证：查弦轴直径均匀度测量过程，计量要求导出方法正确，验证满足测量过程要求。祥见附件《计量要求导出及验证记录表》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b)测量不确定评定：查弦轴直径均匀度测量过程，测量不确定度评定方法正确。祥见附件《测量不确定度评定》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c)有效性确认：查弦轴直径均匀度测量过程有效性确认，满足要求。祥见附件《测量过程有效性确认》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d)测量过程的控制：查弦轴直径均匀度测量过程，编制了控制规范，对测量人员、测量设备、测量环境进行控制，满足要求。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e)测量过程的监视：查弦轴直径均匀度测量过程，采用统计技术进行控制和监视测量过程。祥见《测量过程监视记录》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技术设备部负责组织委外检定/校准。公司测量设备委托泰兴市产品质量综合检验检测中心检定/校准，抽查7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能源管理情况：企业不是重点能耗单位，企业主要耗能有电、水，查：2021年1-12月电、水用量，全年消耗电量22911.5 kWh，水1299.7t，合计耗能3.1 tce。符合GB17167-2006的要求。</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对认证审核时提出的的不符合项的纠正措施情况： </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企业根据测量体系质量方针，制定了4项质量目标，目标可测量，编制了《测量管理体系质量目标监测表 》，统计质量目标完成情况。查:2022年1至2季度质量目标全部完成。</w:t>
      </w:r>
      <w:r>
        <w:rPr>
          <w:rFonts w:hint="eastAsia" w:ascii="宋体" w:hAnsi="宋体" w:eastAsia="宋体" w:cs="宋体"/>
          <w:bCs/>
          <w:color w:val="auto"/>
          <w:kern w:val="0"/>
          <w:sz w:val="24"/>
          <w:szCs w:val="24"/>
          <w:lang w:val="en-US" w:eastAsia="zh-CN"/>
        </w:rPr>
        <w:t>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企业营业执照已发生变更，企业法人代表由李瑞林变更为姚瑶，其他没有变更。2022年04月18日取得新的营业执照。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bookmarkStart w:id="11" w:name="_GoBack"/>
      <w:bookmarkEnd w:id="11"/>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2"/>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产品的销售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抽查江苏凤灵钢琴有限公司《销售合同》，合同编号：2022-0526。签订时间2022年5月26日。经确认企业对应的产品生产过程涉及有对应的测量过程和测量设备，测量设备的配备满足该合同的产品生产和检验要求。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8月28日，对江苏凤灵钢琴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江苏凤灵钢琴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color w:val="auto"/>
          <w:kern w:val="0"/>
          <w:szCs w:val="21"/>
        </w:rPr>
      </w:pP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8480" behindDoc="0" locked="0" layoutInCell="1" allowOverlap="1">
            <wp:simplePos x="0" y="0"/>
            <wp:positionH relativeFrom="column">
              <wp:posOffset>1459230</wp:posOffset>
            </wp:positionH>
            <wp:positionV relativeFrom="paragraph">
              <wp:posOffset>1270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2022年8月28日</w:t>
      </w:r>
    </w:p>
    <w:p>
      <w:pPr>
        <w:widowControl/>
        <w:spacing w:line="360" w:lineRule="auto"/>
        <w:jc w:val="left"/>
        <w:rPr>
          <w:rFonts w:ascii="宋体" w:hAnsi="宋体" w:eastAsia="宋体" w:cs="宋体"/>
          <w:color w:val="000000"/>
          <w:kern w:val="0"/>
          <w:szCs w:val="21"/>
        </w:rPr>
      </w:pPr>
      <w:r>
        <w:rPr>
          <w:rFonts w:ascii="宋体" w:hAnsi="宋体" w:eastAsia="宋体" w:cs="宋体"/>
          <w:sz w:val="24"/>
          <w:szCs w:val="24"/>
        </w:rPr>
        <w:drawing>
          <wp:anchor distT="0" distB="0" distL="114300" distR="114300" simplePos="0" relativeHeight="251671552" behindDoc="0" locked="0" layoutInCell="1" allowOverlap="1">
            <wp:simplePos x="0" y="0"/>
            <wp:positionH relativeFrom="column">
              <wp:posOffset>1478915</wp:posOffset>
            </wp:positionH>
            <wp:positionV relativeFrom="paragraph">
              <wp:posOffset>251460</wp:posOffset>
            </wp:positionV>
            <wp:extent cx="516890" cy="293370"/>
            <wp:effectExtent l="0" t="0" r="6985" b="190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516890" cy="293370"/>
                    </a:xfrm>
                    <a:prstGeom prst="rect">
                      <a:avLst/>
                    </a:prstGeom>
                    <a:noFill/>
                    <a:ln>
                      <a:noFill/>
                    </a:ln>
                  </pic:spPr>
                </pic:pic>
              </a:graphicData>
            </a:graphic>
          </wp:anchor>
        </w:drawing>
      </w: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2022年8月28日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pStyle w:val="2"/>
        <w:bidi w:val="0"/>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abstractNum w:abstractNumId="1">
    <w:nsid w:val="16FF7031"/>
    <w:multiLevelType w:val="singleLevel"/>
    <w:tmpl w:val="16FF7031"/>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5C7627"/>
    <w:rsid w:val="1D622854"/>
    <w:rsid w:val="2E810368"/>
    <w:rsid w:val="2EAB62E1"/>
    <w:rsid w:val="6CA07569"/>
    <w:rsid w:val="778B7635"/>
    <w:rsid w:val="7B1F2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8</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2022-08-28T02:25:09Z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