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1008-2022-QEO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362"/>
        <w:gridCol w:w="975"/>
        <w:gridCol w:w="330"/>
        <w:gridCol w:w="655"/>
        <w:gridCol w:w="71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西藏玉龙铜业股份有限公司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91540300741924163U</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bookmarkStart w:id="22" w:name="_GoBack"/>
            <w:bookmarkEnd w:id="22"/>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Q:470,E:470,O:470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西藏玉龙铜业股份有限公司</w:t>
            </w:r>
            <w:bookmarkEnd w:id="18"/>
          </w:p>
        </w:tc>
        <w:tc>
          <w:tcPr>
            <w:tcW w:w="5013" w:type="dxa"/>
            <w:gridSpan w:val="6"/>
            <w:vMerge w:val="restart"/>
          </w:tcPr>
          <w:p>
            <w:pPr>
              <w:snapToGrid w:val="0"/>
              <w:spacing w:line="0" w:lineRule="atLeast"/>
              <w:jc w:val="left"/>
              <w:rPr>
                <w:sz w:val="22"/>
                <w:szCs w:val="22"/>
              </w:rPr>
            </w:pPr>
            <w:bookmarkStart w:id="19" w:name="审核范围"/>
            <w:r>
              <w:rPr>
                <w:sz w:val="22"/>
                <w:szCs w:val="22"/>
              </w:rPr>
              <w:t>Q：认可：铜矿冶炼（阴极铜）的加工非认可：铜矿及伴生金属矿（伴生银）的加工</w:t>
            </w:r>
          </w:p>
          <w:p>
            <w:pPr>
              <w:snapToGrid w:val="0"/>
              <w:spacing w:line="0" w:lineRule="atLeast"/>
              <w:jc w:val="left"/>
              <w:rPr>
                <w:sz w:val="22"/>
                <w:szCs w:val="22"/>
              </w:rPr>
            </w:pPr>
            <w:r>
              <w:rPr>
                <w:sz w:val="22"/>
                <w:szCs w:val="22"/>
              </w:rPr>
              <w:t>E：铜矿及伴生金属矿（伴生银）、铜矿冶炼（阴极铜）的加工所涉及场所的相关环境管理活动</w:t>
            </w:r>
          </w:p>
          <w:p>
            <w:pPr>
              <w:snapToGrid w:val="0"/>
              <w:spacing w:line="0" w:lineRule="atLeast"/>
              <w:jc w:val="left"/>
              <w:rPr>
                <w:sz w:val="22"/>
                <w:szCs w:val="22"/>
              </w:rPr>
            </w:pPr>
            <w:r>
              <w:rPr>
                <w:sz w:val="22"/>
                <w:szCs w:val="22"/>
              </w:rPr>
              <w:t>O：铜矿及伴生金属矿（伴生银）、铜矿冶炼（阴极铜）的加工所涉及场所的相关职业健康安全管理活动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西藏自治区昌都市卡若区达瓦北街2号/卡若区达瓦北街4号</w:t>
            </w:r>
            <w:bookmarkEnd w:id="20"/>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西藏昌都市江达县青泥洞乡觉拥村</w:t>
            </w:r>
            <w:bookmarkEnd w:id="21"/>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Xizang Yulong Copper Industry Co., LTD</w:t>
            </w:r>
          </w:p>
        </w:tc>
        <w:tc>
          <w:tcPr>
            <w:tcW w:w="1337" w:type="dxa"/>
            <w:gridSpan w:val="2"/>
          </w:tcPr>
          <w:p>
            <w:pPr>
              <w:snapToGrid w:val="0"/>
              <w:spacing w:line="0" w:lineRule="atLeast"/>
              <w:jc w:val="left"/>
              <w:rPr>
                <w:color w:val="auto"/>
                <w:sz w:val="22"/>
                <w:szCs w:val="22"/>
              </w:rPr>
            </w:pPr>
            <w:r>
              <w:rPr>
                <w:rFonts w:hint="eastAsia"/>
                <w:color w:val="auto"/>
                <w:sz w:val="22"/>
                <w:szCs w:val="22"/>
              </w:rPr>
              <w:t>QMS/EcMS</w:t>
            </w:r>
          </w:p>
        </w:tc>
        <w:tc>
          <w:tcPr>
            <w:tcW w:w="3676" w:type="dxa"/>
            <w:gridSpan w:val="4"/>
          </w:tcPr>
          <w:p>
            <w:pPr>
              <w:snapToGrid w:val="0"/>
              <w:spacing w:line="0" w:lineRule="atLeast"/>
              <w:jc w:val="left"/>
              <w:rPr>
                <w:color w:val="auto"/>
                <w:sz w:val="21"/>
                <w:szCs w:val="16"/>
              </w:rPr>
            </w:pPr>
            <w:r>
              <w:rPr>
                <w:rFonts w:hint="eastAsia"/>
                <w:color w:val="auto"/>
                <w:sz w:val="22"/>
                <w:szCs w:val="22"/>
              </w:rPr>
              <w:t>Processing of copper smelting (cathode copper) is not recognized: processing of copper ore and associated metal ore (associated silver)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gridSpan w:val="2"/>
          </w:tcPr>
          <w:p>
            <w:pPr>
              <w:snapToGrid w:val="0"/>
              <w:spacing w:line="0" w:lineRule="atLeast"/>
              <w:jc w:val="left"/>
              <w:rPr>
                <w:color w:val="auto"/>
                <w:sz w:val="22"/>
                <w:szCs w:val="22"/>
              </w:rPr>
            </w:pPr>
            <w:r>
              <w:rPr>
                <w:rFonts w:hint="eastAsia"/>
                <w:color w:val="auto"/>
                <w:sz w:val="22"/>
                <w:szCs w:val="22"/>
              </w:rPr>
              <w:t>EMS</w:t>
            </w:r>
          </w:p>
        </w:tc>
        <w:tc>
          <w:tcPr>
            <w:tcW w:w="3676" w:type="dxa"/>
            <w:gridSpan w:val="4"/>
          </w:tcPr>
          <w:p>
            <w:pPr>
              <w:snapToGrid w:val="0"/>
              <w:spacing w:line="0" w:lineRule="atLeast"/>
              <w:jc w:val="left"/>
              <w:rPr>
                <w:color w:val="auto"/>
                <w:sz w:val="21"/>
                <w:szCs w:val="16"/>
              </w:rPr>
            </w:pPr>
            <w:r>
              <w:rPr>
                <w:rFonts w:hint="eastAsia"/>
                <w:color w:val="auto"/>
                <w:sz w:val="21"/>
                <w:szCs w:val="16"/>
              </w:rPr>
              <w:t>Related environmental management activities of the sites involved in the processing of copper ore and associated metal ore (associated silver) and copper ore smelting (cathode copper)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No.2 Dawa North Street, Karuo District, Qamdo City, Tibet Autonomous Region / No.4 Dawa North Street, Karuo District, Tibet Autonomous Region</w:t>
            </w:r>
          </w:p>
        </w:tc>
        <w:tc>
          <w:tcPr>
            <w:tcW w:w="1337" w:type="dxa"/>
            <w:gridSpan w:val="2"/>
          </w:tcPr>
          <w:p>
            <w:pPr>
              <w:snapToGrid w:val="0"/>
              <w:spacing w:line="0" w:lineRule="atLeast"/>
              <w:jc w:val="left"/>
              <w:rPr>
                <w:color w:val="auto"/>
                <w:sz w:val="22"/>
                <w:szCs w:val="22"/>
              </w:rPr>
            </w:pPr>
            <w:r>
              <w:rPr>
                <w:rFonts w:hint="eastAsia"/>
                <w:color w:val="auto"/>
                <w:sz w:val="22"/>
                <w:szCs w:val="22"/>
              </w:rPr>
              <w:t>OHSMS</w:t>
            </w:r>
          </w:p>
        </w:tc>
        <w:tc>
          <w:tcPr>
            <w:tcW w:w="3676" w:type="dxa"/>
            <w:gridSpan w:val="4"/>
          </w:tcPr>
          <w:p>
            <w:pPr>
              <w:snapToGrid w:val="0"/>
              <w:spacing w:line="0" w:lineRule="atLeast"/>
              <w:jc w:val="left"/>
              <w:rPr>
                <w:color w:val="auto"/>
                <w:sz w:val="22"/>
                <w:szCs w:val="22"/>
              </w:rPr>
            </w:pPr>
            <w:r>
              <w:rPr>
                <w:rFonts w:hint="eastAsia"/>
                <w:color w:val="auto"/>
                <w:sz w:val="22"/>
                <w:szCs w:val="22"/>
              </w:rPr>
              <w:t xml:space="preserve"> Related occupational health and safety management activities of the sites involved in the processing of copper ore and associated metal ore (associated silver) and copper ore smelting (cathode copper)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auto"/>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auto"/>
                <w:sz w:val="22"/>
                <w:szCs w:val="22"/>
              </w:rPr>
            </w:pPr>
            <w:r>
              <w:rPr>
                <w:rFonts w:hint="eastAsia" w:cs="Arial"/>
                <w:b/>
                <w:bCs/>
                <w:color w:val="auto"/>
                <w:sz w:val="22"/>
                <w:szCs w:val="16"/>
              </w:rPr>
              <w:t>Jueyong Village, Qingniidong Township, Jiangda County, Qamdo City, Xizang Province</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center"/>
              <w:rPr>
                <w:rFonts w:cs="Arial"/>
                <w:b/>
                <w:bCs/>
                <w:sz w:val="22"/>
                <w:szCs w:val="16"/>
              </w:rPr>
            </w:pPr>
            <w:r>
              <w:rPr>
                <w:rFonts w:hint="eastAsia" w:cs="Arial"/>
                <w:b/>
                <w:bCs/>
                <w:sz w:val="22"/>
                <w:szCs w:val="16"/>
              </w:rPr>
              <w:t>受审核方签章</w:t>
            </w:r>
          </w:p>
        </w:tc>
        <w:tc>
          <w:tcPr>
            <w:tcW w:w="3735" w:type="dxa"/>
            <w:gridSpan w:val="2"/>
            <w:vAlign w:val="center"/>
          </w:tcPr>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tc>
        <w:tc>
          <w:tcPr>
            <w:tcW w:w="1960" w:type="dxa"/>
            <w:gridSpan w:val="3"/>
            <w:vAlign w:val="center"/>
          </w:tcPr>
          <w:p>
            <w:pPr>
              <w:snapToGrid w:val="0"/>
              <w:spacing w:line="0" w:lineRule="atLeast"/>
              <w:jc w:val="center"/>
              <w:rPr>
                <w:sz w:val="22"/>
                <w:szCs w:val="22"/>
              </w:rPr>
            </w:pPr>
            <w:r>
              <w:rPr>
                <w:rFonts w:hint="eastAsia" w:cs="Arial"/>
                <w:b/>
                <w:bCs/>
                <w:sz w:val="22"/>
                <w:szCs w:val="16"/>
              </w:rPr>
              <w:t>审核组长签字</w:t>
            </w:r>
          </w:p>
        </w:tc>
        <w:tc>
          <w:tcPr>
            <w:tcW w:w="2691" w:type="dxa"/>
            <w:gridSpan w:val="2"/>
            <w:vAlign w:val="center"/>
          </w:tcPr>
          <w:p>
            <w:pPr>
              <w:snapToGrid w:val="0"/>
              <w:spacing w:line="0" w:lineRule="atLeast"/>
              <w:jc w:val="center"/>
              <w:rPr>
                <w:sz w:val="22"/>
                <w:szCs w:val="22"/>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302895</wp:posOffset>
                  </wp:positionH>
                  <wp:positionV relativeFrom="paragraph">
                    <wp:posOffset>168275</wp:posOffset>
                  </wp:positionV>
                  <wp:extent cx="392430" cy="302260"/>
                  <wp:effectExtent l="0" t="0" r="1270" b="254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5"/>
                          <a:stretch>
                            <a:fillRect/>
                          </a:stretch>
                        </pic:blipFill>
                        <pic:spPr>
                          <a:xfrm>
                            <a:off x="0" y="0"/>
                            <a:ext cx="392430" cy="302260"/>
                          </a:xfrm>
                          <a:prstGeom prst="rect">
                            <a:avLst/>
                          </a:prstGeom>
                        </pic:spPr>
                      </pic:pic>
                    </a:graphicData>
                  </a:graphic>
                </wp:anchor>
              </w:drawing>
            </w: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2Y2I4ZTQ1YjAxMzBjM2UzZDZjMGJkY2U3OTQ2NjAifQ=="/>
  </w:docVars>
  <w:rsids>
    <w:rsidRoot w:val="00000000"/>
    <w:rsid w:val="04B54FCB"/>
    <w:rsid w:val="54604035"/>
    <w:rsid w:val="793E7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0</TotalTime>
  <ScaleCrop>false</ScaleCrop>
  <LinksUpToDate>false</LinksUpToDate>
  <CharactersWithSpaces>2548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誰汻誰天荒地鮱</cp:lastModifiedBy>
  <cp:lastPrinted>2019-05-13T03:13:00Z</cp:lastPrinted>
  <dcterms:modified xsi:type="dcterms:W3CDTF">2023-01-27T17:40:43Z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