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line="360" w:lineRule="auto"/>
              <w:jc w:val="center"/>
              <w:rPr>
                <w:rFonts w:hint="eastAsia" w:ascii="宋体" w:hAnsi="宋体" w:eastAsia="宋体" w:cs="宋体"/>
                <w:sz w:val="21"/>
                <w:szCs w:val="21"/>
              </w:rPr>
            </w:pPr>
            <w:r>
              <w:rPr>
                <w:rFonts w:hint="eastAsia" w:ascii="宋体" w:hAnsi="宋体" w:eastAsia="宋体" w:cs="宋体"/>
                <w:sz w:val="21"/>
                <w:szCs w:val="21"/>
              </w:rPr>
              <w:t>过程与活动、</w:t>
            </w:r>
          </w:p>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抽样计划</w:t>
            </w:r>
          </w:p>
        </w:tc>
        <w:tc>
          <w:tcPr>
            <w:tcW w:w="960" w:type="dxa"/>
            <w:vMerge w:val="restar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涉及</w:t>
            </w:r>
          </w:p>
          <w:p>
            <w:pPr>
              <w:spacing w:line="360" w:lineRule="auto"/>
              <w:rPr>
                <w:rFonts w:hint="eastAsia" w:ascii="宋体" w:hAnsi="宋体" w:eastAsia="宋体" w:cs="宋体"/>
                <w:sz w:val="21"/>
                <w:szCs w:val="21"/>
              </w:rPr>
            </w:pPr>
            <w:r>
              <w:rPr>
                <w:rFonts w:hint="eastAsia" w:ascii="宋体" w:hAnsi="宋体" w:eastAsia="宋体" w:cs="宋体"/>
                <w:sz w:val="21"/>
                <w:szCs w:val="21"/>
              </w:rPr>
              <w:t>条款</w:t>
            </w:r>
          </w:p>
        </w:tc>
        <w:tc>
          <w:tcPr>
            <w:tcW w:w="10004" w:type="dxa"/>
            <w:vAlign w:val="center"/>
          </w:tcPr>
          <w:p>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rPr>
              <w:t>受审核部门：</w:t>
            </w:r>
            <w:r>
              <w:rPr>
                <w:rFonts w:hint="eastAsia" w:ascii="宋体" w:hAnsi="宋体" w:eastAsia="宋体" w:cs="宋体"/>
                <w:sz w:val="21"/>
                <w:szCs w:val="21"/>
                <w:lang w:val="en-US" w:eastAsia="zh-CN"/>
              </w:rPr>
              <w:t xml:space="preserve">质管部        </w:t>
            </w:r>
            <w:r>
              <w:rPr>
                <w:rFonts w:hint="eastAsia" w:ascii="宋体" w:hAnsi="宋体" w:eastAsia="宋体" w:cs="宋体"/>
                <w:sz w:val="21"/>
                <w:szCs w:val="21"/>
              </w:rPr>
              <w:t>主管领导：</w:t>
            </w:r>
            <w:r>
              <w:rPr>
                <w:rFonts w:hint="eastAsia" w:ascii="宋体" w:hAnsi="宋体" w:eastAsia="宋体" w:cs="宋体"/>
                <w:sz w:val="21"/>
                <w:szCs w:val="21"/>
                <w:lang w:val="en-US" w:eastAsia="zh-CN"/>
              </w:rPr>
              <w:t xml:space="preserve">包玉玲          </w:t>
            </w:r>
            <w:r>
              <w:rPr>
                <w:rFonts w:hint="eastAsia" w:ascii="宋体" w:hAnsi="宋体" w:eastAsia="宋体" w:cs="宋体"/>
                <w:sz w:val="21"/>
                <w:szCs w:val="21"/>
              </w:rPr>
              <w:t>陪同人员：</w:t>
            </w:r>
            <w:r>
              <w:rPr>
                <w:rFonts w:hint="eastAsia" w:ascii="宋体" w:hAnsi="宋体" w:eastAsia="宋体" w:cs="宋体"/>
                <w:sz w:val="21"/>
                <w:szCs w:val="21"/>
                <w:lang w:val="en-US" w:eastAsia="zh-CN"/>
              </w:rPr>
              <w:t>张羽</w:t>
            </w:r>
          </w:p>
        </w:tc>
        <w:tc>
          <w:tcPr>
            <w:tcW w:w="1585" w:type="dxa"/>
            <w:vMerge w:val="restar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rPr>
                <w:rFonts w:hint="eastAsia" w:ascii="宋体" w:hAnsi="宋体" w:eastAsia="宋体" w:cs="宋体"/>
                <w:sz w:val="21"/>
                <w:szCs w:val="21"/>
              </w:rPr>
            </w:pPr>
          </w:p>
        </w:tc>
        <w:tc>
          <w:tcPr>
            <w:tcW w:w="960" w:type="dxa"/>
            <w:vMerge w:val="continue"/>
            <w:vAlign w:val="center"/>
          </w:tcPr>
          <w:p>
            <w:pPr>
              <w:spacing w:line="360" w:lineRule="auto"/>
              <w:rPr>
                <w:rFonts w:hint="eastAsia" w:ascii="宋体" w:hAnsi="宋体" w:eastAsia="宋体" w:cs="宋体"/>
                <w:sz w:val="21"/>
                <w:szCs w:val="21"/>
              </w:rPr>
            </w:pPr>
          </w:p>
        </w:tc>
        <w:tc>
          <w:tcPr>
            <w:tcW w:w="10004" w:type="dxa"/>
            <w:vAlign w:val="center"/>
          </w:tcPr>
          <w:p>
            <w:pPr>
              <w:spacing w:before="120" w:line="360" w:lineRule="auto"/>
              <w:rPr>
                <w:rFonts w:hint="eastAsia" w:ascii="宋体" w:hAnsi="宋体" w:eastAsia="宋体" w:cs="宋体"/>
                <w:sz w:val="21"/>
                <w:szCs w:val="21"/>
              </w:rPr>
            </w:pPr>
            <w:r>
              <w:rPr>
                <w:rFonts w:hint="eastAsia" w:ascii="宋体" w:hAnsi="宋体" w:eastAsia="宋体" w:cs="宋体"/>
                <w:sz w:val="21"/>
                <w:szCs w:val="21"/>
              </w:rPr>
              <w:t>审核员：</w:t>
            </w:r>
            <w:r>
              <w:rPr>
                <w:rFonts w:hint="eastAsia" w:ascii="宋体" w:hAnsi="宋体" w:eastAsia="宋体" w:cs="宋体"/>
                <w:sz w:val="21"/>
                <w:szCs w:val="21"/>
                <w:lang w:val="en-US" w:eastAsia="zh-CN"/>
              </w:rPr>
              <w:t xml:space="preserve">李俐 、张慧琴（（微信视频、语音、群沟通））    </w:t>
            </w:r>
            <w:r>
              <w:rPr>
                <w:rFonts w:hint="eastAsia" w:ascii="宋体" w:hAnsi="宋体" w:eastAsia="宋体" w:cs="宋体"/>
                <w:sz w:val="21"/>
                <w:szCs w:val="21"/>
              </w:rPr>
              <w:t>审核时间：</w:t>
            </w:r>
            <w:bookmarkStart w:id="0" w:name="审核日期"/>
            <w:r>
              <w:rPr>
                <w:rFonts w:hint="eastAsia" w:ascii="宋体" w:hAnsi="宋体" w:eastAsia="宋体" w:cs="宋体"/>
                <w:sz w:val="21"/>
                <w:szCs w:val="21"/>
              </w:rPr>
              <w:t>2023年01月</w:t>
            </w:r>
            <w:r>
              <w:rPr>
                <w:rFonts w:hint="eastAsia" w:ascii="宋体" w:hAnsi="宋体" w:eastAsia="宋体" w:cs="宋体"/>
                <w:sz w:val="21"/>
                <w:szCs w:val="21"/>
                <w:lang w:val="en-US" w:eastAsia="zh-CN"/>
              </w:rPr>
              <w:t>07</w:t>
            </w:r>
            <w:r>
              <w:rPr>
                <w:rFonts w:hint="eastAsia" w:ascii="宋体" w:hAnsi="宋体" w:eastAsia="宋体" w:cs="宋体"/>
                <w:sz w:val="21"/>
                <w:szCs w:val="21"/>
              </w:rPr>
              <w:t xml:space="preserve">日 </w:t>
            </w:r>
            <w:bookmarkEnd w:id="0"/>
          </w:p>
        </w:tc>
        <w:tc>
          <w:tcPr>
            <w:tcW w:w="1585" w:type="dxa"/>
            <w:vMerge w:val="continue"/>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rPr>
                <w:rFonts w:hint="eastAsia" w:ascii="宋体" w:hAnsi="宋体" w:eastAsia="宋体" w:cs="宋体"/>
                <w:sz w:val="21"/>
                <w:szCs w:val="21"/>
              </w:rPr>
            </w:pPr>
          </w:p>
        </w:tc>
        <w:tc>
          <w:tcPr>
            <w:tcW w:w="960" w:type="dxa"/>
            <w:vMerge w:val="continue"/>
            <w:vAlign w:val="center"/>
          </w:tcPr>
          <w:p>
            <w:pPr>
              <w:spacing w:line="360" w:lineRule="auto"/>
              <w:rPr>
                <w:rFonts w:hint="eastAsia" w:ascii="宋体" w:hAnsi="宋体" w:eastAsia="宋体" w:cs="宋体"/>
                <w:sz w:val="21"/>
                <w:szCs w:val="21"/>
              </w:rPr>
            </w:pPr>
          </w:p>
        </w:tc>
        <w:tc>
          <w:tcPr>
            <w:tcW w:w="10004" w:type="dxa"/>
            <w:vAlign w:val="center"/>
          </w:tcPr>
          <w:p>
            <w:pPr>
              <w:adjustRightInd w:val="0"/>
              <w:snapToGrid w:val="0"/>
              <w:spacing w:line="360" w:lineRule="auto"/>
              <w:ind w:right="105" w:rightChars="50"/>
              <w:jc w:val="left"/>
              <w:textAlignment w:val="baseline"/>
              <w:rPr>
                <w:rFonts w:hint="eastAsia" w:ascii="宋体" w:hAnsi="宋体" w:eastAsia="宋体" w:cs="宋体"/>
                <w:sz w:val="21"/>
                <w:szCs w:val="21"/>
                <w:highlight w:val="none"/>
              </w:rPr>
            </w:pPr>
            <w:r>
              <w:rPr>
                <w:rFonts w:hint="eastAsia" w:ascii="宋体" w:hAnsi="宋体" w:eastAsia="宋体" w:cs="宋体"/>
                <w:sz w:val="21"/>
                <w:szCs w:val="21"/>
              </w:rPr>
              <w:t>审核条</w:t>
            </w:r>
            <w:r>
              <w:rPr>
                <w:rFonts w:hint="eastAsia" w:ascii="宋体" w:hAnsi="宋体" w:eastAsia="宋体" w:cs="宋体"/>
                <w:sz w:val="21"/>
                <w:szCs w:val="21"/>
                <w:highlight w:val="none"/>
              </w:rPr>
              <w:t>款：</w:t>
            </w:r>
          </w:p>
          <w:p>
            <w:pPr>
              <w:adjustRightInd w:val="0"/>
              <w:snapToGrid w:val="0"/>
              <w:spacing w:line="360" w:lineRule="auto"/>
              <w:ind w:right="105" w:rightChars="50"/>
              <w:jc w:val="left"/>
              <w:textAlignment w:val="baseline"/>
              <w:rPr>
                <w:rFonts w:hint="eastAsia" w:ascii="宋体" w:hAnsi="宋体" w:eastAsia="宋体" w:cs="宋体"/>
                <w:sz w:val="21"/>
                <w:szCs w:val="21"/>
              </w:rPr>
            </w:pPr>
            <w:r>
              <w:rPr>
                <w:rFonts w:hint="eastAsia" w:ascii="宋体" w:hAnsi="宋体" w:eastAsia="宋体" w:cs="宋体"/>
                <w:spacing w:val="-6"/>
                <w:sz w:val="21"/>
                <w:szCs w:val="21"/>
                <w:highlight w:val="none"/>
                <w:lang w:val="en-US" w:eastAsia="zh-CN"/>
              </w:rPr>
              <w:t>Q：5.3、6.2、7.1.5、7.3、7.4、7.5.1、7.5.2、7.5.3、8.1、8.3（确认）、8.6、8.7、9.1.3、9.2、10.2</w:t>
            </w:r>
            <w:r>
              <w:rPr>
                <w:rFonts w:hint="eastAsia" w:ascii="宋体" w:hAnsi="宋体" w:eastAsia="宋体" w:cs="宋体"/>
                <w:spacing w:val="-6"/>
                <w:sz w:val="21"/>
                <w:szCs w:val="21"/>
                <w:highlight w:val="none"/>
                <w:lang w:val="en-US" w:eastAsia="zh-CN"/>
              </w:rPr>
              <w:br w:type="textWrapping"/>
            </w:r>
            <w:r>
              <w:rPr>
                <w:rFonts w:hint="eastAsia" w:ascii="宋体" w:hAnsi="宋体" w:eastAsia="宋体" w:cs="宋体"/>
                <w:spacing w:val="-6"/>
                <w:sz w:val="21"/>
                <w:szCs w:val="21"/>
                <w:highlight w:val="none"/>
                <w:u w:val="single"/>
                <w:lang w:val="en-US" w:eastAsia="zh-CN"/>
              </w:rPr>
              <w:t>EO:5.3、6.1.2、6.2、7.3、7.4、7.5、8.1、8.2、9.2、10.2</w:t>
            </w:r>
          </w:p>
        </w:tc>
        <w:tc>
          <w:tcPr>
            <w:tcW w:w="1585" w:type="dxa"/>
            <w:vMerge w:val="continue"/>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组织的岗位职责和权限</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kern w:val="2"/>
                <w:sz w:val="21"/>
                <w:szCs w:val="21"/>
                <w:lang w:val="en-US" w:eastAsia="zh-CN" w:bidi="ar-SA"/>
              </w:rPr>
            </w:pPr>
          </w:p>
        </w:tc>
        <w:tc>
          <w:tcPr>
            <w:tcW w:w="960"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QEO:5.3</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kern w:val="2"/>
                <w:sz w:val="21"/>
                <w:szCs w:val="21"/>
                <w:lang w:val="en-US" w:eastAsia="zh-CN" w:bidi="ar-SA"/>
              </w:rPr>
            </w:pPr>
          </w:p>
        </w:tc>
        <w:tc>
          <w:tcPr>
            <w:tcW w:w="10004" w:type="dxa"/>
            <w:vAlign w:val="center"/>
          </w:tcPr>
          <w:p>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本部门主要负责公司</w:t>
            </w:r>
            <w:r>
              <w:rPr>
                <w:rFonts w:hint="eastAsia" w:ascii="宋体" w:hAnsi="宋体" w:eastAsia="宋体" w:cs="宋体"/>
                <w:color w:val="000000"/>
                <w:sz w:val="21"/>
                <w:szCs w:val="21"/>
                <w:lang w:eastAsia="zh-CN"/>
              </w:rPr>
              <w:t>质量检验及管理体系</w:t>
            </w:r>
            <w:r>
              <w:rPr>
                <w:rFonts w:hint="eastAsia" w:ascii="宋体" w:hAnsi="宋体" w:eastAsia="宋体" w:cs="宋体"/>
                <w:color w:val="000000"/>
                <w:sz w:val="21"/>
                <w:szCs w:val="21"/>
              </w:rPr>
              <w:t>文件、资料、记录</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内审等过程工作以及相关的</w:t>
            </w:r>
            <w:r>
              <w:rPr>
                <w:rFonts w:hint="eastAsia" w:ascii="宋体" w:hAnsi="宋体" w:eastAsia="宋体" w:cs="宋体"/>
                <w:color w:val="000000"/>
                <w:sz w:val="21"/>
                <w:szCs w:val="21"/>
              </w:rPr>
              <w:t>环境</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职业健康安全控制</w:t>
            </w:r>
            <w:r>
              <w:rPr>
                <w:rFonts w:hint="eastAsia" w:ascii="宋体" w:hAnsi="宋体" w:eastAsia="宋体" w:cs="宋体"/>
                <w:color w:val="000000"/>
                <w:sz w:val="21"/>
                <w:szCs w:val="21"/>
                <w:lang w:val="en-US" w:eastAsia="zh-CN"/>
              </w:rPr>
              <w:t>活动。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与部门负责人</w:t>
            </w:r>
            <w:r>
              <w:rPr>
                <w:rFonts w:hint="eastAsia" w:ascii="宋体" w:hAnsi="宋体" w:eastAsia="宋体" w:cs="宋体"/>
                <w:color w:val="000000"/>
                <w:sz w:val="21"/>
                <w:szCs w:val="21"/>
                <w:lang w:val="en-US" w:eastAsia="zh-CN"/>
              </w:rPr>
              <w:t>语音</w:t>
            </w:r>
            <w:r>
              <w:rPr>
                <w:rFonts w:hint="eastAsia" w:ascii="宋体" w:hAnsi="宋体" w:eastAsia="宋体" w:cs="宋体"/>
                <w:color w:val="000000"/>
                <w:sz w:val="21"/>
                <w:szCs w:val="21"/>
              </w:rPr>
              <w:t>沟通，了解本部门的职责权限。</w:t>
            </w:r>
            <w:r>
              <w:rPr>
                <w:rFonts w:hint="eastAsia" w:ascii="宋体" w:hAnsi="宋体" w:eastAsia="宋体" w:cs="宋体"/>
                <w:color w:val="000000"/>
                <w:sz w:val="21"/>
                <w:szCs w:val="21"/>
                <w:lang w:val="en-US" w:eastAsia="zh-CN"/>
              </w:rPr>
              <w:t>与上年度无变化。</w:t>
            </w:r>
          </w:p>
        </w:tc>
        <w:tc>
          <w:tcPr>
            <w:tcW w:w="1585" w:type="dxa"/>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000000"/>
                <w:kern w:val="0"/>
                <w:sz w:val="21"/>
                <w:szCs w:val="21"/>
                <w:lang w:val="en-US" w:eastAsia="zh-CN"/>
              </w:rPr>
              <w:t>目标及其实现的策划总要求</w:t>
            </w:r>
          </w:p>
        </w:tc>
        <w:tc>
          <w:tcPr>
            <w:tcW w:w="960"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QEO:6.2</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kern w:val="2"/>
                <w:sz w:val="21"/>
                <w:szCs w:val="21"/>
                <w:lang w:val="en-US" w:eastAsia="zh-CN" w:bidi="ar-SA"/>
              </w:rPr>
            </w:p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提供《目标分解表》，其中涉及本部门的目标有: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1、检验准确率100%</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2、固废100%合理分类处理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3、工伤事故为零；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4、火灾事故为“0”</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5、污染物达标排放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6、无重大工伤事故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部门分解目标与公司方针一致，可测量，并传达到部门相关人员，必要时适时更新，目前无变化。</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提供《目标完成情况考核表》，最近一次考核于2021年上半年，完成情况：以上各目标标均已达成。</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highlight w:val="none"/>
                <w:lang w:val="en-US" w:eastAsia="zh-CN"/>
              </w:rPr>
              <w:t>针对以上环境、职业健康安全目标，公司制定了相应的《管理方案》，内容涉及方法措施、执行部门、预算资金、启动/完成时间、完成情况等，详见审核安环部该条款记录。</w:t>
            </w:r>
          </w:p>
        </w:tc>
        <w:tc>
          <w:tcPr>
            <w:tcW w:w="1585" w:type="dxa"/>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环境因素</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b w:val="0"/>
                <w:bCs/>
                <w:sz w:val="21"/>
                <w:szCs w:val="21"/>
              </w:rPr>
              <w:t>危险源</w:t>
            </w:r>
          </w:p>
        </w:tc>
        <w:tc>
          <w:tcPr>
            <w:tcW w:w="960"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EO:</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6.1.2</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000000"/>
                <w:kern w:val="0"/>
                <w:sz w:val="21"/>
                <w:szCs w:val="21"/>
                <w:lang w:val="en-US" w:eastAsia="zh-CN" w:bidi="ar-SA"/>
              </w:rPr>
            </w:pPr>
          </w:p>
        </w:tc>
        <w:tc>
          <w:tcPr>
            <w:tcW w:w="1000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编制了《环境因素识别与评价控制程序》，采用是非判断法，规定重大环境因素评定</w:t>
            </w:r>
            <w:r>
              <w:rPr>
                <w:rFonts w:hint="eastAsia" w:ascii="宋体" w:hAnsi="宋体" w:eastAsia="宋体" w:cs="宋体"/>
                <w:sz w:val="21"/>
                <w:szCs w:val="21"/>
                <w:lang w:val="en-US" w:eastAsia="zh-CN"/>
              </w:rPr>
              <w:t>程序</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提供《环境因素识别评价表》对检验和办公活动生命周期全过程分别进行排查，考虑了大气污染、噪声污染、土壤污染、水污染、废弃物污染、能源和资源消耗、火灾等方面；从过去、现在、将来三种时态；正常、异常和紧急三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检验过程中的环境因素，除了本身在检验过程中的环境因素外，公司也识别了能够施加影响的供方和客户的环境因素。另外，在采购产品的生产、使用、寿命结束后处理和最终处置相关的潜在重大环境影响。识别本部门各区域环境因素有：废检验液排放、废弃物排放、潜在火灾等。重要环境因素识别有：火灾、废检验液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环境因素识别经核实基本齐全</w:t>
            </w:r>
            <w:r>
              <w:rPr>
                <w:rFonts w:hint="eastAsia" w:ascii="宋体" w:hAnsi="宋体" w:eastAsia="宋体" w:cs="宋体"/>
                <w:sz w:val="21"/>
                <w:szCs w:val="21"/>
                <w:lang w:val="en-US" w:eastAsia="zh-CN"/>
              </w:rPr>
              <w:t>重要环境因素评价基本合理</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编制了《危险源辨识和风险评价程序》，采用危险源级别判定标准，规定重大危险源判定原则。</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提供《危险源辨识和风险评价表》对检验各过程和办公活动分别用</w:t>
            </w:r>
            <w:r>
              <w:rPr>
                <w:rFonts w:hint="eastAsia" w:ascii="宋体" w:hAnsi="宋体" w:eastAsia="宋体" w:cs="宋体"/>
                <w:sz w:val="21"/>
                <w:szCs w:val="21"/>
                <w:lang w:val="en-US" w:eastAsia="zh-CN"/>
              </w:rPr>
              <w:t>LEC法</w:t>
            </w:r>
            <w:r>
              <w:rPr>
                <w:rFonts w:hint="eastAsia" w:ascii="宋体" w:hAnsi="宋体" w:eastAsia="宋体" w:cs="宋体"/>
                <w:sz w:val="21"/>
                <w:szCs w:val="21"/>
                <w:lang w:eastAsia="zh-CN"/>
              </w:rPr>
              <w:t>进行辨识，从过去、现在、将来三种时态；正常、异常和紧急三种状态识别危险源。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本部门识别的各区域危险源有：考虑了触电、灼伤、中毒、火灾、交通安全等方面。重大危险源</w:t>
            </w:r>
            <w:r>
              <w:rPr>
                <w:rFonts w:hint="eastAsia" w:ascii="宋体" w:hAnsi="宋体" w:eastAsia="宋体" w:cs="宋体"/>
                <w:sz w:val="21"/>
                <w:szCs w:val="21"/>
                <w:lang w:val="en-US" w:eastAsia="zh-CN"/>
              </w:rPr>
              <w:t>评价</w:t>
            </w:r>
            <w:r>
              <w:rPr>
                <w:rFonts w:hint="eastAsia" w:ascii="宋体" w:hAnsi="宋体" w:eastAsia="宋体" w:cs="宋体"/>
                <w:sz w:val="21"/>
                <w:szCs w:val="21"/>
                <w:lang w:eastAsia="zh-CN"/>
              </w:rPr>
              <w:t>有：火灾、意外伤害。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危险源识别经核实基本齐全，重大危险源</w:t>
            </w:r>
            <w:r>
              <w:rPr>
                <w:rFonts w:hint="eastAsia" w:ascii="宋体" w:hAnsi="宋体" w:eastAsia="宋体" w:cs="宋体"/>
                <w:sz w:val="21"/>
                <w:szCs w:val="21"/>
                <w:lang w:val="en-US" w:eastAsia="zh-CN"/>
              </w:rPr>
              <w:t>评价基本合理</w:t>
            </w:r>
            <w:r>
              <w:rPr>
                <w:rFonts w:hint="eastAsia" w:ascii="宋体" w:hAnsi="宋体" w:eastAsia="宋体" w:cs="宋体"/>
                <w:sz w:val="21"/>
                <w:szCs w:val="21"/>
                <w:lang w:eastAsia="zh-CN"/>
              </w:rPr>
              <w:t>。</w:t>
            </w:r>
          </w:p>
        </w:tc>
        <w:tc>
          <w:tcPr>
            <w:tcW w:w="1585" w:type="dxa"/>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测量溯源</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Q7.1.5</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kern w:val="2"/>
                <w:sz w:val="21"/>
                <w:szCs w:val="21"/>
                <w:lang w:val="en-US" w:eastAsia="zh-CN" w:bidi="ar-SA"/>
              </w:rPr>
            </w:p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b w:val="0"/>
                <w:bCs w:val="0"/>
                <w:sz w:val="21"/>
                <w:szCs w:val="21"/>
                <w:highlight w:val="none"/>
                <w:lang w:val="en-US" w:eastAsia="zh-CN"/>
              </w:rPr>
            </w:pPr>
            <w:r>
              <w:rPr>
                <w:rFonts w:hint="eastAsia" w:ascii="宋体" w:hAnsi="宋体" w:eastAsia="宋体" w:cs="宋体"/>
                <w:sz w:val="21"/>
                <w:szCs w:val="21"/>
                <w:lang w:val="en-US" w:eastAsia="zh-CN"/>
              </w:rPr>
              <w:t>本部门职责：根据生产监视和测量的需要配备测量设备，包括产品试验的测量设备；保证监视测量和试验</w:t>
            </w:r>
            <w:r>
              <w:rPr>
                <w:rFonts w:hint="eastAsia" w:ascii="宋体" w:hAnsi="宋体" w:eastAsia="宋体" w:cs="宋体"/>
                <w:b w:val="0"/>
                <w:bCs w:val="0"/>
                <w:sz w:val="21"/>
                <w:szCs w:val="21"/>
                <w:lang w:val="en-US" w:eastAsia="zh-CN"/>
              </w:rPr>
              <w:t>设备在适宜的环境下工作；操作人员接受过相应的培训且合格；建立监视测量和试验设备台帐，保存校检</w:t>
            </w:r>
            <w:r>
              <w:rPr>
                <w:rFonts w:hint="eastAsia" w:ascii="宋体" w:hAnsi="宋体" w:eastAsia="宋体" w:cs="宋体"/>
                <w:b w:val="0"/>
                <w:bCs w:val="0"/>
                <w:sz w:val="21"/>
                <w:szCs w:val="21"/>
                <w:highlight w:val="none"/>
                <w:lang w:val="en-US" w:eastAsia="zh-CN"/>
              </w:rPr>
              <w:t xml:space="preserve">记录。 </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 xml:space="preserve">查1：远程提供了实验（化验）室监视和测量设备台账，有原子吸收光谱仪、电子天平、电热鼓风干燥箱、直度光谱仪等仪器设备  </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提供：电子汽车衡：检测日期：2022-3-2 ，检定机构“昌都质量计量特种设备监督检验测试所”已盖章。证书编号：CJ2022048/CJ2022046</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outlineLvl w:val="9"/>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highlight w:val="none"/>
                <w:lang w:val="en-US" w:eastAsia="zh-CN"/>
              </w:rPr>
              <w:t>提供原子吸收光谱仪、电子天平、箱式电阻炉、电热鼓风干燥箱、直度光谱仪等仪器校准合格的证据，均在有效期内，见附件。</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b w:val="0"/>
                <w:bCs w:val="0"/>
                <w:sz w:val="21"/>
                <w:szCs w:val="21"/>
                <w:lang w:val="en-US" w:eastAsia="zh-CN"/>
              </w:rPr>
              <w:t>查2：有效性确认过程：开机/</w:t>
            </w:r>
            <w:r>
              <w:rPr>
                <w:rFonts w:hint="eastAsia" w:ascii="宋体" w:hAnsi="宋体" w:eastAsia="宋体" w:cs="宋体"/>
                <w:sz w:val="21"/>
                <w:szCs w:val="21"/>
                <w:lang w:val="en-US" w:eastAsia="zh-CN"/>
              </w:rPr>
              <w:t xml:space="preserve">通电（确认正常）— 外设准备 — 放入试件 — 过程监视 — 打印报告 — 确认结果 — 签字盖章     </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查3：提供检测报告5份，抽查（5份）可见结果。                             </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查4：分析、检（化）验（测）报告             </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查5：设备有效性防护，现场可见实验室内墙上有《管理制度》《实验流程框图》等文件、图例。</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查6：数据在设备内部保存（重要数据备份）可溯源性有保证。</w:t>
            </w:r>
          </w:p>
        </w:tc>
        <w:tc>
          <w:tcPr>
            <w:tcW w:w="1585" w:type="dxa"/>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意识</w:t>
            </w:r>
          </w:p>
          <w:p>
            <w:pPr>
              <w:spacing w:line="360" w:lineRule="auto"/>
              <w:rPr>
                <w:rFonts w:hint="eastAsia" w:ascii="宋体" w:hAnsi="宋体" w:eastAsia="宋体" w:cs="宋体"/>
                <w:kern w:val="2"/>
                <w:sz w:val="21"/>
                <w:szCs w:val="21"/>
                <w:lang w:val="en-US" w:eastAsia="zh-CN" w:bidi="ar-SA"/>
              </w:rPr>
            </w:pPr>
          </w:p>
        </w:tc>
        <w:tc>
          <w:tcPr>
            <w:tcW w:w="960" w:type="dxa"/>
            <w:vAlign w:val="top"/>
          </w:tcPr>
          <w:p>
            <w:pPr>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QEO7.3</w:t>
            </w:r>
          </w:p>
          <w:p>
            <w:pPr>
              <w:spacing w:line="360" w:lineRule="auto"/>
              <w:rPr>
                <w:rFonts w:hint="eastAsia" w:ascii="宋体" w:hAnsi="宋体" w:eastAsia="宋体" w:cs="宋体"/>
                <w:kern w:val="2"/>
                <w:sz w:val="21"/>
                <w:szCs w:val="21"/>
                <w:lang w:val="en-US" w:eastAsia="zh-CN" w:bidi="ar-SA"/>
              </w:rPr>
            </w:pPr>
          </w:p>
        </w:tc>
        <w:tc>
          <w:tcPr>
            <w:tcW w:w="10004" w:type="dxa"/>
            <w:vAlign w:val="center"/>
          </w:tcPr>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通过学习、宣传等方法使在组织控制范围内的相关工作人员知道质量、环境、职业健康安全方针；相关的质量、环境、职业健康安全目标；员工对质量、环境、职业健康安全管理体系有效性的贡献，包括改进质量环境绩效的益处；不符合质量环境和职业健康安全管理体系要求的后果。</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color w:val="auto"/>
                <w:sz w:val="21"/>
                <w:szCs w:val="21"/>
              </w:rPr>
              <w:t>询问</w:t>
            </w:r>
            <w:r>
              <w:rPr>
                <w:rFonts w:hint="eastAsia" w:ascii="宋体" w:hAnsi="宋体" w:eastAsia="宋体" w:cs="宋体"/>
                <w:color w:val="auto"/>
                <w:sz w:val="21"/>
                <w:szCs w:val="21"/>
                <w:lang w:val="en-US" w:eastAsia="zh-CN"/>
              </w:rPr>
              <w:t>质管部主任包玉玲</w:t>
            </w:r>
            <w:r>
              <w:rPr>
                <w:rFonts w:hint="eastAsia" w:ascii="宋体" w:hAnsi="宋体" w:eastAsia="宋体" w:cs="宋体"/>
                <w:color w:val="auto"/>
                <w:sz w:val="21"/>
                <w:szCs w:val="21"/>
              </w:rPr>
              <w:t>、员工</w:t>
            </w:r>
            <w:r>
              <w:rPr>
                <w:rFonts w:hint="eastAsia" w:ascii="宋体" w:hAnsi="宋体" w:eastAsia="宋体" w:cs="宋体"/>
                <w:color w:val="auto"/>
                <w:sz w:val="21"/>
                <w:szCs w:val="21"/>
                <w:lang w:val="en-US" w:eastAsia="zh-CN"/>
              </w:rPr>
              <w:t>代表李虎成</w:t>
            </w:r>
            <w:r>
              <w:rPr>
                <w:rFonts w:hint="eastAsia" w:ascii="宋体" w:hAnsi="宋体" w:eastAsia="宋体" w:cs="宋体"/>
                <w:color w:val="auto"/>
                <w:sz w:val="21"/>
                <w:szCs w:val="21"/>
              </w:rPr>
              <w:t>知道公司方针，知道所在的工作岗位的质量、环境、职业健康安全目标，也了解自己的工作好坏会影响组织资质量、环境、职业健康安全管理体系的有效运行。</w:t>
            </w:r>
          </w:p>
        </w:tc>
        <w:tc>
          <w:tcPr>
            <w:tcW w:w="1585" w:type="dxa"/>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spacing w:line="360" w:lineRule="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沟通</w:t>
            </w:r>
          </w:p>
          <w:p>
            <w:pPr>
              <w:spacing w:line="360" w:lineRule="auto"/>
              <w:rPr>
                <w:rFonts w:hint="eastAsia" w:ascii="宋体" w:hAnsi="宋体" w:eastAsia="宋体" w:cs="宋体"/>
                <w:kern w:val="2"/>
                <w:sz w:val="21"/>
                <w:szCs w:val="21"/>
                <w:lang w:val="en-US" w:eastAsia="zh-CN" w:bidi="ar-SA"/>
              </w:rPr>
            </w:pPr>
          </w:p>
        </w:tc>
        <w:tc>
          <w:tcPr>
            <w:tcW w:w="960" w:type="dxa"/>
            <w:vAlign w:val="top"/>
          </w:tcPr>
          <w:p>
            <w:pPr>
              <w:spacing w:line="360" w:lineRule="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EO7.4</w:t>
            </w:r>
          </w:p>
          <w:p>
            <w:pPr>
              <w:spacing w:line="360" w:lineRule="auto"/>
              <w:rPr>
                <w:rFonts w:hint="eastAsia" w:ascii="宋体" w:hAnsi="宋体" w:eastAsia="宋体" w:cs="宋体"/>
                <w:kern w:val="2"/>
                <w:sz w:val="21"/>
                <w:szCs w:val="21"/>
                <w:lang w:val="en-US" w:eastAsia="zh-CN" w:bidi="ar-SA"/>
              </w:rPr>
            </w:pPr>
          </w:p>
        </w:tc>
        <w:tc>
          <w:tcPr>
            <w:tcW w:w="10004" w:type="dxa"/>
            <w:vAlign w:val="center"/>
          </w:tcPr>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公司确定了环境、职业健康安全管理体系相关的内部和外部沟通，包括：沟通什么；何时沟通；与谁沟通；如何沟通；由谁负责，内外部沟通具体体现在公司内部工作会议、环境、职业健康安全例会、员工的培训、公司宣传栏等，与外部的沟通具体体现在合同签订、顾客满意度调查。与环保部门、安监局及顾客和供方等方面。</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远程</w:t>
            </w:r>
            <w:r>
              <w:rPr>
                <w:rFonts w:hint="eastAsia" w:ascii="宋体" w:hAnsi="宋体" w:eastAsia="宋体" w:cs="宋体"/>
                <w:sz w:val="21"/>
                <w:szCs w:val="21"/>
              </w:rPr>
              <w:t>查阅内部交流：方针、目标完成情况、内审和管理评审报告、不符合信息等。</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sz w:val="21"/>
                <w:szCs w:val="21"/>
              </w:rPr>
              <w:t>外部交流：通过发放《关于对相关方要求的告知书》与相关方就相关环境、职业健康安全信息进行相互沟通。</w:t>
            </w:r>
          </w:p>
        </w:tc>
        <w:tc>
          <w:tcPr>
            <w:tcW w:w="1585" w:type="dxa"/>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成文信息</w:t>
            </w:r>
          </w:p>
        </w:tc>
        <w:tc>
          <w:tcPr>
            <w:tcW w:w="960" w:type="dxa"/>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QEO7.5</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过程职责：标准要求的形成文件的信息、组织确定的为确保QMS有效性所需的形成文件的信息。</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查1：质量管理体系形成文件的信息：提供“管理手册”一本</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编号：QES/SC-01-2022  程序文件一册，编号CX-01~22个</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运行记录表格N个（包含E&amp;O）</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工艺文件“5套”（各车间）；管理制度文件“21套” </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查2：成文信息针对本公司产品、服务提供、过程控制等，同时涵盖环境和职业健康安全活动。</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查3：实现过程：矿石（供方提供）— （8.1策划）— 阴极铜产品的过程。属于单流程、初级产品，过程较易控制，且无相互作用。</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查4：人员的能力见“7.1.2、7.1.6、7.3”审核记录。</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评价：已形成文件，能满足标准、产品、过程控制、管理要求。</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提供：受控文件（有标识）分发记录  </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查2：储存于防护条件适宜，该地区干燥少雨，防护有利。</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更改时实施“CX-06变更控制程序”。</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标识包括：</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编制、审核、批准、标识、分发、访问和检索、存储、防护、更改（再批准）、保留、处置。</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对于组织必需的、来自外部的信息，进行识别、控制。</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作为符合性证据的形成文件的信息予以控制。</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查1：成文信息的标识有“受控”“作废”“保留”章，按需使用。</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成文信息标号以汉语拼音声母字头为编制基础，如：</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“CX-程序文件”“JL-运行记录”等。</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查2：随标准、组织需求变更成文信息时，由部门提出意见，管带审核、最高管理层批准，按“7.5”全过程实施控制。</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查3：分发时领用人签字。作废收回旧版本、换发新版本文件。作废文件仍需保留时，在文件扉页加盖“作废保留”二章。</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查4：查阅文件由本部门负责人签字同意方可查阅。</w:t>
            </w:r>
          </w:p>
        </w:tc>
        <w:tc>
          <w:tcPr>
            <w:tcW w:w="1585" w:type="dxa"/>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b w:val="0"/>
                <w:bCs/>
                <w:sz w:val="21"/>
                <w:szCs w:val="21"/>
                <w:lang w:val="en-US" w:eastAsia="zh-CN"/>
              </w:rPr>
              <w:t>运行控制</w:t>
            </w:r>
          </w:p>
        </w:tc>
        <w:tc>
          <w:tcPr>
            <w:tcW w:w="960" w:type="dxa"/>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QEO:8.1</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kern w:val="2"/>
                <w:sz w:val="21"/>
                <w:szCs w:val="21"/>
                <w:lang w:val="en-US" w:eastAsia="zh-CN" w:bidi="ar-SA"/>
              </w:rPr>
            </w:pPr>
          </w:p>
        </w:tc>
        <w:tc>
          <w:tcPr>
            <w:tcW w:w="10004"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eastAsia="zh-CN"/>
              </w:rPr>
            </w:pPr>
            <w:r>
              <w:rPr>
                <w:rFonts w:hint="eastAsia" w:ascii="宋体" w:hAnsi="宋体" w:eastAsia="宋体" w:cs="宋体"/>
                <w:b w:val="0"/>
                <w:bCs/>
                <w:sz w:val="21"/>
                <w:szCs w:val="21"/>
                <w:lang w:val="en-US" w:eastAsia="zh-CN"/>
              </w:rPr>
              <w:t>本过程职责要求：为满足产品和服务提供的要求，通过以下措施进行策划、实施和控制，</w:t>
            </w:r>
            <w:r>
              <w:rPr>
                <w:rFonts w:hint="eastAsia" w:ascii="宋体" w:hAnsi="宋体" w:eastAsia="宋体" w:cs="宋体"/>
                <w:sz w:val="21"/>
                <w:szCs w:val="21"/>
                <w:lang w:eastAsia="zh-CN"/>
              </w:rPr>
              <w:t>编制与</w:t>
            </w:r>
            <w:r>
              <w:rPr>
                <w:rFonts w:hint="eastAsia" w:ascii="宋体" w:hAnsi="宋体" w:eastAsia="宋体" w:cs="宋体"/>
                <w:sz w:val="21"/>
                <w:szCs w:val="21"/>
                <w:lang w:val="en-US" w:eastAsia="zh-CN"/>
              </w:rPr>
              <w:t>质量、</w:t>
            </w:r>
            <w:r>
              <w:rPr>
                <w:rFonts w:hint="eastAsia" w:ascii="宋体" w:hAnsi="宋体" w:eastAsia="宋体" w:cs="宋体"/>
                <w:sz w:val="21"/>
                <w:szCs w:val="21"/>
                <w:lang w:eastAsia="zh-CN"/>
              </w:rPr>
              <w:t>环境、安全管理体系运行控制有关的文件有《环境运行控制程序》、《职业健康安全运行控制程序》、《相关方管理程序》等。</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1、废水管控</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主要为检验废水或废液排入</w:t>
            </w:r>
            <w:r>
              <w:rPr>
                <w:rFonts w:hint="eastAsia" w:ascii="宋体" w:hAnsi="宋体" w:eastAsia="宋体" w:cs="宋体"/>
                <w:sz w:val="21"/>
                <w:szCs w:val="21"/>
                <w:lang w:val="en-US" w:eastAsia="zh-CN"/>
              </w:rPr>
              <w:t>公司尾矿库</w:t>
            </w:r>
            <w:r>
              <w:rPr>
                <w:rFonts w:hint="eastAsia" w:ascii="宋体" w:hAnsi="宋体" w:eastAsia="宋体" w:cs="宋体"/>
                <w:sz w:val="21"/>
                <w:szCs w:val="21"/>
                <w:lang w:eastAsia="zh-CN"/>
              </w:rPr>
              <w:t>统一沉淀处理。</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2、废气管控</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检验、办公基本</w:t>
            </w:r>
            <w:r>
              <w:rPr>
                <w:rFonts w:hint="eastAsia" w:ascii="宋体" w:hAnsi="宋体" w:eastAsia="宋体" w:cs="宋体"/>
                <w:sz w:val="21"/>
                <w:szCs w:val="21"/>
                <w:lang w:eastAsia="zh-CN"/>
              </w:rPr>
              <w:t>无废气。</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3、噪声管控</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检验、办公噪声</w:t>
            </w:r>
            <w:r>
              <w:rPr>
                <w:rFonts w:hint="eastAsia" w:ascii="宋体" w:hAnsi="宋体" w:eastAsia="宋体" w:cs="宋体"/>
                <w:sz w:val="21"/>
                <w:szCs w:val="21"/>
                <w:lang w:val="en-US" w:eastAsia="zh-CN"/>
              </w:rPr>
              <w:t>较</w:t>
            </w:r>
            <w:r>
              <w:rPr>
                <w:rFonts w:hint="eastAsia" w:ascii="宋体" w:hAnsi="宋体" w:eastAsia="宋体" w:cs="宋体"/>
                <w:sz w:val="21"/>
                <w:szCs w:val="21"/>
                <w:lang w:eastAsia="zh-CN"/>
              </w:rPr>
              <w:t>低，</w:t>
            </w:r>
            <w:r>
              <w:rPr>
                <w:rFonts w:hint="eastAsia" w:ascii="宋体" w:hAnsi="宋体" w:eastAsia="宋体" w:cs="宋体"/>
                <w:sz w:val="21"/>
                <w:szCs w:val="21"/>
                <w:lang w:val="en-US" w:eastAsia="zh-CN"/>
              </w:rPr>
              <w:t>主要为化验设备、打复印机工作产生噪声，</w:t>
            </w:r>
            <w:r>
              <w:rPr>
                <w:rFonts w:hint="eastAsia" w:ascii="宋体" w:hAnsi="宋体" w:eastAsia="宋体" w:cs="宋体"/>
                <w:sz w:val="21"/>
                <w:szCs w:val="21"/>
                <w:lang w:eastAsia="zh-CN"/>
              </w:rPr>
              <w:t>影响不大，</w:t>
            </w:r>
            <w:r>
              <w:rPr>
                <w:rFonts w:hint="eastAsia" w:ascii="宋体" w:hAnsi="宋体" w:eastAsia="宋体" w:cs="宋体"/>
                <w:sz w:val="21"/>
                <w:szCs w:val="21"/>
                <w:lang w:val="en-US" w:eastAsia="zh-CN"/>
              </w:rPr>
              <w:t>采取每半年清理保洁打复印机，降低噪声</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4、固废管控</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主要为检验和办公生活垃圾，办公室和化验室设有垃圾篓集中倒入公司垃圾站由政府环卫运送至统一地点处理。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能源资源管控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检验、办公过程注意节水、节电，人走关闭</w:t>
            </w:r>
            <w:r>
              <w:rPr>
                <w:rFonts w:hint="eastAsia" w:ascii="宋体" w:hAnsi="宋体" w:eastAsia="宋体" w:cs="宋体"/>
                <w:sz w:val="21"/>
                <w:szCs w:val="21"/>
                <w:lang w:val="en-US" w:eastAsia="zh-CN"/>
              </w:rPr>
              <w:t>灯、水</w:t>
            </w:r>
            <w:r>
              <w:rPr>
                <w:rFonts w:hint="eastAsia" w:ascii="宋体" w:hAnsi="宋体" w:eastAsia="宋体" w:cs="宋体"/>
                <w:sz w:val="21"/>
                <w:szCs w:val="21"/>
                <w:lang w:eastAsia="zh-CN"/>
              </w:rPr>
              <w:t>开关，现场未发现漏水和</w:t>
            </w:r>
            <w:r>
              <w:rPr>
                <w:rFonts w:hint="eastAsia" w:ascii="宋体" w:hAnsi="宋体" w:eastAsia="宋体" w:cs="宋体"/>
                <w:sz w:val="21"/>
                <w:szCs w:val="21"/>
                <w:lang w:val="en-US" w:eastAsia="zh-CN"/>
              </w:rPr>
              <w:t>其他</w:t>
            </w:r>
            <w:r>
              <w:rPr>
                <w:rFonts w:hint="eastAsia" w:ascii="宋体" w:hAnsi="宋体" w:eastAsia="宋体" w:cs="宋体"/>
                <w:sz w:val="21"/>
                <w:szCs w:val="21"/>
                <w:lang w:eastAsia="zh-CN"/>
              </w:rPr>
              <w:t>浪费电能的现象。</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6、潜在火灾管控</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该部门楼道</w:t>
            </w:r>
            <w:r>
              <w:rPr>
                <w:rFonts w:hint="eastAsia" w:ascii="宋体" w:hAnsi="宋体" w:eastAsia="宋体" w:cs="宋体"/>
                <w:sz w:val="21"/>
                <w:szCs w:val="21"/>
                <w:lang w:val="en-US" w:eastAsia="zh-CN"/>
              </w:rPr>
              <w:t>共配有灭火</w:t>
            </w:r>
            <w:r>
              <w:rPr>
                <w:rFonts w:hint="eastAsia" w:ascii="宋体" w:hAnsi="宋体" w:eastAsia="宋体" w:cs="宋体"/>
                <w:color w:val="000000"/>
                <w:sz w:val="21"/>
                <w:szCs w:val="21"/>
                <w:highlight w:val="none"/>
                <w:lang w:val="en-US" w:eastAsia="zh-CN"/>
              </w:rPr>
              <w:t>器20个，</w:t>
            </w:r>
            <w:r>
              <w:rPr>
                <w:rFonts w:hint="eastAsia" w:ascii="宋体" w:hAnsi="宋体" w:eastAsia="宋体" w:cs="宋体"/>
                <w:sz w:val="21"/>
                <w:szCs w:val="21"/>
                <w:lang w:eastAsia="zh-CN"/>
              </w:rPr>
              <w:t>抽</w:t>
            </w:r>
            <w:r>
              <w:rPr>
                <w:rFonts w:hint="eastAsia" w:ascii="宋体" w:hAnsi="宋体" w:eastAsia="宋体" w:cs="宋体"/>
                <w:sz w:val="21"/>
                <w:szCs w:val="21"/>
                <w:lang w:val="en-US" w:eastAsia="zh-CN"/>
              </w:rPr>
              <w:t>查2个</w:t>
            </w:r>
            <w:r>
              <w:rPr>
                <w:rFonts w:hint="eastAsia" w:ascii="宋体" w:hAnsi="宋体" w:eastAsia="宋体" w:cs="宋体"/>
                <w:sz w:val="21"/>
                <w:szCs w:val="21"/>
                <w:lang w:eastAsia="zh-CN"/>
              </w:rPr>
              <w:t>灭火器</w:t>
            </w:r>
            <w:r>
              <w:rPr>
                <w:rFonts w:hint="eastAsia" w:ascii="宋体" w:hAnsi="宋体" w:eastAsia="宋体" w:cs="宋体"/>
                <w:sz w:val="21"/>
                <w:szCs w:val="21"/>
                <w:lang w:val="en-US" w:eastAsia="zh-CN"/>
              </w:rPr>
              <w:t>，均有效，每半年有检查，符合要求</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7</w:t>
            </w:r>
            <w:r>
              <w:rPr>
                <w:rFonts w:hint="eastAsia" w:ascii="宋体" w:hAnsi="宋体" w:eastAsia="宋体" w:cs="宋体"/>
                <w:sz w:val="21"/>
                <w:szCs w:val="21"/>
                <w:lang w:eastAsia="zh-CN"/>
              </w:rPr>
              <w:t>、安全防护</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公司给员工发放工作服、手套、防毒防酸口罩等劳保用品。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8、为员工缴纳社保。详见审核人力部该条款记录。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9、公司与员工签订劳动合同。详见审核人力部该条款记录。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sz w:val="21"/>
                <w:szCs w:val="21"/>
                <w:lang w:val="en-US" w:eastAsia="zh-CN"/>
              </w:rPr>
              <w:t>运行控制基本符合要求。</w:t>
            </w:r>
          </w:p>
        </w:tc>
        <w:tc>
          <w:tcPr>
            <w:tcW w:w="1585"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sz w:val="21"/>
                <w:szCs w:val="21"/>
              </w:rPr>
            </w:pPr>
          </w:p>
        </w:tc>
        <w:tc>
          <w:tcPr>
            <w:tcW w:w="960"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000000"/>
                <w:kern w:val="0"/>
                <w:sz w:val="21"/>
                <w:szCs w:val="21"/>
                <w:lang w:val="en-US" w:eastAsia="zh-CN" w:bidi="ar-SA"/>
              </w:rPr>
            </w:pPr>
          </w:p>
        </w:tc>
        <w:tc>
          <w:tcPr>
            <w:tcW w:w="10004" w:type="dxa"/>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本过程职责要求：为满足产品和服务提供的要求，通过以下措施进行策划、实施和控制：</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a）确定产品和服务的要求；分析、确认生产和服务提供过程符合要求；确定产品和服务的接收准则。</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b）确定所需的资源。</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c）生产和服务提供过程控制，包括：形成文件的信息、确信有效实施、证实产品和服务符合要求、策划变更控制，减轻不利影响、确保外包过程受控。</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查1：策划形成的文件</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提供：质量管理手册   编号：XKYL-SC-01-2022，删减8.3；</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 xml:space="preserve">      程序文件  编号：XKYL-CX-01—2022个控制程序</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 xml:space="preserve">      文件信息清单一份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查2：过程设备、工艺策划文件</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 xml:space="preserve"> 提供各工序设备、工艺流程图阴极铜：氧化矿石破碎——浸出工序——萃取工序——电积工序——阴极铜成品。</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铜精矿：硫化矿石破碎——球磨、半自磨——浮选（粗选——扫选——精选）——沉淀脱水——成品。</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查3：监视和测量过程策划</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查4：人员 — 检（化）验员均是专业人员，提供有学历证书经过专业培训；生产环境符合产品特性要求。温度、湿度、振动、噪声----符合要求。</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提供：包括铜矿、浸出液检测使用的分析仪器包括：原子吸收、直读光谱仪等多台套的检（化）验设备，以保证产品过程分析、数据提供和追溯性和质量保证。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eastAsia="宋体" w:cs="宋体"/>
                <w:sz w:val="21"/>
                <w:szCs w:val="21"/>
                <w:lang w:eastAsia="zh-CN"/>
              </w:rPr>
            </w:pPr>
            <w:r>
              <w:rPr>
                <w:rFonts w:hint="eastAsia" w:ascii="宋体" w:hAnsi="宋体" w:eastAsia="宋体" w:cs="宋体"/>
                <w:b w:val="0"/>
                <w:bCs/>
                <w:sz w:val="21"/>
                <w:szCs w:val="21"/>
                <w:lang w:val="en-US" w:eastAsia="zh-CN"/>
              </w:rPr>
              <w:t>评价：策划过程完整，充分考虑了标准“4.4”条款的要求；针对产品和服务提供特性的实现、监测、交付等过程文件均符合要求。</w:t>
            </w:r>
          </w:p>
        </w:tc>
        <w:tc>
          <w:tcPr>
            <w:tcW w:w="1585" w:type="dxa"/>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2160" w:type="dxa"/>
            <w:vAlign w:val="top"/>
          </w:tcPr>
          <w:p>
            <w:pPr>
              <w:keepNext w:val="0"/>
              <w:keepLines w:val="0"/>
              <w:pageBreakBefore w:val="0"/>
              <w:widowControl w:val="0"/>
              <w:kinsoku/>
              <w:wordWrap/>
              <w:overflowPunct/>
              <w:topLinePunct w:val="0"/>
              <w:autoSpaceDE/>
              <w:autoSpaceDN/>
              <w:bidi w:val="0"/>
              <w:spacing w:line="360" w:lineRule="auto"/>
              <w:jc w:val="both"/>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rPr>
              <w:t>应急准备和响应</w:t>
            </w:r>
          </w:p>
        </w:tc>
        <w:tc>
          <w:tcPr>
            <w:tcW w:w="960" w:type="dxa"/>
            <w:vAlign w:val="top"/>
          </w:tcPr>
          <w:p>
            <w:pPr>
              <w:keepNext w:val="0"/>
              <w:keepLines w:val="0"/>
              <w:pageBreakBefore w:val="0"/>
              <w:widowControl w:val="0"/>
              <w:kinsoku/>
              <w:wordWrap/>
              <w:overflowPunct/>
              <w:topLinePunct w:val="0"/>
              <w:autoSpaceDE/>
              <w:autoSpaceDN/>
              <w:bidi w:val="0"/>
              <w:spacing w:line="360" w:lineRule="auto"/>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EO:</w:t>
            </w:r>
            <w:r>
              <w:rPr>
                <w:rFonts w:hint="eastAsia" w:ascii="宋体" w:hAnsi="宋体" w:eastAsia="宋体" w:cs="宋体"/>
                <w:sz w:val="21"/>
                <w:szCs w:val="21"/>
              </w:rPr>
              <w:t>8.2</w:t>
            </w:r>
          </w:p>
          <w:p>
            <w:pPr>
              <w:keepNext w:val="0"/>
              <w:keepLines w:val="0"/>
              <w:pageBreakBefore w:val="0"/>
              <w:widowControl w:val="0"/>
              <w:kinsoku/>
              <w:wordWrap/>
              <w:overflowPunct/>
              <w:topLinePunct w:val="0"/>
              <w:autoSpaceDE/>
              <w:autoSpaceDN/>
              <w:bidi w:val="0"/>
              <w:spacing w:line="360" w:lineRule="auto"/>
              <w:jc w:val="both"/>
              <w:textAlignment w:val="auto"/>
              <w:outlineLvl w:val="9"/>
              <w:rPr>
                <w:rFonts w:hint="eastAsia" w:ascii="宋体" w:hAnsi="宋体" w:eastAsia="宋体" w:cs="宋体"/>
                <w:kern w:val="2"/>
                <w:sz w:val="21"/>
                <w:szCs w:val="21"/>
                <w:lang w:val="en-US" w:eastAsia="zh-CN" w:bidi="ar-SA"/>
              </w:rPr>
            </w:pPr>
          </w:p>
        </w:tc>
        <w:tc>
          <w:tcPr>
            <w:tcW w:w="10004" w:type="dxa"/>
            <w:vAlign w:val="center"/>
          </w:tcPr>
          <w:p>
            <w:pPr>
              <w:pStyle w:val="14"/>
              <w:keepNext w:val="0"/>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lang w:eastAsia="zh-CN"/>
              </w:rPr>
              <w:t>公司</w:t>
            </w:r>
            <w:r>
              <w:rPr>
                <w:rFonts w:hint="eastAsia" w:ascii="宋体" w:hAnsi="宋体" w:eastAsia="宋体" w:cs="宋体"/>
                <w:sz w:val="21"/>
                <w:szCs w:val="21"/>
              </w:rPr>
              <w:t>编制了《应急准备和响应程序》，查看内容基本符合要求。</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jc w:val="left"/>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本部门员工按时参加主管部门安环部每年组织的</w:t>
            </w:r>
            <w:r>
              <w:rPr>
                <w:rFonts w:hint="eastAsia" w:ascii="宋体" w:hAnsi="宋体" w:eastAsia="宋体" w:cs="宋体"/>
                <w:sz w:val="21"/>
                <w:szCs w:val="21"/>
              </w:rPr>
              <w:t>应急准备和响应</w:t>
            </w:r>
            <w:r>
              <w:rPr>
                <w:rFonts w:hint="eastAsia" w:ascii="宋体" w:hAnsi="宋体" w:eastAsia="宋体" w:cs="宋体"/>
                <w:sz w:val="21"/>
                <w:szCs w:val="21"/>
                <w:lang w:eastAsia="zh-CN"/>
              </w:rPr>
              <w:t>活动，详见审核安环部该条款记录</w:t>
            </w:r>
            <w:r>
              <w:rPr>
                <w:rFonts w:hint="eastAsia" w:ascii="宋体" w:hAnsi="宋体" w:eastAsia="宋体" w:cs="宋体"/>
                <w:sz w:val="21"/>
                <w:szCs w:val="21"/>
              </w:rPr>
              <w:t>。</w:t>
            </w:r>
          </w:p>
        </w:tc>
        <w:tc>
          <w:tcPr>
            <w:tcW w:w="1585" w:type="dxa"/>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trPr>
        <w:tc>
          <w:tcPr>
            <w:tcW w:w="2160" w:type="dxa"/>
            <w:vAlign w:val="top"/>
          </w:tcPr>
          <w:p>
            <w:pPr>
              <w:keepNext w:val="0"/>
              <w:keepLines w:val="0"/>
              <w:pageBreakBefore w:val="0"/>
              <w:widowControl w:val="0"/>
              <w:kinsoku/>
              <w:wordWrap/>
              <w:overflowPunct/>
              <w:topLinePunct w:val="0"/>
              <w:autoSpaceDE/>
              <w:autoSpaceDN/>
              <w:bidi w:val="0"/>
              <w:spacing w:line="360" w:lineRule="auto"/>
              <w:jc w:val="both"/>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设计开发</w:t>
            </w:r>
          </w:p>
        </w:tc>
        <w:tc>
          <w:tcPr>
            <w:tcW w:w="960" w:type="dxa"/>
            <w:vAlign w:val="top"/>
          </w:tcPr>
          <w:p>
            <w:pPr>
              <w:keepNext w:val="0"/>
              <w:keepLines w:val="0"/>
              <w:pageBreakBefore w:val="0"/>
              <w:widowControl w:val="0"/>
              <w:kinsoku/>
              <w:wordWrap/>
              <w:overflowPunct/>
              <w:topLinePunct w:val="0"/>
              <w:autoSpaceDE/>
              <w:autoSpaceDN/>
              <w:bidi w:val="0"/>
              <w:spacing w:line="360" w:lineRule="auto"/>
              <w:jc w:val="both"/>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Q8.3</w:t>
            </w:r>
          </w:p>
        </w:tc>
        <w:tc>
          <w:tcPr>
            <w:tcW w:w="10004" w:type="dxa"/>
            <w:vAlign w:val="center"/>
          </w:tcPr>
          <w:p>
            <w:pPr>
              <w:keepNext w:val="0"/>
              <w:keepLines w:val="0"/>
              <w:pageBreakBefore w:val="0"/>
              <w:widowControl w:val="0"/>
              <w:kinsoku/>
              <w:wordWrap/>
              <w:overflowPunct/>
              <w:topLinePunct w:val="0"/>
              <w:autoSpaceDE/>
              <w:autoSpaceDN/>
              <w:bidi w:val="0"/>
              <w:spacing w:line="360" w:lineRule="auto"/>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手册编制时已经将“产品和服务的设计开发”删减。</w:t>
            </w:r>
          </w:p>
          <w:p>
            <w:pPr>
              <w:keepNext w:val="0"/>
              <w:keepLines w:val="0"/>
              <w:pageBreakBefore w:val="0"/>
              <w:widowControl w:val="0"/>
              <w:kinsoku/>
              <w:wordWrap/>
              <w:overflowPunct/>
              <w:topLinePunct w:val="0"/>
              <w:autoSpaceDE/>
              <w:autoSpaceDN/>
              <w:bidi w:val="0"/>
              <w:spacing w:line="360" w:lineRule="auto"/>
              <w:jc w:val="both"/>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现场确认：该组织的产品是按国家给与的政策进行生产和服务，全过程无设计和开发职责，确认《删减合理》</w:t>
            </w:r>
          </w:p>
        </w:tc>
        <w:tc>
          <w:tcPr>
            <w:tcW w:w="1585" w:type="dxa"/>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2160" w:type="dxa"/>
            <w:vAlign w:val="center"/>
          </w:tcPr>
          <w:p>
            <w:pPr>
              <w:spacing w:line="360" w:lineRule="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产品和服务放行</w:t>
            </w:r>
          </w:p>
        </w:tc>
        <w:tc>
          <w:tcPr>
            <w:tcW w:w="960" w:type="dxa"/>
            <w:vAlign w:val="center"/>
          </w:tcPr>
          <w:p>
            <w:pPr>
              <w:spacing w:line="360" w:lineRule="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Q</w:t>
            </w:r>
            <w:r>
              <w:rPr>
                <w:rFonts w:hint="eastAsia" w:ascii="宋体" w:hAnsi="宋体" w:eastAsia="宋体" w:cs="宋体"/>
                <w:b w:val="0"/>
                <w:bCs w:val="0"/>
                <w:sz w:val="21"/>
                <w:szCs w:val="21"/>
              </w:rPr>
              <w:t>8.6</w:t>
            </w:r>
          </w:p>
        </w:tc>
        <w:tc>
          <w:tcPr>
            <w:tcW w:w="10004" w:type="dxa"/>
            <w:vAlign w:val="center"/>
          </w:tcPr>
          <w:p>
            <w:pPr>
              <w:adjustRightInd w:val="0"/>
              <w:snapToGrid w:val="0"/>
              <w:spacing w:line="360" w:lineRule="auto"/>
              <w:rPr>
                <w:rFonts w:hint="eastAsia" w:ascii="宋体" w:hAnsi="宋体" w:eastAsia="宋体" w:cs="宋体"/>
                <w:b w:val="0"/>
                <w:bCs w:val="0"/>
                <w:sz w:val="21"/>
                <w:szCs w:val="21"/>
              </w:rPr>
            </w:pPr>
            <w:r>
              <w:rPr>
                <w:rFonts w:hint="eastAsia" w:ascii="宋体" w:hAnsi="宋体" w:eastAsia="宋体" w:cs="宋体"/>
                <w:b w:val="0"/>
                <w:bCs w:val="0"/>
                <w:sz w:val="21"/>
                <w:szCs w:val="21"/>
              </w:rPr>
              <w:t>查 1：符合接收准则的证据</w:t>
            </w:r>
          </w:p>
          <w:p>
            <w:pPr>
              <w:adjustRightInd w:val="0"/>
              <w:snapToGrid w:val="0"/>
              <w:spacing w:line="360" w:lineRule="auto"/>
              <w:ind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1、产品正常放行的策划验证安排如下：</w:t>
            </w:r>
          </w:p>
          <w:p>
            <w:pPr>
              <w:adjustRightInd w:val="0"/>
              <w:snapToGrid w:val="0"/>
              <w:spacing w:line="360" w:lineRule="auto"/>
              <w:ind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采购产品：要求检验员对采购产品</w:t>
            </w:r>
            <w:r>
              <w:rPr>
                <w:rFonts w:hint="eastAsia" w:ascii="宋体" w:hAnsi="宋体" w:eastAsia="宋体" w:cs="宋体"/>
                <w:b w:val="0"/>
                <w:bCs w:val="0"/>
                <w:sz w:val="21"/>
                <w:szCs w:val="21"/>
                <w:lang w:eastAsia="zh-CN"/>
              </w:rPr>
              <w:t>（原矿石经破碎后取样）</w:t>
            </w:r>
            <w:r>
              <w:rPr>
                <w:rFonts w:hint="eastAsia" w:ascii="宋体" w:hAnsi="宋体" w:eastAsia="宋体" w:cs="宋体"/>
                <w:b w:val="0"/>
                <w:bCs w:val="0"/>
                <w:sz w:val="21"/>
                <w:szCs w:val="21"/>
              </w:rPr>
              <w:t>依据验收标准实施验收并记录。</w:t>
            </w:r>
          </w:p>
          <w:p>
            <w:pPr>
              <w:adjustRightInd w:val="0"/>
              <w:snapToGrid w:val="0"/>
              <w:spacing w:line="360" w:lineRule="auto"/>
              <w:ind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过程产品：要求各工序作业人员及检验员按相关工艺要求，</w:t>
            </w:r>
            <w:r>
              <w:rPr>
                <w:rFonts w:hint="eastAsia" w:ascii="宋体" w:hAnsi="宋体" w:eastAsia="宋体" w:cs="宋体"/>
                <w:b w:val="0"/>
                <w:bCs w:val="0"/>
                <w:sz w:val="21"/>
                <w:szCs w:val="21"/>
                <w:lang w:eastAsia="zh-CN"/>
              </w:rPr>
              <w:t>在球磨、浮选等工序抽样，</w:t>
            </w:r>
            <w:r>
              <w:rPr>
                <w:rFonts w:hint="eastAsia" w:ascii="宋体" w:hAnsi="宋体" w:eastAsia="宋体" w:cs="宋体"/>
                <w:b w:val="0"/>
                <w:bCs w:val="0"/>
                <w:sz w:val="21"/>
                <w:szCs w:val="21"/>
              </w:rPr>
              <w:t>对产品特性、过程特性实施验证并记录；</w:t>
            </w:r>
          </w:p>
          <w:p>
            <w:pPr>
              <w:adjustRightInd w:val="0"/>
              <w:snapToGrid w:val="0"/>
              <w:spacing w:line="360" w:lineRule="auto"/>
              <w:ind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最终产品：要求检验员依据产品标准对成品进行最终检验，合格后入库并记录；</w:t>
            </w:r>
          </w:p>
          <w:p>
            <w:pPr>
              <w:adjustRightInd w:val="0"/>
              <w:snapToGrid w:val="0"/>
              <w:spacing w:line="360" w:lineRule="auto"/>
              <w:ind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2、产品特殊放行的情况：策划验证安排未实施完成时放行，要符合法定要求，并得到有权放行人批准，或同时需得到顾客批准；</w:t>
            </w:r>
          </w:p>
          <w:p>
            <w:pPr>
              <w:adjustRightInd w:val="0"/>
              <w:snapToGrid w:val="0"/>
              <w:spacing w:line="360" w:lineRule="auto"/>
              <w:ind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公司目前未发生产品特殊放行的情况。</w:t>
            </w:r>
          </w:p>
          <w:p>
            <w:pPr>
              <w:adjustRightInd w:val="0"/>
              <w:snapToGrid w:val="0"/>
              <w:spacing w:line="360" w:lineRule="auto"/>
              <w:ind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3、查产品生产过程的放行记录，提供“</w:t>
            </w:r>
            <w:r>
              <w:rPr>
                <w:rFonts w:hint="eastAsia" w:ascii="宋体" w:hAnsi="宋体" w:eastAsia="宋体" w:cs="宋体"/>
                <w:b w:val="0"/>
                <w:bCs w:val="0"/>
                <w:sz w:val="21"/>
                <w:szCs w:val="21"/>
                <w:lang w:eastAsia="zh-CN"/>
              </w:rPr>
              <w:t>原料</w:t>
            </w:r>
            <w:r>
              <w:rPr>
                <w:rFonts w:hint="eastAsia" w:ascii="宋体" w:hAnsi="宋体" w:eastAsia="宋体" w:cs="宋体"/>
                <w:b w:val="0"/>
                <w:bCs w:val="0"/>
                <w:sz w:val="21"/>
                <w:szCs w:val="21"/>
              </w:rPr>
              <w:t>检验记录”、“过程检验记录”、“成品检验记录”；</w:t>
            </w:r>
          </w:p>
          <w:p>
            <w:pPr>
              <w:adjustRightInd w:val="0"/>
              <w:snapToGrid w:val="0"/>
              <w:spacing w:line="360" w:lineRule="auto"/>
              <w:ind w:firstLine="420" w:firstLineChars="20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公司现已实现智慧矿山管理系统对所有检测数据系统管理，将原材料、过程、成品出厂检验完成后的原始数据上传智慧矿山管理系统，可清楚看到各工序的采样、制样、检验结论，并实现追溯。</w:t>
            </w:r>
          </w:p>
          <w:p>
            <w:pPr>
              <w:adjustRightInd w:val="0"/>
              <w:snapToGrid w:val="0"/>
              <w:spacing w:line="360" w:lineRule="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查 2：内部过程放行 — 按最终按化验结果证实产品的符合接收准则，确认成品入库。</w:t>
            </w:r>
          </w:p>
          <w:p>
            <w:pPr>
              <w:pStyle w:val="2"/>
              <w:spacing w:line="360" w:lineRule="auto"/>
              <w:rPr>
                <w:rFonts w:hint="eastAsia" w:ascii="宋体" w:hAnsi="宋体" w:eastAsia="宋体" w:cs="宋体"/>
                <w:sz w:val="21"/>
                <w:szCs w:val="21"/>
                <w:lang w:val="en-US" w:eastAsia="zh-CN"/>
              </w:rPr>
            </w:pPr>
            <w:r>
              <w:rPr>
                <w:rFonts w:hint="eastAsia" w:ascii="宋体" w:hAnsi="宋体" w:eastAsia="宋体" w:cs="宋体"/>
                <w:b w:val="0"/>
                <w:bCs w:val="0"/>
                <w:sz w:val="21"/>
                <w:szCs w:val="21"/>
                <w:lang w:val="en-US" w:eastAsia="zh-CN"/>
              </w:rPr>
              <w:t>远程提供以下为铜精矿过程、成品采样、制样、成品化验记录</w:t>
            </w:r>
          </w:p>
          <w:p>
            <w:pPr>
              <w:adjustRightInd w:val="0"/>
              <w:snapToGrid w:val="0"/>
              <w:spacing w:line="360" w:lineRule="auto"/>
              <w:ind w:firstLine="420" w:firstLineChars="20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查：</w:t>
            </w:r>
            <w:r>
              <w:rPr>
                <w:rFonts w:hint="eastAsia" w:ascii="宋体" w:hAnsi="宋体" w:eastAsia="宋体" w:cs="宋体"/>
                <w:b w:val="0"/>
                <w:bCs w:val="0"/>
                <w:sz w:val="21"/>
                <w:szCs w:val="21"/>
                <w:lang w:val="en-US" w:eastAsia="zh-CN"/>
              </w:rPr>
              <w:t>2022.11月9日、2022年12月19日，采样</w:t>
            </w:r>
            <w:r>
              <w:rPr>
                <w:rFonts w:hint="eastAsia" w:ascii="宋体" w:hAnsi="宋体" w:eastAsia="宋体" w:cs="宋体"/>
                <w:b w:val="0"/>
                <w:bCs w:val="0"/>
                <w:sz w:val="21"/>
                <w:szCs w:val="21"/>
                <w:lang w:eastAsia="zh-CN"/>
              </w:rPr>
              <w:t>过程记录，有采样单号、采样编号、采样人、班组、采样类别（</w:t>
            </w:r>
            <w:r>
              <w:rPr>
                <w:rFonts w:hint="eastAsia" w:ascii="宋体" w:hAnsi="宋体" w:eastAsia="宋体" w:cs="宋体"/>
                <w:b w:val="0"/>
                <w:bCs w:val="0"/>
                <w:sz w:val="21"/>
                <w:szCs w:val="21"/>
                <w:lang w:val="en-US" w:eastAsia="zh-CN"/>
              </w:rPr>
              <w:t>一系列、二系列</w:t>
            </w:r>
            <w:r>
              <w:rPr>
                <w:rFonts w:hint="eastAsia" w:ascii="宋体" w:hAnsi="宋体" w:eastAsia="宋体" w:cs="宋体"/>
                <w:b w:val="0"/>
                <w:bCs w:val="0"/>
                <w:sz w:val="21"/>
                <w:szCs w:val="21"/>
                <w:lang w:eastAsia="zh-CN"/>
              </w:rPr>
              <w:t>等）、采样地点、采样时间等信息。</w:t>
            </w:r>
          </w:p>
          <w:p>
            <w:pPr>
              <w:pStyle w:val="15"/>
              <w:spacing w:before="100" w:line="360" w:lineRule="auto"/>
              <w:jc w:val="center"/>
              <w:rPr>
                <w:rFonts w:hint="eastAsia" w:ascii="宋体" w:hAnsi="宋体" w:eastAsia="宋体" w:cs="宋体"/>
                <w:b w:val="0"/>
                <w:bCs w:val="0"/>
                <w:sz w:val="21"/>
                <w:szCs w:val="21"/>
                <w:lang w:eastAsia="zh-CN"/>
              </w:rPr>
            </w:pPr>
            <w:r>
              <w:rPr>
                <w:rFonts w:hint="eastAsia" w:ascii="宋体" w:hAnsi="宋体" w:eastAsia="宋体" w:cs="宋体"/>
                <w:sz w:val="21"/>
                <w:szCs w:val="21"/>
              </w:rPr>
              <w:drawing>
                <wp:inline distT="0" distB="0" distL="114300" distR="114300">
                  <wp:extent cx="5985510" cy="1482090"/>
                  <wp:effectExtent l="0" t="0" r="381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985510" cy="1482090"/>
                          </a:xfrm>
                          <a:prstGeom prst="rect">
                            <a:avLst/>
                          </a:prstGeom>
                          <a:noFill/>
                          <a:ln>
                            <a:noFill/>
                          </a:ln>
                        </pic:spPr>
                      </pic:pic>
                    </a:graphicData>
                  </a:graphic>
                </wp:inline>
              </w:drawing>
            </w:r>
            <w:r>
              <w:rPr>
                <w:rFonts w:hint="eastAsia" w:ascii="宋体" w:hAnsi="宋体" w:eastAsia="宋体" w:cs="宋体"/>
                <w:sz w:val="21"/>
                <w:szCs w:val="21"/>
              </w:rPr>
              <w:drawing>
                <wp:inline distT="0" distB="0" distL="114300" distR="114300">
                  <wp:extent cx="5955665" cy="1423035"/>
                  <wp:effectExtent l="0" t="0" r="3175"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5955665" cy="1423035"/>
                          </a:xfrm>
                          <a:prstGeom prst="rect">
                            <a:avLst/>
                          </a:prstGeom>
                          <a:noFill/>
                          <a:ln>
                            <a:noFill/>
                          </a:ln>
                        </pic:spPr>
                      </pic:pic>
                    </a:graphicData>
                  </a:graphic>
                </wp:inline>
              </w:drawing>
            </w:r>
          </w:p>
          <w:p>
            <w:pPr>
              <w:adjustRightInd w:val="0"/>
              <w:snapToGrid w:val="0"/>
              <w:spacing w:line="360" w:lineRule="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查：</w:t>
            </w:r>
            <w:r>
              <w:rPr>
                <w:rFonts w:hint="eastAsia" w:ascii="宋体" w:hAnsi="宋体" w:eastAsia="宋体" w:cs="宋体"/>
                <w:b w:val="0"/>
                <w:bCs w:val="0"/>
                <w:sz w:val="21"/>
                <w:szCs w:val="21"/>
                <w:lang w:val="en-US" w:eastAsia="zh-CN"/>
              </w:rPr>
              <w:t>2022.11月9日、2022年12月19日，</w:t>
            </w:r>
            <w:r>
              <w:rPr>
                <w:rFonts w:hint="eastAsia" w:ascii="宋体" w:hAnsi="宋体" w:eastAsia="宋体" w:cs="宋体"/>
                <w:b w:val="0"/>
                <w:bCs w:val="0"/>
                <w:sz w:val="21"/>
                <w:szCs w:val="21"/>
                <w:lang w:eastAsia="zh-CN"/>
              </w:rPr>
              <w:t>原料、过程制样记录，有制样单号、制样人、制样日期、采样编号、班组、化验内容（</w:t>
            </w:r>
            <w:r>
              <w:rPr>
                <w:rFonts w:hint="eastAsia" w:ascii="宋体" w:hAnsi="宋体" w:eastAsia="宋体" w:cs="宋体"/>
                <w:b w:val="0"/>
                <w:bCs w:val="0"/>
                <w:sz w:val="21"/>
                <w:szCs w:val="21"/>
                <w:lang w:val="en-US" w:eastAsia="zh-CN"/>
              </w:rPr>
              <w:t>Cu、Mo、Ox、S</w:t>
            </w:r>
            <w:r>
              <w:rPr>
                <w:rFonts w:hint="eastAsia" w:ascii="宋体" w:hAnsi="宋体" w:eastAsia="宋体" w:cs="宋体"/>
                <w:b w:val="0"/>
                <w:bCs w:val="0"/>
                <w:sz w:val="21"/>
                <w:szCs w:val="21"/>
                <w:lang w:eastAsia="zh-CN"/>
              </w:rPr>
              <w:t>）、采样地点、采样时间等信息。</w:t>
            </w:r>
          </w:p>
          <w:p>
            <w:pPr>
              <w:pStyle w:val="15"/>
              <w:spacing w:before="100" w:line="360" w:lineRule="auto"/>
              <w:ind w:left="107"/>
              <w:jc w:val="center"/>
              <w:rPr>
                <w:rFonts w:hint="eastAsia" w:ascii="宋体" w:hAnsi="宋体" w:eastAsia="宋体" w:cs="宋体"/>
                <w:b w:val="0"/>
                <w:bCs w:val="0"/>
                <w:sz w:val="21"/>
                <w:szCs w:val="21"/>
                <w:lang w:eastAsia="zh-CN"/>
              </w:rPr>
            </w:pPr>
            <w:r>
              <w:rPr>
                <w:rFonts w:hint="eastAsia" w:ascii="宋体" w:hAnsi="宋体" w:eastAsia="宋体" w:cs="宋体"/>
                <w:sz w:val="21"/>
                <w:szCs w:val="21"/>
              </w:rPr>
              <w:drawing>
                <wp:inline distT="0" distB="0" distL="114300" distR="114300">
                  <wp:extent cx="5574030" cy="1652905"/>
                  <wp:effectExtent l="0" t="0" r="3810" b="825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8"/>
                          <a:stretch>
                            <a:fillRect/>
                          </a:stretch>
                        </pic:blipFill>
                        <pic:spPr>
                          <a:xfrm>
                            <a:off x="0" y="0"/>
                            <a:ext cx="5574030" cy="1652905"/>
                          </a:xfrm>
                          <a:prstGeom prst="rect">
                            <a:avLst/>
                          </a:prstGeom>
                          <a:noFill/>
                          <a:ln>
                            <a:noFill/>
                          </a:ln>
                        </pic:spPr>
                      </pic:pic>
                    </a:graphicData>
                  </a:graphic>
                </wp:inline>
              </w:drawing>
            </w:r>
          </w:p>
          <w:p>
            <w:pPr>
              <w:pStyle w:val="15"/>
              <w:spacing w:before="100" w:line="360" w:lineRule="auto"/>
              <w:ind w:left="107"/>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540375" cy="1636395"/>
                  <wp:effectExtent l="0" t="0" r="6985" b="952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9"/>
                          <a:stretch>
                            <a:fillRect/>
                          </a:stretch>
                        </pic:blipFill>
                        <pic:spPr>
                          <a:xfrm>
                            <a:off x="0" y="0"/>
                            <a:ext cx="5540375" cy="1636395"/>
                          </a:xfrm>
                          <a:prstGeom prst="rect">
                            <a:avLst/>
                          </a:prstGeom>
                          <a:noFill/>
                          <a:ln>
                            <a:noFill/>
                          </a:ln>
                        </pic:spPr>
                      </pic:pic>
                    </a:graphicData>
                  </a:graphic>
                </wp:inline>
              </w:drawing>
            </w:r>
          </w:p>
          <w:p>
            <w:pPr>
              <w:adjustRightInd w:val="0"/>
              <w:snapToGrid w:val="0"/>
              <w:spacing w:line="360" w:lineRule="auto"/>
              <w:rPr>
                <w:rFonts w:hint="eastAsia" w:ascii="宋体" w:hAnsi="宋体" w:eastAsia="宋体" w:cs="宋体"/>
                <w:b w:val="0"/>
                <w:bCs w:val="0"/>
                <w:sz w:val="21"/>
                <w:szCs w:val="21"/>
                <w:lang w:eastAsia="zh-CN"/>
              </w:rPr>
            </w:pPr>
          </w:p>
          <w:p>
            <w:pPr>
              <w:adjustRightInd w:val="0"/>
              <w:snapToGrid w:val="0"/>
              <w:spacing w:line="360" w:lineRule="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查：</w:t>
            </w:r>
            <w:r>
              <w:rPr>
                <w:rFonts w:hint="eastAsia" w:ascii="宋体" w:hAnsi="宋体" w:eastAsia="宋体" w:cs="宋体"/>
                <w:b w:val="0"/>
                <w:bCs w:val="0"/>
                <w:sz w:val="21"/>
                <w:szCs w:val="21"/>
                <w:lang w:val="en-US" w:eastAsia="zh-CN"/>
              </w:rPr>
              <w:t>2022.11月9日，</w:t>
            </w:r>
            <w:r>
              <w:rPr>
                <w:rFonts w:hint="eastAsia" w:ascii="宋体" w:hAnsi="宋体" w:eastAsia="宋体" w:cs="宋体"/>
                <w:b w:val="0"/>
                <w:bCs w:val="0"/>
                <w:sz w:val="21"/>
                <w:szCs w:val="21"/>
                <w:lang w:eastAsia="zh-CN"/>
              </w:rPr>
              <w:t>化验台账记录，有化验单号、化验人、化验日期、采样日期等信息，有追溯性</w:t>
            </w:r>
          </w:p>
          <w:p>
            <w:pPr>
              <w:pStyle w:val="2"/>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drawing>
                <wp:inline distT="0" distB="0" distL="114300" distR="114300">
                  <wp:extent cx="5224145" cy="1525270"/>
                  <wp:effectExtent l="0" t="0" r="3175" b="1397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0"/>
                          <a:stretch>
                            <a:fillRect/>
                          </a:stretch>
                        </pic:blipFill>
                        <pic:spPr>
                          <a:xfrm>
                            <a:off x="0" y="0"/>
                            <a:ext cx="5224145" cy="1525270"/>
                          </a:xfrm>
                          <a:prstGeom prst="rect">
                            <a:avLst/>
                          </a:prstGeom>
                          <a:noFill/>
                          <a:ln>
                            <a:noFill/>
                          </a:ln>
                        </pic:spPr>
                      </pic:pic>
                    </a:graphicData>
                  </a:graphic>
                </wp:inline>
              </w:drawing>
            </w:r>
            <w:r>
              <w:rPr>
                <w:rFonts w:hint="eastAsia" w:ascii="宋体" w:hAnsi="宋体" w:eastAsia="宋体" w:cs="宋体"/>
                <w:sz w:val="21"/>
                <w:szCs w:val="21"/>
                <w:lang w:val="en-US" w:eastAsia="zh-CN"/>
              </w:rPr>
              <w:t xml:space="preserve">        </w:t>
            </w:r>
          </w:p>
          <w:p>
            <w:pPr>
              <w:pStyle w:val="2"/>
              <w:spacing w:line="360" w:lineRule="auto"/>
              <w:jc w:val="center"/>
              <w:rPr>
                <w:rFonts w:hint="eastAsia" w:ascii="宋体" w:hAnsi="宋体" w:eastAsia="宋体" w:cs="宋体"/>
                <w:sz w:val="21"/>
                <w:szCs w:val="21"/>
                <w:lang w:val="en-US" w:eastAsia="zh-CN"/>
              </w:rPr>
            </w:pPr>
          </w:p>
          <w:p>
            <w:pPr>
              <w:adjustRightInd w:val="0"/>
              <w:snapToGrid w:val="0"/>
              <w:spacing w:line="360" w:lineRule="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查：</w:t>
            </w:r>
            <w:r>
              <w:rPr>
                <w:rFonts w:hint="eastAsia" w:ascii="宋体" w:hAnsi="宋体" w:eastAsia="宋体" w:cs="宋体"/>
                <w:b w:val="0"/>
                <w:bCs w:val="0"/>
                <w:sz w:val="21"/>
                <w:szCs w:val="21"/>
                <w:lang w:val="en-US" w:eastAsia="zh-CN"/>
              </w:rPr>
              <w:t>2022年12月19日，</w:t>
            </w:r>
            <w:r>
              <w:rPr>
                <w:rFonts w:hint="eastAsia" w:ascii="宋体" w:hAnsi="宋体" w:eastAsia="宋体" w:cs="宋体"/>
                <w:b w:val="0"/>
                <w:bCs w:val="0"/>
                <w:sz w:val="21"/>
                <w:szCs w:val="21"/>
                <w:lang w:eastAsia="zh-CN"/>
              </w:rPr>
              <w:t>化验台账记录，有化验单号、化验人、化验日期、采样日期等信息，有追溯性。</w:t>
            </w:r>
          </w:p>
          <w:p>
            <w:pPr>
              <w:pStyle w:val="15"/>
              <w:spacing w:before="100" w:line="360" w:lineRule="auto"/>
              <w:ind w:left="107"/>
              <w:jc w:val="center"/>
              <w:rPr>
                <w:rFonts w:hint="eastAsia" w:ascii="宋体" w:hAnsi="宋体" w:eastAsia="宋体" w:cs="宋体"/>
                <w:b w:val="0"/>
                <w:bCs w:val="0"/>
                <w:sz w:val="21"/>
                <w:szCs w:val="21"/>
                <w:lang w:eastAsia="zh-CN"/>
              </w:rPr>
            </w:pPr>
            <w:r>
              <w:rPr>
                <w:rFonts w:hint="eastAsia" w:ascii="宋体" w:hAnsi="宋体" w:eastAsia="宋体" w:cs="宋体"/>
                <w:sz w:val="21"/>
                <w:szCs w:val="21"/>
              </w:rPr>
              <w:drawing>
                <wp:inline distT="0" distB="0" distL="114300" distR="114300">
                  <wp:extent cx="8034020" cy="2802255"/>
                  <wp:effectExtent l="0" t="0" r="12700" b="190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1"/>
                          <a:stretch>
                            <a:fillRect/>
                          </a:stretch>
                        </pic:blipFill>
                        <pic:spPr>
                          <a:xfrm>
                            <a:off x="0" y="0"/>
                            <a:ext cx="8034020" cy="2802255"/>
                          </a:xfrm>
                          <a:prstGeom prst="rect">
                            <a:avLst/>
                          </a:prstGeom>
                          <a:noFill/>
                          <a:ln>
                            <a:noFill/>
                          </a:ln>
                        </pic:spPr>
                      </pic:pic>
                    </a:graphicData>
                  </a:graphic>
                </wp:inline>
              </w:drawing>
            </w:r>
          </w:p>
          <w:p>
            <w:pPr>
              <w:pStyle w:val="15"/>
              <w:spacing w:before="100" w:line="360" w:lineRule="auto"/>
              <w:rPr>
                <w:rFonts w:hint="eastAsia" w:ascii="宋体" w:hAnsi="宋体" w:eastAsia="宋体" w:cs="宋体"/>
                <w:b w:val="0"/>
                <w:bCs w:val="0"/>
                <w:sz w:val="21"/>
                <w:szCs w:val="21"/>
                <w:lang w:eastAsia="zh-CN"/>
              </w:rPr>
            </w:pPr>
          </w:p>
          <w:p>
            <w:pPr>
              <w:pStyle w:val="15"/>
              <w:spacing w:before="100" w:line="360" w:lineRule="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查：原矿、尾矿、精矿、等含量检测记录：化验编号：SXHY202211090054 .化验日期：2022-11-09，录入人：嘎玛多吉，采样类别：选矿厂，化验单中对采样编号、制样人、采样地点、化验内容：</w:t>
            </w:r>
            <w:r>
              <w:rPr>
                <w:rFonts w:hint="eastAsia" w:ascii="宋体" w:hAnsi="宋体" w:eastAsia="宋体" w:cs="宋体"/>
                <w:b w:val="0"/>
                <w:bCs w:val="0"/>
                <w:sz w:val="21"/>
                <w:szCs w:val="21"/>
                <w:lang w:val="en-US" w:eastAsia="zh-CN"/>
              </w:rPr>
              <w:t>Cu、Mo、Ox、S</w:t>
            </w:r>
            <w:r>
              <w:rPr>
                <w:rFonts w:hint="eastAsia" w:ascii="宋体" w:hAnsi="宋体" w:eastAsia="宋体" w:cs="宋体"/>
                <w:b w:val="0"/>
                <w:bCs w:val="0"/>
                <w:kern w:val="2"/>
                <w:sz w:val="21"/>
                <w:szCs w:val="21"/>
                <w:lang w:val="en-US" w:eastAsia="zh-CN" w:bidi="ar-SA"/>
              </w:rPr>
              <w:t>等进行化验。</w:t>
            </w:r>
          </w:p>
          <w:p>
            <w:pPr>
              <w:pStyle w:val="15"/>
              <w:spacing w:before="100" w:line="360" w:lineRule="auto"/>
              <w:ind w:left="107"/>
              <w:jc w:val="center"/>
              <w:rPr>
                <w:rFonts w:hint="eastAsia" w:ascii="宋体" w:hAnsi="宋体" w:eastAsia="宋体" w:cs="宋体"/>
                <w:b w:val="0"/>
                <w:bCs w:val="0"/>
                <w:sz w:val="21"/>
                <w:szCs w:val="21"/>
              </w:rPr>
            </w:pPr>
            <w:r>
              <w:rPr>
                <w:rFonts w:hint="eastAsia" w:ascii="宋体" w:hAnsi="宋体" w:eastAsia="宋体" w:cs="宋体"/>
                <w:sz w:val="21"/>
                <w:szCs w:val="21"/>
              </w:rPr>
              <w:drawing>
                <wp:inline distT="0" distB="0" distL="114300" distR="114300">
                  <wp:extent cx="6036310" cy="1966595"/>
                  <wp:effectExtent l="0" t="0" r="13970" b="1460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2"/>
                          <a:stretch>
                            <a:fillRect/>
                          </a:stretch>
                        </pic:blipFill>
                        <pic:spPr>
                          <a:xfrm>
                            <a:off x="0" y="0"/>
                            <a:ext cx="6036310" cy="1966595"/>
                          </a:xfrm>
                          <a:prstGeom prst="rect">
                            <a:avLst/>
                          </a:prstGeom>
                          <a:noFill/>
                          <a:ln>
                            <a:noFill/>
                          </a:ln>
                        </pic:spPr>
                      </pic:pic>
                    </a:graphicData>
                  </a:graphic>
                </wp:inline>
              </w:drawing>
            </w:r>
          </w:p>
          <w:p>
            <w:pPr>
              <w:pStyle w:val="15"/>
              <w:spacing w:before="100" w:line="360" w:lineRule="auto"/>
              <w:rPr>
                <w:rFonts w:hint="eastAsia" w:ascii="宋体" w:hAnsi="宋体" w:eastAsia="宋体" w:cs="宋体"/>
                <w:b w:val="0"/>
                <w:bCs w:val="0"/>
                <w:sz w:val="21"/>
                <w:szCs w:val="21"/>
              </w:rPr>
            </w:pPr>
            <w:r>
              <w:rPr>
                <w:rFonts w:hint="eastAsia" w:ascii="宋体" w:hAnsi="宋体" w:eastAsia="宋体" w:cs="宋体"/>
                <w:b w:val="0"/>
                <w:bCs w:val="0"/>
                <w:kern w:val="2"/>
                <w:sz w:val="21"/>
                <w:szCs w:val="21"/>
                <w:lang w:val="en-US" w:eastAsia="zh-CN" w:bidi="ar-SA"/>
              </w:rPr>
              <w:t>查：原矿、尾矿、精矿、等含量检测记录：化验编号：SXHY202212190112 .化验日期：2022-12-19，录入人：次旦卓玛，采样类别：选矿厂，化验单中对采样编号、制样人、采样地点、化验内容：</w:t>
            </w:r>
            <w:r>
              <w:rPr>
                <w:rFonts w:hint="eastAsia" w:ascii="宋体" w:hAnsi="宋体" w:eastAsia="宋体" w:cs="宋体"/>
                <w:b w:val="0"/>
                <w:bCs w:val="0"/>
                <w:sz w:val="21"/>
                <w:szCs w:val="21"/>
                <w:lang w:val="en-US" w:eastAsia="zh-CN"/>
              </w:rPr>
              <w:t>Cu、Mo、Ox、S</w:t>
            </w:r>
            <w:r>
              <w:rPr>
                <w:rFonts w:hint="eastAsia" w:ascii="宋体" w:hAnsi="宋体" w:eastAsia="宋体" w:cs="宋体"/>
                <w:b w:val="0"/>
                <w:bCs w:val="0"/>
                <w:kern w:val="2"/>
                <w:sz w:val="21"/>
                <w:szCs w:val="21"/>
                <w:lang w:val="en-US" w:eastAsia="zh-CN" w:bidi="ar-SA"/>
              </w:rPr>
              <w:t>等进行化验。</w:t>
            </w:r>
          </w:p>
          <w:p>
            <w:pPr>
              <w:pStyle w:val="15"/>
              <w:spacing w:before="100" w:line="360" w:lineRule="auto"/>
              <w:ind w:left="107"/>
              <w:jc w:val="center"/>
              <w:rPr>
                <w:rFonts w:hint="eastAsia" w:ascii="宋体" w:hAnsi="宋体" w:eastAsia="宋体" w:cs="宋体"/>
                <w:b w:val="0"/>
                <w:bCs w:val="0"/>
                <w:sz w:val="21"/>
                <w:szCs w:val="21"/>
              </w:rPr>
            </w:pPr>
            <w:r>
              <w:rPr>
                <w:rFonts w:hint="eastAsia" w:ascii="宋体" w:hAnsi="宋体" w:eastAsia="宋体" w:cs="宋体"/>
                <w:sz w:val="21"/>
                <w:szCs w:val="21"/>
              </w:rPr>
              <w:drawing>
                <wp:inline distT="0" distB="0" distL="114300" distR="114300">
                  <wp:extent cx="5250180" cy="1558290"/>
                  <wp:effectExtent l="0" t="0" r="7620" b="1143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3"/>
                          <a:stretch>
                            <a:fillRect/>
                          </a:stretch>
                        </pic:blipFill>
                        <pic:spPr>
                          <a:xfrm>
                            <a:off x="0" y="0"/>
                            <a:ext cx="5250180" cy="1558290"/>
                          </a:xfrm>
                          <a:prstGeom prst="rect">
                            <a:avLst/>
                          </a:prstGeom>
                          <a:noFill/>
                          <a:ln>
                            <a:noFill/>
                          </a:ln>
                        </pic:spPr>
                      </pic:pic>
                    </a:graphicData>
                  </a:graphic>
                </wp:inline>
              </w:drawing>
            </w:r>
          </w:p>
          <w:p>
            <w:pPr>
              <w:pStyle w:val="15"/>
              <w:spacing w:before="100" w:line="360" w:lineRule="auto"/>
              <w:rPr>
                <w:rFonts w:hint="eastAsia" w:ascii="宋体" w:hAnsi="宋体" w:eastAsia="宋体" w:cs="宋体"/>
                <w:b w:val="0"/>
                <w:bCs w:val="0"/>
                <w:sz w:val="21"/>
                <w:szCs w:val="21"/>
              </w:rPr>
            </w:pPr>
          </w:p>
          <w:p>
            <w:pPr>
              <w:pStyle w:val="15"/>
              <w:spacing w:before="100" w:line="360" w:lineRule="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eastAsia="zh-CN"/>
              </w:rPr>
              <w:t>查：</w:t>
            </w:r>
            <w:r>
              <w:rPr>
                <w:rFonts w:hint="eastAsia" w:ascii="宋体" w:hAnsi="宋体" w:eastAsia="宋体" w:cs="宋体"/>
                <w:b w:val="0"/>
                <w:bCs w:val="0"/>
                <w:sz w:val="21"/>
                <w:szCs w:val="21"/>
                <w:lang w:val="en-US" w:eastAsia="zh-CN"/>
              </w:rPr>
              <w:t>成品检验记录：</w:t>
            </w:r>
          </w:p>
          <w:p>
            <w:pPr>
              <w:pStyle w:val="15"/>
              <w:spacing w:before="100" w:line="360" w:lineRule="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采样单（调拨单号、</w:t>
            </w:r>
            <w:r>
              <w:rPr>
                <w:rFonts w:hint="eastAsia" w:ascii="宋体" w:hAnsi="宋体" w:eastAsia="宋体" w:cs="宋体"/>
                <w:b w:val="0"/>
                <w:bCs w:val="0"/>
                <w:sz w:val="21"/>
                <w:szCs w:val="21"/>
                <w:lang w:eastAsia="zh-CN"/>
              </w:rPr>
              <w:t>采样编号、采样人、车号、合同编号、班组、采样类别（原矿、锌精矿、铅精矿、尾矿等）、采样地点、采样时间等信息。</w:t>
            </w:r>
            <w:r>
              <w:rPr>
                <w:rFonts w:hint="eastAsia" w:ascii="宋体" w:hAnsi="宋体" w:eastAsia="宋体" w:cs="宋体"/>
                <w:b w:val="0"/>
                <w:bCs w:val="0"/>
                <w:sz w:val="21"/>
                <w:szCs w:val="21"/>
                <w:lang w:val="en-US" w:eastAsia="zh-CN"/>
              </w:rPr>
              <w:t>）、</w:t>
            </w:r>
          </w:p>
          <w:p>
            <w:pPr>
              <w:pStyle w:val="15"/>
              <w:spacing w:before="100" w:line="360" w:lineRule="auto"/>
              <w:ind w:left="107"/>
              <w:jc w:val="center"/>
              <w:rPr>
                <w:rFonts w:hint="eastAsia" w:ascii="宋体" w:hAnsi="宋体" w:eastAsia="宋体" w:cs="宋体"/>
                <w:b w:val="0"/>
                <w:bCs w:val="0"/>
                <w:sz w:val="21"/>
                <w:szCs w:val="21"/>
                <w:lang w:eastAsia="zh-CN"/>
              </w:rPr>
            </w:pPr>
            <w:r>
              <w:rPr>
                <w:rFonts w:hint="eastAsia" w:ascii="宋体" w:hAnsi="宋体" w:eastAsia="宋体" w:cs="宋体"/>
                <w:sz w:val="21"/>
                <w:szCs w:val="21"/>
              </w:rPr>
              <w:drawing>
                <wp:inline distT="0" distB="0" distL="114300" distR="114300">
                  <wp:extent cx="4982845" cy="1675130"/>
                  <wp:effectExtent l="0" t="0" r="635" b="127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4"/>
                          <a:stretch>
                            <a:fillRect/>
                          </a:stretch>
                        </pic:blipFill>
                        <pic:spPr>
                          <a:xfrm>
                            <a:off x="0" y="0"/>
                            <a:ext cx="4982845" cy="1675130"/>
                          </a:xfrm>
                          <a:prstGeom prst="rect">
                            <a:avLst/>
                          </a:prstGeom>
                          <a:noFill/>
                          <a:ln>
                            <a:noFill/>
                          </a:ln>
                        </pic:spPr>
                      </pic:pic>
                    </a:graphicData>
                  </a:graphic>
                </wp:inline>
              </w:drawing>
            </w:r>
          </w:p>
          <w:p>
            <w:pPr>
              <w:pStyle w:val="15"/>
              <w:spacing w:before="100" w:line="360" w:lineRule="auto"/>
              <w:rPr>
                <w:rFonts w:hint="eastAsia" w:ascii="宋体" w:hAnsi="宋体" w:eastAsia="宋体" w:cs="宋体"/>
                <w:b w:val="0"/>
                <w:bCs w:val="0"/>
                <w:sz w:val="21"/>
                <w:szCs w:val="21"/>
              </w:rPr>
            </w:pPr>
          </w:p>
          <w:p>
            <w:pPr>
              <w:pStyle w:val="15"/>
              <w:spacing w:before="100" w:line="360" w:lineRule="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制样单2022年11月27日-12月3日（制样单号、制样人、产品名称、销售产品、制样日期等内容）</w:t>
            </w:r>
          </w:p>
          <w:p>
            <w:pPr>
              <w:pStyle w:val="15"/>
              <w:spacing w:before="100" w:line="360" w:lineRule="auto"/>
              <w:jc w:val="center"/>
              <w:rPr>
                <w:rFonts w:hint="eastAsia" w:ascii="宋体" w:hAnsi="宋体" w:eastAsia="宋体" w:cs="宋体"/>
                <w:b w:val="0"/>
                <w:bCs w:val="0"/>
                <w:sz w:val="21"/>
                <w:szCs w:val="21"/>
                <w:lang w:val="en-US" w:eastAsia="zh-CN"/>
              </w:rPr>
            </w:pPr>
            <w:r>
              <w:rPr>
                <w:rFonts w:hint="eastAsia" w:ascii="宋体" w:hAnsi="宋体" w:eastAsia="宋体" w:cs="宋体"/>
                <w:sz w:val="21"/>
                <w:szCs w:val="21"/>
              </w:rPr>
              <w:drawing>
                <wp:inline distT="0" distB="0" distL="114300" distR="114300">
                  <wp:extent cx="4877435" cy="1701800"/>
                  <wp:effectExtent l="0" t="0" r="14605" b="508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15"/>
                          <a:stretch>
                            <a:fillRect/>
                          </a:stretch>
                        </pic:blipFill>
                        <pic:spPr>
                          <a:xfrm>
                            <a:off x="0" y="0"/>
                            <a:ext cx="4877435" cy="1701800"/>
                          </a:xfrm>
                          <a:prstGeom prst="rect">
                            <a:avLst/>
                          </a:prstGeom>
                          <a:noFill/>
                          <a:ln>
                            <a:noFill/>
                          </a:ln>
                        </pic:spPr>
                      </pic:pic>
                    </a:graphicData>
                  </a:graphic>
                </wp:inline>
              </w:drawing>
            </w:r>
          </w:p>
          <w:p>
            <w:pPr>
              <w:pStyle w:val="15"/>
              <w:spacing w:before="100" w:line="360" w:lineRule="auto"/>
              <w:rPr>
                <w:rFonts w:hint="eastAsia" w:ascii="宋体" w:hAnsi="宋体" w:eastAsia="宋体" w:cs="宋体"/>
                <w:b w:val="0"/>
                <w:bCs w:val="0"/>
                <w:sz w:val="21"/>
                <w:szCs w:val="21"/>
                <w:lang w:val="en-US" w:eastAsia="zh-CN"/>
              </w:rPr>
            </w:pPr>
          </w:p>
          <w:p>
            <w:pPr>
              <w:pStyle w:val="15"/>
              <w:spacing w:before="100" w:line="360" w:lineRule="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化验单2022年11月29日-12月7日（有化验单号、化验人、化验日期等内容）</w:t>
            </w:r>
          </w:p>
          <w:p>
            <w:pPr>
              <w:pStyle w:val="15"/>
              <w:spacing w:before="100" w:line="360" w:lineRule="auto"/>
              <w:jc w:val="center"/>
              <w:rPr>
                <w:rFonts w:hint="eastAsia" w:ascii="宋体" w:hAnsi="宋体" w:eastAsia="宋体" w:cs="宋体"/>
                <w:b w:val="0"/>
                <w:bCs w:val="0"/>
                <w:sz w:val="21"/>
                <w:szCs w:val="21"/>
                <w:lang w:val="en-US" w:eastAsia="zh-CN"/>
              </w:rPr>
            </w:pPr>
            <w:r>
              <w:rPr>
                <w:rFonts w:hint="eastAsia" w:ascii="宋体" w:hAnsi="宋体" w:eastAsia="宋体" w:cs="宋体"/>
                <w:sz w:val="21"/>
                <w:szCs w:val="21"/>
              </w:rPr>
              <w:drawing>
                <wp:inline distT="0" distB="0" distL="114300" distR="114300">
                  <wp:extent cx="5140960" cy="1670685"/>
                  <wp:effectExtent l="0" t="0" r="10160" b="571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16"/>
                          <a:stretch>
                            <a:fillRect/>
                          </a:stretch>
                        </pic:blipFill>
                        <pic:spPr>
                          <a:xfrm>
                            <a:off x="0" y="0"/>
                            <a:ext cx="5140960" cy="1670685"/>
                          </a:xfrm>
                          <a:prstGeom prst="rect">
                            <a:avLst/>
                          </a:prstGeom>
                          <a:noFill/>
                          <a:ln>
                            <a:noFill/>
                          </a:ln>
                        </pic:spPr>
                      </pic:pic>
                    </a:graphicData>
                  </a:graphic>
                </wp:inline>
              </w:drawing>
            </w:r>
          </w:p>
          <w:p>
            <w:pPr>
              <w:pStyle w:val="15"/>
              <w:spacing w:before="100" w:line="360" w:lineRule="auto"/>
              <w:rPr>
                <w:rFonts w:hint="eastAsia" w:ascii="宋体" w:hAnsi="宋体" w:eastAsia="宋体" w:cs="宋体"/>
                <w:b w:val="0"/>
                <w:bCs w:val="0"/>
                <w:sz w:val="21"/>
                <w:szCs w:val="21"/>
                <w:lang w:val="en-US" w:eastAsia="zh-CN"/>
              </w:rPr>
            </w:pPr>
          </w:p>
          <w:p>
            <w:pPr>
              <w:pStyle w:val="15"/>
              <w:spacing w:before="100" w:line="360" w:lineRule="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质检单2022年12月27日(销售铜精矿，内容有化验日期、采样日期、湿重、水份、干重、Cu品位、MgO品位、Ag品位、AS品位产品名称等内容为顾客提供最终产品含量、品位数据。</w:t>
            </w:r>
          </w:p>
          <w:p>
            <w:pPr>
              <w:pStyle w:val="15"/>
              <w:spacing w:before="100" w:line="360" w:lineRule="auto"/>
              <w:ind w:left="107"/>
              <w:jc w:val="center"/>
              <w:rPr>
                <w:rFonts w:hint="eastAsia" w:ascii="宋体" w:hAnsi="宋体" w:eastAsia="宋体" w:cs="宋体"/>
                <w:b w:val="0"/>
                <w:bCs w:val="0"/>
                <w:sz w:val="21"/>
                <w:szCs w:val="21"/>
              </w:rPr>
            </w:pPr>
            <w:r>
              <w:rPr>
                <w:rFonts w:hint="eastAsia" w:ascii="宋体" w:hAnsi="宋体" w:eastAsia="宋体" w:cs="宋体"/>
                <w:sz w:val="21"/>
                <w:szCs w:val="21"/>
              </w:rPr>
              <w:drawing>
                <wp:inline distT="0" distB="0" distL="114300" distR="114300">
                  <wp:extent cx="5216525" cy="1731010"/>
                  <wp:effectExtent l="0" t="0" r="10795" b="635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17"/>
                          <a:stretch>
                            <a:fillRect/>
                          </a:stretch>
                        </pic:blipFill>
                        <pic:spPr>
                          <a:xfrm>
                            <a:off x="0" y="0"/>
                            <a:ext cx="5216525" cy="1731010"/>
                          </a:xfrm>
                          <a:prstGeom prst="rect">
                            <a:avLst/>
                          </a:prstGeom>
                          <a:noFill/>
                          <a:ln>
                            <a:noFill/>
                          </a:ln>
                        </pic:spPr>
                      </pic:pic>
                    </a:graphicData>
                  </a:graphic>
                </wp:inline>
              </w:drawing>
            </w:r>
          </w:p>
          <w:p>
            <w:pPr>
              <w:pStyle w:val="15"/>
              <w:spacing w:before="100" w:line="360" w:lineRule="auto"/>
              <w:rPr>
                <w:rFonts w:hint="eastAsia" w:ascii="宋体" w:hAnsi="宋体" w:eastAsia="宋体" w:cs="宋体"/>
                <w:b w:val="0"/>
                <w:bCs w:val="0"/>
                <w:sz w:val="21"/>
                <w:szCs w:val="21"/>
              </w:rPr>
            </w:pPr>
          </w:p>
          <w:p>
            <w:pPr>
              <w:pStyle w:val="15"/>
              <w:spacing w:before="100" w:line="360" w:lineRule="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以下为阴极铜过程检验记录：</w:t>
            </w:r>
          </w:p>
          <w:p>
            <w:pPr>
              <w:pStyle w:val="15"/>
              <w:spacing w:before="100" w:line="360" w:lineRule="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阴极铜从原矿氧化矿——浸出工序——萃取工序——电积工序——阴极铜成品，由车间各工序将样品送至化验室，对原矿；浸出工序（低铜浸出液、高铜浸出液、低流）；萃电（低铜萃余液、高铜萃余液、电贫液、电富液、等）</w:t>
            </w:r>
          </w:p>
          <w:p>
            <w:pPr>
              <w:pStyle w:val="15"/>
              <w:spacing w:before="100" w:line="360" w:lineRule="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提供：2023.1.6日浸出工序化验单，检验员：梅晓春等。提供2023.1.5萃电化验单，检测员：邓珍巴珍等</w:t>
            </w:r>
          </w:p>
          <w:p>
            <w:pPr>
              <w:pStyle w:val="15"/>
              <w:spacing w:before="100" w:line="360" w:lineRule="auto"/>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drawing>
                <wp:inline distT="0" distB="0" distL="114300" distR="114300">
                  <wp:extent cx="1075055" cy="1391920"/>
                  <wp:effectExtent l="0" t="0" r="6985" b="10160"/>
                  <wp:docPr id="29" name="图片 29" descr="2ab5c1b1489ebf2e2fd9526ca68d4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ab5c1b1489ebf2e2fd9526ca68d4dd"/>
                          <pic:cNvPicPr>
                            <a:picLocks noChangeAspect="1"/>
                          </pic:cNvPicPr>
                        </pic:nvPicPr>
                        <pic:blipFill>
                          <a:blip r:embed="rId18"/>
                          <a:stretch>
                            <a:fillRect/>
                          </a:stretch>
                        </pic:blipFill>
                        <pic:spPr>
                          <a:xfrm>
                            <a:off x="0" y="0"/>
                            <a:ext cx="1075055" cy="1391920"/>
                          </a:xfrm>
                          <a:prstGeom prst="rect">
                            <a:avLst/>
                          </a:prstGeom>
                        </pic:spPr>
                      </pic:pic>
                    </a:graphicData>
                  </a:graphic>
                </wp:inline>
              </w:drawing>
            </w:r>
            <w:r>
              <w:rPr>
                <w:rFonts w:hint="eastAsia" w:ascii="宋体" w:hAnsi="宋体" w:eastAsia="宋体" w:cs="宋体"/>
                <w:b/>
                <w:sz w:val="21"/>
                <w:szCs w:val="21"/>
                <w:lang w:val="en-US" w:eastAsia="zh-CN"/>
              </w:rPr>
              <w:t xml:space="preserve">     </w:t>
            </w:r>
            <w:r>
              <w:rPr>
                <w:rFonts w:hint="eastAsia" w:ascii="宋体" w:hAnsi="宋体" w:eastAsia="宋体" w:cs="宋体"/>
                <w:b/>
                <w:sz w:val="21"/>
                <w:szCs w:val="21"/>
                <w:lang w:val="en-US" w:eastAsia="zh-CN"/>
              </w:rPr>
              <w:drawing>
                <wp:inline distT="0" distB="0" distL="114300" distR="114300">
                  <wp:extent cx="1059815" cy="1396365"/>
                  <wp:effectExtent l="0" t="0" r="6985" b="5715"/>
                  <wp:docPr id="30" name="图片 30" descr="9c22240defd7e23a555dcfaf9ec90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9c22240defd7e23a555dcfaf9ec90ac"/>
                          <pic:cNvPicPr>
                            <a:picLocks noChangeAspect="1"/>
                          </pic:cNvPicPr>
                        </pic:nvPicPr>
                        <pic:blipFill>
                          <a:blip r:embed="rId19"/>
                          <a:stretch>
                            <a:fillRect/>
                          </a:stretch>
                        </pic:blipFill>
                        <pic:spPr>
                          <a:xfrm>
                            <a:off x="0" y="0"/>
                            <a:ext cx="1059815" cy="1396365"/>
                          </a:xfrm>
                          <a:prstGeom prst="rect">
                            <a:avLst/>
                          </a:prstGeom>
                        </pic:spPr>
                      </pic:pic>
                    </a:graphicData>
                  </a:graphic>
                </wp:inline>
              </w:drawing>
            </w:r>
          </w:p>
          <w:p>
            <w:pPr>
              <w:pStyle w:val="15"/>
              <w:spacing w:before="100" w:line="360" w:lineRule="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提供：阴极铜系统生产检验日报表</w:t>
            </w:r>
          </w:p>
          <w:p>
            <w:pPr>
              <w:pStyle w:val="15"/>
              <w:spacing w:before="100" w:line="360" w:lineRule="auto"/>
              <w:rPr>
                <w:rFonts w:hint="eastAsia" w:ascii="宋体" w:hAnsi="宋体" w:eastAsia="宋体" w:cs="宋体"/>
                <w:b w:val="0"/>
                <w:bCs w:val="0"/>
                <w:sz w:val="21"/>
                <w:szCs w:val="21"/>
                <w:lang w:val="en-US" w:eastAsia="zh-CN"/>
              </w:rPr>
            </w:pPr>
            <w:r>
              <w:rPr>
                <w:rFonts w:hint="eastAsia" w:ascii="宋体" w:hAnsi="宋体" w:eastAsia="宋体" w:cs="宋体"/>
                <w:b/>
                <w:sz w:val="21"/>
                <w:szCs w:val="21"/>
                <w:lang w:val="en-US" w:eastAsia="zh-CN"/>
              </w:rPr>
              <w:drawing>
                <wp:inline distT="0" distB="0" distL="114300" distR="114300">
                  <wp:extent cx="1743710" cy="1807845"/>
                  <wp:effectExtent l="0" t="0" r="8890" b="5715"/>
                  <wp:docPr id="31" name="图片 31" descr="e7986e25610ca2f5f566944d6399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7986e25610ca2f5f566944d63997c1"/>
                          <pic:cNvPicPr>
                            <a:picLocks noChangeAspect="1"/>
                          </pic:cNvPicPr>
                        </pic:nvPicPr>
                        <pic:blipFill>
                          <a:blip r:embed="rId20"/>
                          <a:stretch>
                            <a:fillRect/>
                          </a:stretch>
                        </pic:blipFill>
                        <pic:spPr>
                          <a:xfrm>
                            <a:off x="0" y="0"/>
                            <a:ext cx="1743710" cy="1807845"/>
                          </a:xfrm>
                          <a:prstGeom prst="rect">
                            <a:avLst/>
                          </a:prstGeom>
                        </pic:spPr>
                      </pic:pic>
                    </a:graphicData>
                  </a:graphic>
                </wp:inline>
              </w:drawing>
            </w:r>
          </w:p>
          <w:p>
            <w:pPr>
              <w:pStyle w:val="15"/>
              <w:spacing w:before="100" w:line="360" w:lineRule="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查 3：采购产品的验收（放行）</w:t>
            </w:r>
          </w:p>
          <w:p>
            <w:pPr>
              <w:pStyle w:val="15"/>
              <w:spacing w:before="100" w:line="360" w:lineRule="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提供：长期分包合同一份；</w:t>
            </w:r>
          </w:p>
          <w:p>
            <w:pPr>
              <w:pStyle w:val="15"/>
              <w:spacing w:before="100" w:line="360" w:lineRule="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甲方：</w:t>
            </w:r>
            <w:bookmarkStart w:id="1" w:name="组织名称"/>
            <w:r>
              <w:rPr>
                <w:rFonts w:hint="eastAsia" w:ascii="宋体" w:hAnsi="宋体" w:eastAsia="宋体" w:cs="宋体"/>
                <w:b w:val="0"/>
                <w:bCs w:val="0"/>
                <w:sz w:val="21"/>
                <w:szCs w:val="21"/>
                <w:lang w:val="en-US" w:eastAsia="zh-CN"/>
              </w:rPr>
              <w:t>西藏玉龙铜业股份有限公司</w:t>
            </w:r>
            <w:bookmarkEnd w:id="1"/>
            <w:r>
              <w:rPr>
                <w:rFonts w:hint="eastAsia" w:ascii="宋体" w:hAnsi="宋体" w:eastAsia="宋体" w:cs="宋体"/>
                <w:b w:val="0"/>
                <w:bCs w:val="0"/>
                <w:sz w:val="21"/>
                <w:szCs w:val="21"/>
                <w:lang w:val="en-US" w:eastAsia="zh-CN"/>
              </w:rPr>
              <w:t>；</w:t>
            </w:r>
            <w:r>
              <w:rPr>
                <w:rFonts w:hint="eastAsia" w:ascii="宋体" w:hAnsi="宋体" w:eastAsia="宋体" w:cs="宋体"/>
                <w:b w:val="0"/>
                <w:bCs w:val="0"/>
                <w:sz w:val="21"/>
                <w:szCs w:val="21"/>
                <w:lang w:val="en-US" w:eastAsia="zh-CN"/>
              </w:rPr>
              <w:tab/>
            </w:r>
            <w:r>
              <w:rPr>
                <w:rFonts w:hint="eastAsia" w:ascii="宋体" w:hAnsi="宋体" w:eastAsia="宋体" w:cs="宋体"/>
                <w:b w:val="0"/>
                <w:bCs w:val="0"/>
                <w:sz w:val="21"/>
                <w:szCs w:val="21"/>
                <w:lang w:val="en-US" w:eastAsia="zh-CN"/>
              </w:rPr>
              <w:t>乙方：中铁十九局集团有限公司</w:t>
            </w:r>
          </w:p>
          <w:p>
            <w:pPr>
              <w:pStyle w:val="15"/>
              <w:spacing w:before="100" w:line="360" w:lineRule="auto"/>
              <w:ind w:left="107"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内容约定：产品质量、价格、验收、采出矿指标、管控等条款实施管控，确保采购（原矿石）产品质量符合要求。</w:t>
            </w:r>
          </w:p>
          <w:p>
            <w:pPr>
              <w:pStyle w:val="15"/>
              <w:spacing w:before="100" w:line="360" w:lineRule="auto"/>
              <w:ind w:left="107"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约定双方责任诚实、有效，产品质量符合实际要求和国家标准。</w:t>
            </w:r>
          </w:p>
          <w:p>
            <w:pPr>
              <w:pStyle w:val="15"/>
              <w:spacing w:before="100" w:line="360" w:lineRule="auto"/>
              <w:ind w:left="107"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符合性确认：该过程控制按国家标准、顾客合同、采购合同为依据，有效地控制了从采购产品过程的有效控制。符合要求。</w:t>
            </w:r>
          </w:p>
          <w:p>
            <w:pPr>
              <w:pStyle w:val="15"/>
              <w:spacing w:before="100" w:line="360" w:lineRule="auto"/>
              <w:ind w:left="107" w:leftChars="0" w:firstLine="420" w:firstLineChars="200"/>
              <w:rPr>
                <w:rFonts w:hint="eastAsia" w:ascii="宋体" w:hAnsi="宋体" w:eastAsia="宋体" w:cs="宋体"/>
                <w:b w:val="0"/>
                <w:bCs w:val="0"/>
                <w:kern w:val="2"/>
                <w:sz w:val="21"/>
                <w:szCs w:val="21"/>
                <w:lang w:val="en-US" w:eastAsia="zh-CN" w:bidi="en-US"/>
              </w:rPr>
            </w:pPr>
            <w:r>
              <w:rPr>
                <w:rFonts w:hint="eastAsia" w:ascii="宋体" w:hAnsi="宋体" w:eastAsia="宋体" w:cs="宋体"/>
                <w:b w:val="0"/>
                <w:bCs w:val="0"/>
                <w:sz w:val="21"/>
                <w:szCs w:val="21"/>
              </w:rPr>
              <w:t>本过程职责：实施策划的安排，验证产品和服务的要求得到满足</w:t>
            </w:r>
            <w:r>
              <w:rPr>
                <w:rFonts w:hint="eastAsia" w:ascii="宋体" w:hAnsi="宋体" w:eastAsia="宋体" w:cs="宋体"/>
                <w:b w:val="0"/>
                <w:bCs w:val="0"/>
                <w:sz w:val="21"/>
                <w:szCs w:val="21"/>
                <w:lang w:eastAsia="zh-CN"/>
              </w:rPr>
              <w:t>，符合要求</w:t>
            </w:r>
            <w:r>
              <w:rPr>
                <w:rFonts w:hint="eastAsia" w:ascii="宋体" w:hAnsi="宋体" w:eastAsia="宋体" w:cs="宋体"/>
                <w:b w:val="0"/>
                <w:bCs w:val="0"/>
                <w:sz w:val="21"/>
                <w:szCs w:val="21"/>
              </w:rPr>
              <w:t>并予以放行。</w:t>
            </w:r>
            <w:r>
              <w:rPr>
                <w:rFonts w:hint="eastAsia" w:ascii="宋体" w:hAnsi="宋体" w:eastAsia="宋体" w:cs="宋体"/>
                <w:b w:val="0"/>
                <w:bCs w:val="0"/>
                <w:sz w:val="21"/>
                <w:szCs w:val="21"/>
                <w:lang w:eastAsia="zh-CN"/>
              </w:rPr>
              <w:t>以上化验数值均符合相关规定要求。</w:t>
            </w:r>
          </w:p>
        </w:tc>
        <w:tc>
          <w:tcPr>
            <w:tcW w:w="1585" w:type="dxa"/>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vAlign w:val="center"/>
          </w:tcPr>
          <w:p>
            <w:pPr>
              <w:spacing w:line="360" w:lineRule="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不合格品输出控制</w:t>
            </w:r>
          </w:p>
        </w:tc>
        <w:tc>
          <w:tcPr>
            <w:tcW w:w="960" w:type="dxa"/>
            <w:vAlign w:val="center"/>
          </w:tcPr>
          <w:p>
            <w:pPr>
              <w:spacing w:line="360" w:lineRule="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Q</w:t>
            </w:r>
            <w:r>
              <w:rPr>
                <w:rFonts w:hint="eastAsia" w:ascii="宋体" w:hAnsi="宋体" w:eastAsia="宋体" w:cs="宋体"/>
                <w:b w:val="0"/>
                <w:bCs w:val="0"/>
                <w:sz w:val="21"/>
                <w:szCs w:val="21"/>
              </w:rPr>
              <w:t>8.7.1</w:t>
            </w:r>
          </w:p>
        </w:tc>
        <w:tc>
          <w:tcPr>
            <w:tcW w:w="10004" w:type="dxa"/>
            <w:vAlign w:val="center"/>
          </w:tcPr>
          <w:p>
            <w:pPr>
              <w:pStyle w:val="15"/>
              <w:spacing w:before="100"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确保对不符合要求的输出进行识别和控制，以防止非预期的使用或交付。根据不合格的性质及其对产品和服务符合性的影响采取适当措施。</w:t>
            </w:r>
          </w:p>
          <w:p>
            <w:pPr>
              <w:pStyle w:val="15"/>
              <w:spacing w:before="100" w:line="360" w:lineRule="auto"/>
              <w:ind w:left="107"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公司编有《不合格输出控制程序》《改进控制程序》，规定了不合格输出的识别、控制要求。公司规定不合格品在化验过程中已被发现时，即调整药剂、化验检测，直至符合标准再交付。  因而不存在隔离、退货 - - -等现象。</w:t>
            </w:r>
          </w:p>
          <w:p>
            <w:pPr>
              <w:pStyle w:val="15"/>
              <w:spacing w:before="100" w:line="360" w:lineRule="auto"/>
              <w:ind w:left="107" w:firstLine="420" w:firstLineChars="200"/>
              <w:rPr>
                <w:rFonts w:hint="eastAsia" w:ascii="宋体" w:hAnsi="宋体" w:eastAsia="宋体" w:cs="宋体"/>
                <w:b w:val="0"/>
                <w:bCs w:val="0"/>
                <w:sz w:val="21"/>
                <w:szCs w:val="21"/>
                <w:lang w:eastAsia="zh-CN"/>
              </w:rPr>
            </w:pPr>
            <w:r>
              <w:rPr>
                <w:rFonts w:hint="eastAsia" w:ascii="宋体" w:hAnsi="宋体" w:eastAsia="宋体" w:cs="宋体"/>
                <w:kern w:val="2"/>
                <w:sz w:val="21"/>
                <w:szCs w:val="21"/>
                <w:lang w:val="en-US" w:eastAsia="zh-CN" w:bidi="ar-SA"/>
              </w:rPr>
              <w:t>查 1：阴极铜GB/T467-2010  铜精矿化学分析方法GB/T3884，具体成分标准如下</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b w:val="0"/>
                <w:bCs w:val="0"/>
                <w:sz w:val="21"/>
                <w:szCs w:val="21"/>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b w:val="0"/>
                <w:bCs w:val="0"/>
                <w:sz w:val="21"/>
                <w:szCs w:val="21"/>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b w:val="0"/>
                <w:bCs w:val="0"/>
                <w:sz w:val="21"/>
                <w:szCs w:val="21"/>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b w:val="0"/>
                <w:bCs w:val="0"/>
                <w:sz w:val="21"/>
                <w:szCs w:val="21"/>
                <w:lang w:eastAsia="zh-CN"/>
              </w:rPr>
              <w:drawing>
                <wp:anchor distT="0" distB="0" distL="114300" distR="114300" simplePos="0" relativeHeight="251659264" behindDoc="1" locked="0" layoutInCell="1" allowOverlap="1">
                  <wp:simplePos x="0" y="0"/>
                  <wp:positionH relativeFrom="column">
                    <wp:posOffset>267335</wp:posOffset>
                  </wp:positionH>
                  <wp:positionV relativeFrom="paragraph">
                    <wp:posOffset>-939800</wp:posOffset>
                  </wp:positionV>
                  <wp:extent cx="1720215" cy="1071245"/>
                  <wp:effectExtent l="0" t="0" r="1905" b="10795"/>
                  <wp:wrapNone/>
                  <wp:docPr id="36" name="图片 36" descr="9ba1d8ca79ad1899c2e14c6e120da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9ba1d8ca79ad1899c2e14c6e120dab7"/>
                          <pic:cNvPicPr>
                            <a:picLocks noChangeAspect="1"/>
                          </pic:cNvPicPr>
                        </pic:nvPicPr>
                        <pic:blipFill>
                          <a:blip r:embed="rId21"/>
                          <a:srcRect l="6566" t="15627" r="5513" b="11415"/>
                          <a:stretch>
                            <a:fillRect/>
                          </a:stretch>
                        </pic:blipFill>
                        <pic:spPr>
                          <a:xfrm>
                            <a:off x="0" y="0"/>
                            <a:ext cx="1720215" cy="107124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成品阴极铜标准，不符合以下要求即为不合格品信息</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标准阴极铜（Cu-CATH-2）；  b）表面质量；   </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c）单块重量不小于15kg（或用厚度表征）。</w:t>
            </w:r>
          </w:p>
          <w:p>
            <w:pPr>
              <w:keepNext w:val="0"/>
              <w:keepLines w:val="0"/>
              <w:pageBreakBefore w:val="0"/>
              <w:widowControl w:val="0"/>
              <w:kinsoku/>
              <w:wordWrap/>
              <w:overflowPunct/>
              <w:topLinePunct w:val="0"/>
              <w:autoSpaceDE/>
              <w:autoSpaceDN/>
              <w:bidi w:val="0"/>
              <w:adjustRightInd/>
              <w:snapToGrid/>
              <w:spacing w:line="360" w:lineRule="auto"/>
              <w:ind w:firstLine="421"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该公司产品为《标准阴极铜(Cu-CATH-2）》</w:t>
            </w:r>
          </w:p>
          <w:p>
            <w:pPr>
              <w:pStyle w:val="15"/>
              <w:spacing w:before="3" w:line="360" w:lineRule="auto"/>
              <w:rPr>
                <w:rFonts w:hint="eastAsia" w:ascii="宋体" w:hAnsi="宋体" w:eastAsia="宋体" w:cs="宋体"/>
                <w:b w:val="0"/>
                <w:bCs w:val="0"/>
                <w:sz w:val="21"/>
                <w:szCs w:val="21"/>
              </w:rPr>
            </w:pPr>
          </w:p>
          <w:p>
            <w:pPr>
              <w:pStyle w:val="15"/>
              <w:spacing w:before="100" w:line="360" w:lineRule="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查 2：描述不合格以及获得让步接收的授权 — 无不合格产品、无让步接收过程。 </w:t>
            </w:r>
          </w:p>
          <w:p>
            <w:pPr>
              <w:pStyle w:val="15"/>
              <w:spacing w:before="100" w:line="360" w:lineRule="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查 3：杂质含量超出“XX 级标准时”，无论在哪一个过程发现，均可以通过调节药剂至合格。</w:t>
            </w:r>
          </w:p>
          <w:p>
            <w:pPr>
              <w:pStyle w:val="15"/>
              <w:spacing w:before="100" w:line="360" w:lineRule="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查 4：针对批量、严重不合格、顾客投诉的质量分析会：本审核覆盖期《未发生》符合性确认：信息量充足。处置合理。符合要求。</w:t>
            </w:r>
          </w:p>
        </w:tc>
        <w:tc>
          <w:tcPr>
            <w:tcW w:w="1585" w:type="dxa"/>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2160" w:type="dxa"/>
            <w:vAlign w:val="center"/>
          </w:tcPr>
          <w:p>
            <w:pPr>
              <w:keepNext w:val="0"/>
              <w:keepLines w:val="0"/>
              <w:pageBreakBefore w:val="0"/>
              <w:widowControl w:val="0"/>
              <w:kinsoku/>
              <w:wordWrap/>
              <w:overflowPunct/>
              <w:topLinePunct w:val="0"/>
              <w:autoSpaceDE/>
              <w:autoSpaceDN/>
              <w:bidi w:val="0"/>
              <w:spacing w:line="360" w:lineRule="auto"/>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不合格品控制</w:t>
            </w:r>
          </w:p>
          <w:p>
            <w:pPr>
              <w:keepNext w:val="0"/>
              <w:keepLines w:val="0"/>
              <w:pageBreakBefore w:val="0"/>
              <w:widowControl w:val="0"/>
              <w:kinsoku/>
              <w:wordWrap/>
              <w:overflowPunct/>
              <w:topLinePunct w:val="0"/>
              <w:autoSpaceDE/>
              <w:autoSpaceDN/>
              <w:bidi w:val="0"/>
              <w:spacing w:line="360" w:lineRule="auto"/>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保留以下信息</w:t>
            </w:r>
          </w:p>
        </w:tc>
        <w:tc>
          <w:tcPr>
            <w:tcW w:w="960" w:type="dxa"/>
            <w:vAlign w:val="center"/>
          </w:tcPr>
          <w:p>
            <w:pPr>
              <w:keepNext w:val="0"/>
              <w:keepLines w:val="0"/>
              <w:pageBreakBefore w:val="0"/>
              <w:widowControl w:val="0"/>
              <w:kinsoku/>
              <w:wordWrap/>
              <w:overflowPunct/>
              <w:topLinePunct w:val="0"/>
              <w:autoSpaceDE/>
              <w:autoSpaceDN/>
              <w:bidi w:val="0"/>
              <w:spacing w:line="360" w:lineRule="auto"/>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color w:val="auto"/>
                <w:kern w:val="0"/>
                <w:sz w:val="21"/>
                <w:szCs w:val="21"/>
                <w:lang w:val="en-US" w:eastAsia="zh-CN"/>
              </w:rPr>
              <w:t>Q</w:t>
            </w:r>
            <w:r>
              <w:rPr>
                <w:rFonts w:hint="eastAsia" w:ascii="宋体" w:hAnsi="宋体" w:eastAsia="宋体" w:cs="宋体"/>
                <w:sz w:val="21"/>
                <w:szCs w:val="21"/>
                <w:lang w:val="en-US" w:eastAsia="zh-CN"/>
              </w:rPr>
              <w:t>8.7.2</w:t>
            </w:r>
          </w:p>
        </w:tc>
        <w:tc>
          <w:tcPr>
            <w:tcW w:w="10004" w:type="dxa"/>
            <w:vAlign w:val="center"/>
          </w:tcPr>
          <w:p>
            <w:pPr>
              <w:keepNext w:val="0"/>
              <w:keepLines w:val="0"/>
              <w:pageBreakBefore w:val="0"/>
              <w:widowControl w:val="0"/>
              <w:kinsoku/>
              <w:wordWrap/>
              <w:overflowPunct/>
              <w:topLinePunct w:val="0"/>
              <w:autoSpaceDE/>
              <w:autoSpaceDN/>
              <w:bidi w:val="0"/>
              <w:spacing w:line="360" w:lineRule="auto"/>
              <w:ind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 1：不合格及采取措施的信息《未发生》查 2：处置信息《未发生》查 3：被授权人信息“赵财昌、王勇、包玉玲”已被授权，有被授权信息包括职责权限等。上述信息均被有效保留。</w:t>
            </w:r>
          </w:p>
        </w:tc>
        <w:tc>
          <w:tcPr>
            <w:tcW w:w="1585" w:type="dxa"/>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trPr>
        <w:tc>
          <w:tcPr>
            <w:tcW w:w="2160" w:type="dxa"/>
            <w:vAlign w:val="top"/>
          </w:tcPr>
          <w:p>
            <w:pPr>
              <w:keepNext w:val="0"/>
              <w:keepLines w:val="0"/>
              <w:pageBreakBefore w:val="0"/>
              <w:widowControl w:val="0"/>
              <w:kinsoku/>
              <w:wordWrap/>
              <w:overflowPunct/>
              <w:topLinePunct w:val="0"/>
              <w:autoSpaceDE/>
              <w:autoSpaceDN/>
              <w:bidi w:val="0"/>
              <w:spacing w:line="360" w:lineRule="auto"/>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分析和评价</w:t>
            </w:r>
          </w:p>
        </w:tc>
        <w:tc>
          <w:tcPr>
            <w:tcW w:w="960" w:type="dxa"/>
            <w:vAlign w:val="top"/>
          </w:tcPr>
          <w:p>
            <w:pPr>
              <w:keepNext w:val="0"/>
              <w:keepLines w:val="0"/>
              <w:pageBreakBefore w:val="0"/>
              <w:widowControl w:val="0"/>
              <w:kinsoku/>
              <w:wordWrap/>
              <w:overflowPunct/>
              <w:topLinePunct w:val="0"/>
              <w:autoSpaceDE/>
              <w:autoSpaceDN/>
              <w:bidi w:val="0"/>
              <w:spacing w:line="360" w:lineRule="auto"/>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color w:val="auto"/>
                <w:kern w:val="0"/>
                <w:sz w:val="21"/>
                <w:szCs w:val="21"/>
                <w:lang w:val="en-US" w:eastAsia="zh-CN"/>
              </w:rPr>
              <w:t>Q</w:t>
            </w:r>
            <w:r>
              <w:rPr>
                <w:rFonts w:hint="eastAsia" w:ascii="宋体" w:hAnsi="宋体" w:eastAsia="宋体" w:cs="宋体"/>
                <w:sz w:val="21"/>
                <w:szCs w:val="21"/>
                <w:lang w:val="en-US" w:eastAsia="zh-CN"/>
              </w:rPr>
              <w:t>9.1.3</w:t>
            </w:r>
          </w:p>
        </w:tc>
        <w:tc>
          <w:tcPr>
            <w:tcW w:w="10004" w:type="dxa"/>
            <w:vAlign w:val="center"/>
          </w:tcPr>
          <w:p>
            <w:pPr>
              <w:keepNext w:val="0"/>
              <w:keepLines w:val="0"/>
              <w:pageBreakBefore w:val="0"/>
              <w:widowControl w:val="0"/>
              <w:kinsoku/>
              <w:wordWrap/>
              <w:overflowPunct/>
              <w:topLinePunct w:val="0"/>
              <w:autoSpaceDE/>
              <w:autoSpaceDN/>
              <w:bidi w:val="0"/>
              <w:spacing w:line="360" w:lineRule="auto"/>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分析、评价、利用通过监视和测量获得的适当的数据和信息，以期获得顾客满意、供方业绩、持续改进的信息。</w:t>
            </w:r>
          </w:p>
          <w:p>
            <w:pPr>
              <w:keepNext w:val="0"/>
              <w:keepLines w:val="0"/>
              <w:pageBreakBefore w:val="0"/>
              <w:widowControl w:val="0"/>
              <w:kinsoku/>
              <w:wordWrap/>
              <w:overflowPunct/>
              <w:topLinePunct w:val="0"/>
              <w:autoSpaceDE/>
              <w:autoSpaceDN/>
              <w:bidi w:val="0"/>
              <w:spacing w:line="360" w:lineRule="auto"/>
              <w:ind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质量目标达成情况统计表</w:t>
            </w:r>
          </w:p>
          <w:p>
            <w:pPr>
              <w:keepNext w:val="0"/>
              <w:keepLines w:val="0"/>
              <w:pageBreakBefore w:val="0"/>
              <w:widowControl w:val="0"/>
              <w:kinsoku/>
              <w:wordWrap/>
              <w:overflowPunct/>
              <w:topLinePunct w:val="0"/>
              <w:autoSpaceDE/>
              <w:autoSpaceDN/>
              <w:bidi w:val="0"/>
              <w:spacing w:line="360" w:lineRule="auto"/>
              <w:ind w:firstLine="420" w:firstLineChars="200"/>
              <w:jc w:val="both"/>
              <w:textAlignment w:val="auto"/>
              <w:outlineLvl w:val="9"/>
              <w:rPr>
                <w:rFonts w:hint="eastAsia" w:ascii="宋体" w:hAnsi="宋体" w:eastAsia="宋体" w:cs="宋体"/>
                <w:kern w:val="0"/>
                <w:sz w:val="21"/>
                <w:szCs w:val="21"/>
                <w:lang w:val="en-US" w:eastAsia="zh-CN" w:bidi="ar-SA"/>
              </w:rPr>
            </w:pPr>
            <w:r>
              <w:rPr>
                <w:rFonts w:hint="eastAsia" w:ascii="宋体" w:hAnsi="宋体" w:eastAsia="宋体" w:cs="宋体"/>
                <w:sz w:val="21"/>
                <w:szCs w:val="21"/>
                <w:lang w:val="en-US" w:eastAsia="zh-CN"/>
              </w:rPr>
              <w:t>评价：监视和测量范围覆盖完整；目标制定合理；统计方法适宜；覆盖范围与标准、产品要求相符合；已按策划统计周期实施统计。已达成。见下表：</w:t>
            </w:r>
          </w:p>
        </w:tc>
        <w:tc>
          <w:tcPr>
            <w:tcW w:w="1585" w:type="dxa"/>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内部审核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kern w:val="0"/>
                <w:sz w:val="21"/>
                <w:szCs w:val="21"/>
                <w:lang w:val="en-US" w:eastAsia="zh-CN"/>
              </w:rPr>
            </w:pPr>
          </w:p>
          <w:p>
            <w:pPr>
              <w:keepNext w:val="0"/>
              <w:keepLines w:val="0"/>
              <w:pageBreakBefore w:val="0"/>
              <w:widowControl w:val="0"/>
              <w:kinsoku/>
              <w:wordWrap/>
              <w:overflowPunct/>
              <w:topLinePunct w:val="0"/>
              <w:autoSpaceDE/>
              <w:autoSpaceDN/>
              <w:bidi w:val="0"/>
              <w:spacing w:line="360" w:lineRule="auto"/>
              <w:jc w:val="both"/>
              <w:textAlignment w:val="auto"/>
              <w:outlineLvl w:val="9"/>
              <w:rPr>
                <w:rFonts w:hint="eastAsia" w:ascii="宋体" w:hAnsi="宋体" w:eastAsia="宋体" w:cs="宋体"/>
                <w:color w:val="auto"/>
                <w:kern w:val="2"/>
                <w:sz w:val="21"/>
                <w:szCs w:val="21"/>
                <w:lang w:val="en-US" w:eastAsia="zh-CN" w:bidi="ar-SA"/>
              </w:rPr>
            </w:pPr>
          </w:p>
        </w:tc>
        <w:tc>
          <w:tcPr>
            <w:tcW w:w="960"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QEO9.2</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kern w:val="0"/>
                <w:sz w:val="21"/>
                <w:szCs w:val="21"/>
                <w:lang w:val="en-US" w:eastAsia="zh-CN"/>
              </w:rPr>
            </w:pPr>
          </w:p>
          <w:p>
            <w:pPr>
              <w:keepNext w:val="0"/>
              <w:keepLines w:val="0"/>
              <w:pageBreakBefore w:val="0"/>
              <w:widowControl w:val="0"/>
              <w:kinsoku/>
              <w:wordWrap/>
              <w:overflowPunct/>
              <w:topLinePunct w:val="0"/>
              <w:autoSpaceDE/>
              <w:autoSpaceDN/>
              <w:bidi w:val="0"/>
              <w:spacing w:line="360" w:lineRule="auto"/>
              <w:jc w:val="both"/>
              <w:textAlignment w:val="auto"/>
              <w:outlineLvl w:val="9"/>
              <w:rPr>
                <w:rFonts w:hint="eastAsia" w:ascii="宋体" w:hAnsi="宋体" w:eastAsia="宋体" w:cs="宋体"/>
                <w:color w:val="auto"/>
                <w:kern w:val="2"/>
                <w:sz w:val="21"/>
                <w:szCs w:val="21"/>
                <w:lang w:val="en-US" w:eastAsia="zh-CN" w:bidi="ar-SA"/>
              </w:rPr>
            </w:pPr>
          </w:p>
        </w:tc>
        <w:tc>
          <w:tcPr>
            <w:tcW w:w="10004" w:type="dxa"/>
            <w:vAlign w:val="center"/>
          </w:tcPr>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公司编制并实施了《内部审核管理程序》，并能按标准规定对内部审核的策划、实施、人员安排与资质、内部审核的记录、不符合项的分析与验证，以及审核的结论等开展内部审核。</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由</w:t>
            </w:r>
            <w:r>
              <w:rPr>
                <w:rFonts w:hint="eastAsia" w:ascii="宋体" w:hAnsi="宋体" w:eastAsia="宋体" w:cs="宋体"/>
                <w:color w:val="auto"/>
                <w:sz w:val="21"/>
                <w:szCs w:val="21"/>
                <w:lang w:val="en-US" w:eastAsia="zh-CN"/>
              </w:rPr>
              <w:t>质管部</w:t>
            </w:r>
            <w:r>
              <w:rPr>
                <w:rFonts w:hint="eastAsia" w:ascii="宋体" w:hAnsi="宋体" w:eastAsia="宋体" w:cs="宋体"/>
                <w:color w:val="auto"/>
                <w:sz w:val="21"/>
                <w:szCs w:val="21"/>
              </w:rPr>
              <w:t>定期组织内部审核，一般每年进行一次内部审核，时间间隔不超过12个月，抽查最近一次的内部审核情况：</w:t>
            </w:r>
          </w:p>
          <w:p>
            <w:pPr>
              <w:spacing w:line="360" w:lineRule="auto"/>
              <w:ind w:left="-2" w:leftChars="-1"/>
              <w:rPr>
                <w:rFonts w:hint="eastAsia" w:ascii="宋体" w:hAnsi="宋体" w:eastAsia="宋体" w:cs="宋体"/>
                <w:sz w:val="21"/>
                <w:szCs w:val="21"/>
              </w:rPr>
            </w:pPr>
            <w:r>
              <w:rPr>
                <w:rFonts w:hint="eastAsia" w:ascii="宋体" w:hAnsi="宋体" w:eastAsia="宋体" w:cs="宋体"/>
                <w:color w:val="auto"/>
                <w:sz w:val="21"/>
                <w:szCs w:val="21"/>
              </w:rPr>
              <w:t>年度审核计划：提供《内部审核计划》，其内容已包括了审核目的、范围、准则、审核方法、日期（</w:t>
            </w:r>
            <w:r>
              <w:rPr>
                <w:rFonts w:hint="eastAsia" w:ascii="宋体" w:hAnsi="宋体" w:eastAsia="宋体" w:cs="宋体"/>
                <w:color w:val="auto"/>
                <w:sz w:val="21"/>
                <w:szCs w:val="21"/>
                <w:lang w:eastAsia="zh-CN"/>
              </w:rPr>
              <w:t>20</w:t>
            </w:r>
            <w:r>
              <w:rPr>
                <w:rFonts w:hint="eastAsia" w:ascii="宋体" w:hAnsi="宋体" w:eastAsia="宋体" w:cs="宋体"/>
                <w:color w:val="auto"/>
                <w:sz w:val="21"/>
                <w:szCs w:val="21"/>
                <w:lang w:val="en-US" w:eastAsia="zh-CN"/>
              </w:rPr>
              <w:t>22.7.4-5</w:t>
            </w:r>
            <w:r>
              <w:rPr>
                <w:rFonts w:hint="eastAsia" w:ascii="宋体" w:hAnsi="宋体" w:eastAsia="宋体" w:cs="宋体"/>
                <w:color w:val="auto"/>
                <w:sz w:val="21"/>
                <w:szCs w:val="21"/>
              </w:rPr>
              <w:t>），编制/日期：质管部           审批/日期：</w:t>
            </w:r>
            <w:r>
              <w:rPr>
                <w:rFonts w:hint="eastAsia" w:ascii="宋体" w:hAnsi="宋体" w:eastAsia="宋体" w:cs="宋体"/>
                <w:color w:val="auto"/>
                <w:sz w:val="21"/>
                <w:szCs w:val="21"/>
                <w:lang w:val="en-US" w:eastAsia="zh-CN"/>
              </w:rPr>
              <w:t>彭</w:t>
            </w:r>
            <w:r>
              <w:rPr>
                <w:rFonts w:hint="eastAsia" w:ascii="宋体" w:hAnsi="宋体" w:eastAsia="宋体" w:cs="宋体"/>
                <w:color w:val="auto"/>
                <w:sz w:val="21"/>
                <w:szCs w:val="21"/>
              </w:rPr>
              <w:t>再华      2022.6.23</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抽查质管部、设备部条款</w:t>
            </w:r>
            <w:r>
              <w:rPr>
                <w:rFonts w:hint="eastAsia" w:ascii="宋体" w:hAnsi="宋体" w:eastAsia="宋体" w:cs="宋体"/>
                <w:color w:val="auto"/>
                <w:sz w:val="21"/>
                <w:szCs w:val="21"/>
                <w:lang w:eastAsia="zh-CN"/>
              </w:rPr>
              <w:t>无遗漏</w:t>
            </w:r>
            <w:r>
              <w:rPr>
                <w:rFonts w:hint="eastAsia" w:ascii="宋体" w:hAnsi="宋体" w:eastAsia="宋体" w:cs="宋体"/>
                <w:color w:val="auto"/>
                <w:sz w:val="21"/>
                <w:szCs w:val="21"/>
              </w:rPr>
              <w:t>条款</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与审核计划一致</w:t>
            </w:r>
            <w:r>
              <w:rPr>
                <w:rFonts w:hint="eastAsia" w:ascii="宋体" w:hAnsi="宋体" w:eastAsia="宋体" w:cs="宋体"/>
                <w:color w:val="auto"/>
                <w:sz w:val="21"/>
                <w:szCs w:val="21"/>
                <w:lang w:eastAsia="zh-CN"/>
              </w:rPr>
              <w:t>。</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审核目的：验证</w:t>
            </w:r>
            <w:r>
              <w:rPr>
                <w:rFonts w:hint="eastAsia" w:ascii="宋体" w:hAnsi="宋体" w:eastAsia="宋体" w:cs="宋体"/>
                <w:color w:val="auto"/>
                <w:sz w:val="21"/>
                <w:szCs w:val="21"/>
                <w:lang w:eastAsia="zh-CN"/>
              </w:rPr>
              <w:t>环境、职业健康安全</w:t>
            </w:r>
            <w:r>
              <w:rPr>
                <w:rFonts w:hint="eastAsia" w:ascii="宋体" w:hAnsi="宋体" w:eastAsia="宋体" w:cs="宋体"/>
                <w:color w:val="auto"/>
                <w:sz w:val="21"/>
                <w:szCs w:val="21"/>
              </w:rPr>
              <w:t>管理体系对标准的符合性及实施的有效性和</w:t>
            </w:r>
            <w:r>
              <w:rPr>
                <w:rFonts w:hint="eastAsia" w:ascii="宋体" w:hAnsi="宋体" w:eastAsia="宋体" w:cs="宋体"/>
                <w:color w:val="auto"/>
                <w:sz w:val="21"/>
                <w:szCs w:val="21"/>
                <w:lang w:eastAsia="zh-CN"/>
              </w:rPr>
              <w:t>充分</w:t>
            </w:r>
            <w:r>
              <w:rPr>
                <w:rFonts w:hint="eastAsia" w:ascii="宋体" w:hAnsi="宋体" w:eastAsia="宋体" w:cs="宋体"/>
                <w:color w:val="auto"/>
                <w:sz w:val="21"/>
                <w:szCs w:val="21"/>
              </w:rPr>
              <w:t>性，持续改进管理体系。</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审核依据：</w:t>
            </w:r>
            <w:r>
              <w:rPr>
                <w:rFonts w:hint="eastAsia" w:ascii="宋体" w:hAnsi="宋体" w:eastAsia="宋体" w:cs="宋体"/>
                <w:color w:val="auto"/>
                <w:sz w:val="21"/>
                <w:szCs w:val="21"/>
                <w:lang w:eastAsia="zh-CN"/>
              </w:rPr>
              <w:t>GB/T</w:t>
            </w:r>
            <w:r>
              <w:rPr>
                <w:rFonts w:hint="eastAsia" w:ascii="宋体" w:hAnsi="宋体" w:eastAsia="宋体" w:cs="宋体"/>
                <w:color w:val="auto"/>
                <w:sz w:val="21"/>
                <w:szCs w:val="21"/>
                <w:lang w:val="en-US" w:eastAsia="zh-CN"/>
              </w:rPr>
              <w:t>19</w:t>
            </w:r>
            <w:r>
              <w:rPr>
                <w:rFonts w:hint="eastAsia" w:ascii="宋体" w:hAnsi="宋体" w:eastAsia="宋体" w:cs="宋体"/>
                <w:color w:val="auto"/>
                <w:sz w:val="21"/>
                <w:szCs w:val="21"/>
                <w:lang w:eastAsia="zh-CN"/>
              </w:rPr>
              <w:t>001-2016、GB/T</w:t>
            </w:r>
            <w:r>
              <w:rPr>
                <w:rFonts w:hint="eastAsia" w:ascii="宋体" w:hAnsi="宋体" w:eastAsia="宋体" w:cs="宋体"/>
                <w:color w:val="auto"/>
                <w:sz w:val="21"/>
                <w:szCs w:val="21"/>
                <w:lang w:val="en-US" w:eastAsia="zh-CN"/>
              </w:rPr>
              <w:t>24</w:t>
            </w:r>
            <w:r>
              <w:rPr>
                <w:rFonts w:hint="eastAsia" w:ascii="宋体" w:hAnsi="宋体" w:eastAsia="宋体" w:cs="宋体"/>
                <w:color w:val="auto"/>
                <w:sz w:val="21"/>
                <w:szCs w:val="21"/>
                <w:lang w:eastAsia="zh-CN"/>
              </w:rPr>
              <w:t>001-2016</w:t>
            </w:r>
            <w:r>
              <w:rPr>
                <w:rFonts w:hint="eastAsia" w:ascii="宋体" w:hAnsi="宋体" w:eastAsia="宋体" w:cs="宋体"/>
                <w:color w:val="auto"/>
                <w:sz w:val="21"/>
                <w:szCs w:val="21"/>
              </w:rPr>
              <w:t>、GB/T45001-2020的标准、体系文件、顾客要求、相关法律法规等</w:t>
            </w:r>
            <w:r>
              <w:rPr>
                <w:rFonts w:hint="eastAsia" w:ascii="宋体" w:hAnsi="宋体" w:eastAsia="宋体" w:cs="宋体"/>
                <w:color w:val="auto"/>
                <w:sz w:val="21"/>
                <w:szCs w:val="21"/>
                <w:lang w:eastAsia="zh-CN"/>
              </w:rPr>
              <w:t>。</w:t>
            </w:r>
          </w:p>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内部审核实施：组长：</w:t>
            </w:r>
            <w:r>
              <w:rPr>
                <w:rFonts w:hint="eastAsia" w:ascii="宋体" w:hAnsi="宋体" w:eastAsia="宋体" w:cs="宋体"/>
                <w:color w:val="auto"/>
                <w:sz w:val="21"/>
                <w:szCs w:val="21"/>
                <w:lang w:val="en-US" w:eastAsia="zh-CN"/>
              </w:rPr>
              <w:t>包玉玲</w:t>
            </w:r>
            <w:r>
              <w:rPr>
                <w:rFonts w:hint="eastAsia" w:ascii="宋体" w:hAnsi="宋体" w:eastAsia="宋体" w:cs="宋体"/>
                <w:color w:val="auto"/>
                <w:sz w:val="21"/>
                <w:szCs w:val="21"/>
              </w:rPr>
              <w:t>A    组员：</w:t>
            </w:r>
            <w:r>
              <w:rPr>
                <w:rFonts w:hint="eastAsia" w:ascii="宋体" w:hAnsi="宋体" w:eastAsia="宋体" w:cs="宋体"/>
                <w:color w:val="auto"/>
                <w:sz w:val="21"/>
                <w:szCs w:val="21"/>
                <w:lang w:val="en-US" w:eastAsia="zh-CN"/>
              </w:rPr>
              <w:t>段大元</w:t>
            </w:r>
            <w:r>
              <w:rPr>
                <w:rFonts w:hint="eastAsia" w:ascii="宋体" w:hAnsi="宋体" w:eastAsia="宋体" w:cs="宋体"/>
                <w:color w:val="auto"/>
                <w:sz w:val="21"/>
                <w:szCs w:val="21"/>
              </w:rPr>
              <w:t>B、马儿布都C</w:t>
            </w:r>
            <w:r>
              <w:rPr>
                <w:rFonts w:hint="eastAsia" w:ascii="宋体" w:hAnsi="宋体" w:eastAsia="宋体" w:cs="宋体"/>
                <w:color w:val="auto"/>
                <w:sz w:val="21"/>
                <w:szCs w:val="21"/>
                <w:lang w:val="en-US" w:eastAsia="zh-CN"/>
              </w:rPr>
              <w:t>3人</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全部</w:t>
            </w:r>
            <w:r>
              <w:rPr>
                <w:rFonts w:hint="eastAsia" w:ascii="宋体" w:hAnsi="宋体" w:eastAsia="宋体" w:cs="宋体"/>
                <w:color w:val="auto"/>
                <w:sz w:val="21"/>
                <w:szCs w:val="21"/>
              </w:rPr>
              <w:t>内审员经内部培训合格，能力尚可审核</w:t>
            </w:r>
            <w:r>
              <w:rPr>
                <w:rFonts w:hint="eastAsia" w:ascii="宋体" w:hAnsi="宋体" w:eastAsia="宋体" w:cs="宋体"/>
                <w:color w:val="auto"/>
                <w:sz w:val="21"/>
                <w:szCs w:val="21"/>
                <w:lang w:eastAsia="zh-CN"/>
              </w:rPr>
              <w:t>按审核计划</w:t>
            </w:r>
            <w:r>
              <w:rPr>
                <w:rFonts w:hint="eastAsia" w:ascii="宋体" w:hAnsi="宋体" w:eastAsia="宋体" w:cs="宋体"/>
                <w:color w:val="auto"/>
                <w:sz w:val="21"/>
                <w:szCs w:val="21"/>
              </w:rPr>
              <w:t>进行。</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审核计划已考虑到互查的公正性，无审核员审核本部门的工作，计划内容涉及各部门。</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提供了《内部审核检查表》，其中包括</w:t>
            </w:r>
            <w:r>
              <w:rPr>
                <w:rFonts w:hint="eastAsia" w:ascii="宋体" w:hAnsi="宋体" w:eastAsia="宋体" w:cs="宋体"/>
                <w:color w:val="auto"/>
                <w:sz w:val="21"/>
                <w:szCs w:val="21"/>
                <w:lang w:eastAsia="zh-CN"/>
              </w:rPr>
              <w:t>总经理</w:t>
            </w:r>
            <w:r>
              <w:rPr>
                <w:rFonts w:hint="eastAsia" w:ascii="宋体" w:hAnsi="宋体" w:eastAsia="宋体" w:cs="宋体"/>
                <w:color w:val="auto"/>
                <w:sz w:val="21"/>
                <w:szCs w:val="21"/>
              </w:rPr>
              <w:t>/管理者代表、</w:t>
            </w:r>
            <w:r>
              <w:rPr>
                <w:rFonts w:hint="eastAsia" w:ascii="宋体" w:hAnsi="宋体" w:eastAsia="宋体" w:cs="宋体"/>
                <w:color w:val="auto"/>
                <w:sz w:val="21"/>
                <w:szCs w:val="21"/>
                <w:lang w:eastAsia="zh-CN"/>
              </w:rPr>
              <w:t>质管部</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设备部等管理体系各部门</w:t>
            </w:r>
            <w:r>
              <w:rPr>
                <w:rFonts w:hint="eastAsia" w:ascii="宋体" w:hAnsi="宋体" w:eastAsia="宋体" w:cs="宋体"/>
                <w:color w:val="auto"/>
                <w:sz w:val="21"/>
                <w:szCs w:val="21"/>
              </w:rPr>
              <w:t>的审核记录，条款与策划一致，记录真实、完整。</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本次内审发现</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个一般不符合项，责任部门已分析了原因并采取了纠正措施，按要求进行了整改，最后内审员进行了验证，纠正措施实施有效。</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内部审核结论：提供了《内部审核报告》，对现场审核进行了综述，对环境和职业健康安全管理体系进行了符合性的综合评价，最后结论为：公司的</w:t>
            </w:r>
            <w:r>
              <w:rPr>
                <w:rFonts w:hint="eastAsia" w:ascii="宋体" w:hAnsi="宋体" w:eastAsia="宋体" w:cs="宋体"/>
                <w:color w:val="auto"/>
                <w:sz w:val="21"/>
                <w:szCs w:val="21"/>
                <w:lang w:eastAsia="zh-CN"/>
              </w:rPr>
              <w:t>环境、职业健康安全</w:t>
            </w:r>
            <w:r>
              <w:rPr>
                <w:rFonts w:hint="eastAsia" w:ascii="宋体" w:hAnsi="宋体" w:eastAsia="宋体" w:cs="宋体"/>
                <w:color w:val="auto"/>
                <w:sz w:val="21"/>
                <w:szCs w:val="21"/>
              </w:rPr>
              <w:t>管理体系基本符合标准要求，</w:t>
            </w:r>
            <w:r>
              <w:rPr>
                <w:rFonts w:hint="eastAsia" w:ascii="宋体" w:hAnsi="宋体" w:eastAsia="宋体" w:cs="宋体"/>
                <w:color w:val="auto"/>
                <w:sz w:val="21"/>
                <w:szCs w:val="21"/>
                <w:lang w:eastAsia="zh-CN"/>
              </w:rPr>
              <w:t>管理</w:t>
            </w:r>
            <w:r>
              <w:rPr>
                <w:rFonts w:hint="eastAsia" w:ascii="宋体" w:hAnsi="宋体" w:eastAsia="宋体" w:cs="宋体"/>
                <w:color w:val="auto"/>
                <w:sz w:val="21"/>
                <w:szCs w:val="21"/>
              </w:rPr>
              <w:t>体系运行</w:t>
            </w:r>
            <w:r>
              <w:rPr>
                <w:rFonts w:hint="eastAsia" w:ascii="宋体" w:hAnsi="宋体" w:eastAsia="宋体" w:cs="宋体"/>
                <w:color w:val="auto"/>
                <w:sz w:val="21"/>
                <w:szCs w:val="21"/>
                <w:lang w:eastAsia="zh-CN"/>
              </w:rPr>
              <w:t>基本</w:t>
            </w:r>
            <w:r>
              <w:rPr>
                <w:rFonts w:hint="eastAsia" w:ascii="宋体" w:hAnsi="宋体" w:eastAsia="宋体" w:cs="宋体"/>
                <w:color w:val="auto"/>
                <w:sz w:val="21"/>
                <w:szCs w:val="21"/>
              </w:rPr>
              <w:t>有效</w:t>
            </w:r>
            <w:r>
              <w:rPr>
                <w:rFonts w:hint="eastAsia" w:ascii="宋体" w:hAnsi="宋体" w:eastAsia="宋体" w:cs="宋体"/>
                <w:color w:val="auto"/>
                <w:sz w:val="21"/>
                <w:szCs w:val="21"/>
                <w:lang w:eastAsia="zh-CN"/>
              </w:rPr>
              <w:t>。</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公司内部审核基本有效。</w:t>
            </w:r>
          </w:p>
        </w:tc>
        <w:tc>
          <w:tcPr>
            <w:tcW w:w="1585" w:type="dxa"/>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9"/>
              <w:rPr>
                <w:rFonts w:hint="eastAsia" w:ascii="宋体" w:hAnsi="宋体" w:eastAsia="宋体" w:cs="宋体"/>
                <w:spacing w:val="-12"/>
                <w:sz w:val="21"/>
                <w:szCs w:val="21"/>
              </w:rPr>
            </w:pPr>
            <w:r>
              <w:rPr>
                <w:rFonts w:hint="eastAsia" w:ascii="宋体" w:hAnsi="宋体" w:eastAsia="宋体" w:cs="宋体"/>
                <w:spacing w:val="-12"/>
                <w:sz w:val="21"/>
                <w:szCs w:val="21"/>
              </w:rPr>
              <w:t>不合格和纠正措施</w:t>
            </w:r>
          </w:p>
          <w:p>
            <w:pPr>
              <w:keepNext w:val="0"/>
              <w:keepLines w:val="0"/>
              <w:pageBreakBefore w:val="0"/>
              <w:widowControl w:val="0"/>
              <w:kinsoku/>
              <w:wordWrap/>
              <w:overflowPunct/>
              <w:topLinePunct w:val="0"/>
              <w:autoSpaceDE/>
              <w:autoSpaceDN/>
              <w:bidi w:val="0"/>
              <w:spacing w:line="360" w:lineRule="auto"/>
              <w:jc w:val="both"/>
              <w:textAlignment w:val="auto"/>
              <w:outlineLvl w:val="9"/>
              <w:rPr>
                <w:rFonts w:hint="eastAsia" w:ascii="宋体" w:hAnsi="宋体" w:eastAsia="宋体" w:cs="宋体"/>
                <w:kern w:val="2"/>
                <w:sz w:val="21"/>
                <w:szCs w:val="21"/>
                <w:lang w:val="en-US" w:eastAsia="zh-CN" w:bidi="ar-SA"/>
              </w:rPr>
            </w:pPr>
          </w:p>
        </w:tc>
        <w:tc>
          <w:tcPr>
            <w:tcW w:w="960" w:type="dxa"/>
            <w:vAlign w:val="top"/>
          </w:tcPr>
          <w:p>
            <w:pPr>
              <w:keepNext w:val="0"/>
              <w:keepLines w:val="0"/>
              <w:pageBreakBefore w:val="0"/>
              <w:widowControl w:val="0"/>
              <w:kinsoku/>
              <w:wordWrap/>
              <w:overflowPunct/>
              <w:topLinePunct w:val="0"/>
              <w:autoSpaceDE/>
              <w:autoSpaceDN/>
              <w:bidi w:val="0"/>
              <w:snapToGrid/>
              <w:spacing w:line="360" w:lineRule="auto"/>
              <w:ind w:left="0" w:leftChars="0" w:right="0" w:right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QEO</w:t>
            </w:r>
            <w:r>
              <w:rPr>
                <w:rFonts w:hint="eastAsia" w:ascii="宋体" w:hAnsi="宋体" w:eastAsia="宋体" w:cs="宋体"/>
                <w:sz w:val="21"/>
                <w:szCs w:val="21"/>
              </w:rPr>
              <w:t>10.</w:t>
            </w:r>
            <w:r>
              <w:rPr>
                <w:rFonts w:hint="eastAsia" w:ascii="宋体" w:hAnsi="宋体" w:eastAsia="宋体" w:cs="宋体"/>
                <w:sz w:val="21"/>
                <w:szCs w:val="21"/>
                <w:lang w:val="en-US" w:eastAsia="zh-CN"/>
              </w:rPr>
              <w:t>2</w:t>
            </w:r>
          </w:p>
          <w:p>
            <w:pPr>
              <w:keepNext w:val="0"/>
              <w:keepLines w:val="0"/>
              <w:pageBreakBefore w:val="0"/>
              <w:widowControl w:val="0"/>
              <w:kinsoku/>
              <w:wordWrap/>
              <w:overflowPunct/>
              <w:topLinePunct w:val="0"/>
              <w:autoSpaceDE/>
              <w:autoSpaceDN/>
              <w:bidi w:val="0"/>
              <w:spacing w:line="360" w:lineRule="auto"/>
              <w:jc w:val="both"/>
              <w:textAlignment w:val="auto"/>
              <w:outlineLvl w:val="9"/>
              <w:rPr>
                <w:rFonts w:hint="eastAsia" w:ascii="宋体" w:hAnsi="宋体" w:eastAsia="宋体" w:cs="宋体"/>
                <w:kern w:val="2"/>
                <w:sz w:val="21"/>
                <w:szCs w:val="21"/>
                <w:lang w:val="en-US" w:eastAsia="zh-CN" w:bidi="ar-SA"/>
              </w:rPr>
            </w:pPr>
          </w:p>
        </w:tc>
        <w:tc>
          <w:tcPr>
            <w:tcW w:w="10004" w:type="dxa"/>
            <w:vAlign w:val="center"/>
          </w:tcPr>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管理</w:t>
            </w:r>
            <w:r>
              <w:rPr>
                <w:rFonts w:hint="eastAsia" w:ascii="宋体" w:hAnsi="宋体" w:eastAsia="宋体" w:cs="宋体"/>
                <w:sz w:val="21"/>
                <w:szCs w:val="21"/>
              </w:rPr>
              <w:t>手册中规定了采取纠正措施的时机</w:t>
            </w:r>
            <w:r>
              <w:rPr>
                <w:rFonts w:hint="eastAsia" w:ascii="宋体" w:hAnsi="宋体" w:eastAsia="宋体" w:cs="宋体"/>
                <w:sz w:val="21"/>
                <w:szCs w:val="21"/>
                <w:lang w:eastAsia="zh-CN"/>
              </w:rPr>
              <w:t>，</w:t>
            </w:r>
            <w:r>
              <w:rPr>
                <w:rFonts w:hint="eastAsia" w:ascii="宋体" w:hAnsi="宋体" w:eastAsia="宋体" w:cs="宋体"/>
                <w:sz w:val="21"/>
                <w:szCs w:val="21"/>
              </w:rPr>
              <w:t>对不合格或潜在不合格的原因进行分析</w:t>
            </w:r>
            <w:r>
              <w:rPr>
                <w:rFonts w:hint="eastAsia" w:ascii="宋体" w:hAnsi="宋体" w:eastAsia="宋体" w:cs="宋体"/>
                <w:sz w:val="21"/>
                <w:szCs w:val="21"/>
                <w:lang w:eastAsia="zh-CN"/>
              </w:rPr>
              <w:t>，</w:t>
            </w:r>
            <w:r>
              <w:rPr>
                <w:rFonts w:hint="eastAsia" w:ascii="宋体" w:hAnsi="宋体" w:eastAsia="宋体" w:cs="宋体"/>
                <w:sz w:val="21"/>
                <w:szCs w:val="21"/>
              </w:rPr>
              <w:t>采取相应的对策措施等，所制定的纠正措施、预防措施程序中规定的要求满足标准要求。负责人介绍公司在运行过程中对发现的不合格都会采取纠正、纠正措施以防止不合格或不符合再次发生，同时也会举一反三地看待其他部门或类似过程，采取预防措施以防止发生不合格或不符合。 公司内审时发现的不符合项进行了原因分析、纠正措施和验证，详见审核</w:t>
            </w:r>
            <w:r>
              <w:rPr>
                <w:rFonts w:hint="eastAsia" w:ascii="宋体" w:hAnsi="宋体" w:eastAsia="宋体" w:cs="宋体"/>
                <w:sz w:val="21"/>
                <w:szCs w:val="21"/>
                <w:lang w:eastAsia="zh-CN"/>
              </w:rPr>
              <w:t>质管部</w:t>
            </w:r>
            <w:r>
              <w:rPr>
                <w:rFonts w:hint="eastAsia" w:ascii="宋体" w:hAnsi="宋体" w:eastAsia="宋体" w:cs="宋体"/>
                <w:sz w:val="21"/>
                <w:szCs w:val="21"/>
              </w:rPr>
              <w:t>9.2</w:t>
            </w:r>
            <w:r>
              <w:rPr>
                <w:rFonts w:hint="eastAsia" w:ascii="宋体" w:hAnsi="宋体" w:eastAsia="宋体" w:cs="宋体"/>
                <w:sz w:val="21"/>
                <w:szCs w:val="21"/>
                <w:lang w:eastAsia="zh-CN"/>
              </w:rPr>
              <w:t>条款</w:t>
            </w:r>
            <w:r>
              <w:rPr>
                <w:rFonts w:hint="eastAsia" w:ascii="宋体" w:hAnsi="宋体" w:eastAsia="宋体" w:cs="宋体"/>
                <w:sz w:val="21"/>
                <w:szCs w:val="21"/>
              </w:rPr>
              <w:t>记录。</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jc w:val="left"/>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rPr>
              <w:t>公司对纠正及预防措施的管理基本符合要求。</w:t>
            </w:r>
          </w:p>
        </w:tc>
        <w:tc>
          <w:tcPr>
            <w:tcW w:w="1585" w:type="dxa"/>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bookmarkStart w:id="2" w:name="_GoBack"/>
            <w:bookmarkEnd w:id="2"/>
          </w:p>
        </w:tc>
      </w:tr>
    </w:tbl>
    <w:p/>
    <w:p>
      <w:pPr>
        <w:pStyle w:val="5"/>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方正仿宋简体">
    <w:altName w:val="宋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2049" o:spid="_x0000_s2049"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6"/>
      <w:pBdr>
        <w:bottom w:val="none" w:color="auto" w:sz="0" w:space="0"/>
      </w:pBdr>
      <w:spacing w:line="320" w:lineRule="exact"/>
      <w:ind w:firstLine="756" w:firstLineChars="400"/>
      <w:jc w:val="left"/>
    </w:pPr>
    <w:r>
      <w:rPr>
        <w:rStyle w:val="12"/>
        <w:rFonts w:hint="default"/>
        <w:w w:val="90"/>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JhN2U4Y2Q5MGE2Mzc1MDlkNDVmNzZkYmRlMTYyYjcifQ=="/>
  </w:docVars>
  <w:rsids>
    <w:rsidRoot w:val="00000000"/>
    <w:rsid w:val="006911F9"/>
    <w:rsid w:val="02B85543"/>
    <w:rsid w:val="09DC64EB"/>
    <w:rsid w:val="0D5A0848"/>
    <w:rsid w:val="176A0B0A"/>
    <w:rsid w:val="1F61233D"/>
    <w:rsid w:val="234C0C7F"/>
    <w:rsid w:val="29A87139"/>
    <w:rsid w:val="300F4E18"/>
    <w:rsid w:val="391159AF"/>
    <w:rsid w:val="4857586E"/>
    <w:rsid w:val="4AFA44F5"/>
    <w:rsid w:val="51830DF5"/>
    <w:rsid w:val="53475632"/>
    <w:rsid w:val="59F10FBD"/>
    <w:rsid w:val="5F893C41"/>
    <w:rsid w:val="667016B7"/>
    <w:rsid w:val="6716462B"/>
    <w:rsid w:val="69482C0B"/>
    <w:rsid w:val="6BA965BD"/>
    <w:rsid w:val="6E7D71CC"/>
    <w:rsid w:val="77BC0F9D"/>
    <w:rsid w:val="781C4DE8"/>
    <w:rsid w:val="7A9D69F8"/>
    <w:rsid w:val="7CF1156F"/>
    <w:rsid w:val="7E9425C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qFormat/>
    <w:uiPriority w:val="0"/>
    <w:pPr>
      <w:spacing w:after="120"/>
    </w:pPr>
  </w:style>
  <w:style w:type="paragraph" w:styleId="4">
    <w:name w:val="Balloon Text"/>
    <w:basedOn w:val="1"/>
    <w:link w:val="11"/>
    <w:semiHidden/>
    <w:unhideWhenUsed/>
    <w:qFormat/>
    <w:uiPriority w:val="99"/>
    <w:rPr>
      <w:sz w:val="18"/>
      <w:szCs w:val="18"/>
    </w:rPr>
  </w:style>
  <w:style w:type="paragraph" w:styleId="5">
    <w:name w:val="footer"/>
    <w:basedOn w:val="1"/>
    <w:link w:val="10"/>
    <w:unhideWhenUsed/>
    <w:qFormat/>
    <w:uiPriority w:val="99"/>
    <w:pPr>
      <w:tabs>
        <w:tab w:val="center" w:pos="4153"/>
        <w:tab w:val="right" w:pos="8306"/>
      </w:tabs>
      <w:snapToGrid w:val="0"/>
      <w:jc w:val="left"/>
    </w:pPr>
    <w:rPr>
      <w:sz w:val="18"/>
      <w:szCs w:val="18"/>
    </w:rPr>
  </w:style>
  <w:style w:type="paragraph" w:styleId="6">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9">
    <w:name w:val="页眉 Char"/>
    <w:basedOn w:val="8"/>
    <w:link w:val="6"/>
    <w:qFormat/>
    <w:uiPriority w:val="99"/>
    <w:rPr>
      <w:rFonts w:ascii="Times New Roman" w:hAnsi="Times New Roman" w:eastAsia="宋体" w:cs="Times New Roman"/>
      <w:sz w:val="18"/>
      <w:szCs w:val="18"/>
    </w:rPr>
  </w:style>
  <w:style w:type="character" w:customStyle="1" w:styleId="10">
    <w:name w:val="页脚 Char"/>
    <w:basedOn w:val="8"/>
    <w:link w:val="5"/>
    <w:qFormat/>
    <w:uiPriority w:val="99"/>
    <w:rPr>
      <w:rFonts w:ascii="Times New Roman" w:hAnsi="Times New Roman" w:eastAsia="宋体" w:cs="Times New Roman"/>
      <w:sz w:val="18"/>
      <w:szCs w:val="18"/>
    </w:rPr>
  </w:style>
  <w:style w:type="character" w:customStyle="1" w:styleId="11">
    <w:name w:val="批注框文本 Char"/>
    <w:basedOn w:val="8"/>
    <w:link w:val="4"/>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 w:type="paragraph" w:styleId="13">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4">
    <w:name w:val="_Style 2"/>
    <w:basedOn w:val="1"/>
    <w:qFormat/>
    <w:uiPriority w:val="34"/>
    <w:pPr>
      <w:ind w:firstLine="420" w:firstLineChars="200"/>
    </w:pPr>
    <w:rPr>
      <w:rFonts w:ascii="Calibri" w:hAnsi="Calibri"/>
      <w:szCs w:val="22"/>
    </w:rPr>
  </w:style>
  <w:style w:type="paragraph" w:customStyle="1" w:styleId="15">
    <w:name w:val="Table Paragraph"/>
    <w:basedOn w:val="1"/>
    <w:qFormat/>
    <w:uiPriority w:val="1"/>
    <w:rPr>
      <w:rFonts w:ascii="宋体" w:hAnsi="宋体" w:eastAsia="宋体" w:cs="宋体"/>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7</TotalTime>
  <ScaleCrop>false</ScaleCrop>
  <LinksUpToDate>false</LinksUpToDate>
  <CharactersWithSpaces>101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LIL</cp:lastModifiedBy>
  <dcterms:modified xsi:type="dcterms:W3CDTF">2023-01-28T17:27:59Z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2052-11.1.0.13703</vt:lpwstr>
  </property>
</Properties>
</file>