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过程与活动、</w:t>
            </w:r>
          </w:p>
          <w:p>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抽样计划</w:t>
            </w:r>
          </w:p>
        </w:tc>
        <w:tc>
          <w:tcPr>
            <w:tcW w:w="960" w:type="dxa"/>
            <w:vMerge w:val="restart"/>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涉及</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条款</w:t>
            </w:r>
          </w:p>
        </w:tc>
        <w:tc>
          <w:tcPr>
            <w:tcW w:w="10868" w:type="dxa"/>
            <w:vAlign w:val="center"/>
          </w:tcPr>
          <w:p>
            <w:pPr>
              <w:spacing w:line="360" w:lineRule="auto"/>
              <w:rPr>
                <w:rFonts w:hint="eastAsia" w:ascii="宋体" w:hAnsi="宋体" w:eastAsia="宋体" w:cs="宋体"/>
                <w:b w:val="0"/>
                <w:bCs w:val="0"/>
                <w:sz w:val="21"/>
                <w:szCs w:val="21"/>
                <w:lang w:val="en-US"/>
              </w:rPr>
            </w:pPr>
            <w:r>
              <w:rPr>
                <w:rFonts w:hint="eastAsia" w:ascii="宋体" w:hAnsi="宋体" w:eastAsia="宋体" w:cs="宋体"/>
                <w:b w:val="0"/>
                <w:bCs w:val="0"/>
                <w:sz w:val="21"/>
                <w:szCs w:val="21"/>
              </w:rPr>
              <w:t>受审核部门：</w:t>
            </w:r>
            <w:r>
              <w:rPr>
                <w:rFonts w:hint="eastAsia" w:ascii="宋体" w:hAnsi="宋体" w:eastAsia="宋体" w:cs="宋体"/>
                <w:b w:val="0"/>
                <w:bCs w:val="0"/>
                <w:sz w:val="21"/>
                <w:szCs w:val="21"/>
                <w:lang w:eastAsia="zh-CN"/>
              </w:rPr>
              <w:t>财务部</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主管领导</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 xml:space="preserve">张羽                     </w:t>
            </w:r>
            <w:r>
              <w:rPr>
                <w:rFonts w:hint="eastAsia" w:ascii="宋体" w:hAnsi="宋体" w:eastAsia="宋体" w:cs="宋体"/>
                <w:b w:val="0"/>
                <w:bCs w:val="0"/>
                <w:sz w:val="21"/>
                <w:szCs w:val="21"/>
              </w:rPr>
              <w:t>陪同人员</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张羽</w:t>
            </w:r>
          </w:p>
        </w:tc>
        <w:tc>
          <w:tcPr>
            <w:tcW w:w="721" w:type="dxa"/>
            <w:vMerge w:val="restart"/>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b w:val="0"/>
                <w:bCs w:val="0"/>
                <w:sz w:val="21"/>
                <w:szCs w:val="21"/>
              </w:rPr>
            </w:pPr>
          </w:p>
        </w:tc>
        <w:tc>
          <w:tcPr>
            <w:tcW w:w="960" w:type="dxa"/>
            <w:vMerge w:val="continue"/>
            <w:vAlign w:val="center"/>
          </w:tcPr>
          <w:p>
            <w:pPr>
              <w:spacing w:line="360" w:lineRule="auto"/>
              <w:rPr>
                <w:rFonts w:hint="eastAsia" w:ascii="宋体" w:hAnsi="宋体" w:eastAsia="宋体" w:cs="宋体"/>
                <w:b w:val="0"/>
                <w:bCs w:val="0"/>
                <w:sz w:val="21"/>
                <w:szCs w:val="21"/>
              </w:rPr>
            </w:pPr>
          </w:p>
        </w:tc>
        <w:tc>
          <w:tcPr>
            <w:tcW w:w="10868" w:type="dxa"/>
            <w:vAlign w:val="center"/>
          </w:tcPr>
          <w:p>
            <w:pPr>
              <w:spacing w:before="120" w:line="360" w:lineRule="auto"/>
              <w:rPr>
                <w:rFonts w:hint="eastAsia" w:ascii="宋体" w:hAnsi="宋体" w:eastAsia="宋体" w:cs="宋体"/>
                <w:b w:val="0"/>
                <w:bCs w:val="0"/>
                <w:sz w:val="21"/>
                <w:szCs w:val="21"/>
                <w:lang w:val="en-US"/>
              </w:rPr>
            </w:pPr>
            <w:r>
              <w:rPr>
                <w:rFonts w:hint="eastAsia" w:ascii="宋体" w:hAnsi="宋体" w:eastAsia="宋体" w:cs="宋体"/>
                <w:b w:val="0"/>
                <w:bCs w:val="0"/>
                <w:sz w:val="21"/>
                <w:szCs w:val="21"/>
              </w:rPr>
              <w:t>审核员</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 xml:space="preserve">李俐  （（微信视频、语音、群沟通））          </w:t>
            </w:r>
            <w:r>
              <w:rPr>
                <w:rFonts w:hint="eastAsia" w:ascii="宋体" w:hAnsi="宋体" w:eastAsia="宋体" w:cs="宋体"/>
                <w:b w:val="0"/>
                <w:bCs w:val="0"/>
                <w:sz w:val="21"/>
                <w:szCs w:val="21"/>
              </w:rPr>
              <w:t>审核时间：</w:t>
            </w:r>
            <w:r>
              <w:rPr>
                <w:rFonts w:hint="eastAsia" w:ascii="宋体" w:hAnsi="宋体" w:eastAsia="宋体" w:cs="宋体"/>
                <w:b w:val="0"/>
                <w:bCs w:val="0"/>
                <w:sz w:val="21"/>
                <w:szCs w:val="21"/>
                <w:lang w:val="en-US" w:eastAsia="zh-CN"/>
              </w:rPr>
              <w:t>2023.1.5</w:t>
            </w:r>
          </w:p>
        </w:tc>
        <w:tc>
          <w:tcPr>
            <w:tcW w:w="721" w:type="dxa"/>
            <w:vMerge w:val="continue"/>
          </w:tcPr>
          <w:p>
            <w:pPr>
              <w:spacing w:line="360" w:lineRule="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b w:val="0"/>
                <w:bCs w:val="0"/>
                <w:sz w:val="21"/>
                <w:szCs w:val="21"/>
              </w:rPr>
            </w:pPr>
          </w:p>
        </w:tc>
        <w:tc>
          <w:tcPr>
            <w:tcW w:w="960" w:type="dxa"/>
            <w:vMerge w:val="continue"/>
            <w:vAlign w:val="center"/>
          </w:tcPr>
          <w:p>
            <w:pPr>
              <w:spacing w:line="360" w:lineRule="auto"/>
              <w:rPr>
                <w:rFonts w:hint="eastAsia" w:ascii="宋体" w:hAnsi="宋体" w:eastAsia="宋体" w:cs="宋体"/>
                <w:b w:val="0"/>
                <w:bCs w:val="0"/>
                <w:sz w:val="21"/>
                <w:szCs w:val="21"/>
              </w:rPr>
            </w:pPr>
          </w:p>
        </w:tc>
        <w:tc>
          <w:tcPr>
            <w:tcW w:w="10868" w:type="dxa"/>
            <w:vAlign w:val="center"/>
          </w:tcPr>
          <w:p>
            <w:pPr>
              <w:snapToGrid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审核条款：</w:t>
            </w:r>
          </w:p>
          <w:p>
            <w:pPr>
              <w:snapToGrid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EO:</w:t>
            </w:r>
            <w:r>
              <w:rPr>
                <w:rFonts w:hint="eastAsia" w:ascii="宋体" w:hAnsi="宋体" w:eastAsia="宋体" w:cs="宋体"/>
                <w:b w:val="0"/>
                <w:bCs w:val="0"/>
                <w:sz w:val="21"/>
                <w:szCs w:val="21"/>
              </w:rPr>
              <w:t>5.3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6.2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6.1.2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8.1</w:t>
            </w:r>
            <w:r>
              <w:rPr>
                <w:rFonts w:hint="eastAsia" w:ascii="宋体" w:hAnsi="宋体" w:eastAsia="宋体" w:cs="宋体"/>
                <w:b w:val="0"/>
                <w:bCs w:val="0"/>
                <w:sz w:val="21"/>
                <w:szCs w:val="21"/>
                <w:lang w:val="en-US" w:eastAsia="zh-CN"/>
              </w:rPr>
              <w:t>、8.2</w:t>
            </w:r>
          </w:p>
        </w:tc>
        <w:tc>
          <w:tcPr>
            <w:tcW w:w="721" w:type="dxa"/>
            <w:vMerge w:val="continue"/>
          </w:tcPr>
          <w:p>
            <w:pPr>
              <w:spacing w:line="360" w:lineRule="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EO:5.3</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该部门主要负责公司财务及相应环境和职业健康安全的运行控制。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rPr>
              <w:t>与部门负责人沟通，了解本部门的职责权限，暂无变化。</w:t>
            </w:r>
          </w:p>
        </w:tc>
        <w:tc>
          <w:tcPr>
            <w:tcW w:w="721" w:type="dxa"/>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rPr>
              <w:t>目标及其实现的策划总要求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EO:6.2</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提供《目标分解表》，其中涉及本部门的目标有: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火灾发生次数0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重大安全事故为0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部门分解目标与公司方针一致，可测量，并传达到部门相关人员，必要时适时更新，目前无变化。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提供《目标完成情况统计表》，抽考核2022年，考核统计:质管部。完成情况：以上各目标均已达成。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highlight w:val="none"/>
                <w:lang w:val="en-US" w:eastAsia="zh-CN"/>
              </w:rPr>
              <w:t>针对以上环境、职业健康安全目标公司制定了相应的《管理方案》，内容涉及方法措施、执行部门、预算资金、启动/完成时间、完成情况等详见审核安环部该条款记录。</w:t>
            </w:r>
          </w:p>
        </w:tc>
        <w:tc>
          <w:tcPr>
            <w:tcW w:w="721" w:type="dxa"/>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环境因素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color w:val="auto"/>
                <w:sz w:val="21"/>
                <w:szCs w:val="21"/>
              </w:rPr>
              <w:t>危险源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1"/>
                <w:szCs w:val="21"/>
              </w:rPr>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编制了《环境因素识别与评价控制程序》，采用是非判断法，规定重大环境因素评定</w:t>
            </w:r>
            <w:r>
              <w:rPr>
                <w:rFonts w:hint="eastAsia" w:ascii="宋体" w:hAnsi="宋体" w:eastAsia="宋体" w:cs="宋体"/>
                <w:b w:val="0"/>
                <w:bCs w:val="0"/>
                <w:color w:val="auto"/>
                <w:sz w:val="21"/>
                <w:szCs w:val="21"/>
                <w:lang w:val="en-US" w:eastAsia="zh-CN"/>
              </w:rPr>
              <w:t>程序</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提供《环境因素识别评价表》对办公活动生命周期全过程分别进行排查，考虑了大气污染、噪声污染、土壤污染、水污染、废弃物污染、能源和资源消耗、火灾等方面；从过去、现在、将来三种时态；正常、异常和紧急三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识别本部门办公过程各区域环境因素有：废水排放、水电消耗、废弃物排放、潜在火灾等。重要环境因素识别有：火灾。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环境因素识别经核实基本齐全</w:t>
            </w:r>
            <w:r>
              <w:rPr>
                <w:rFonts w:hint="eastAsia" w:ascii="宋体" w:hAnsi="宋体" w:eastAsia="宋体" w:cs="宋体"/>
                <w:b w:val="0"/>
                <w:bCs w:val="0"/>
                <w:color w:val="auto"/>
                <w:sz w:val="21"/>
                <w:szCs w:val="21"/>
                <w:lang w:val="en-US" w:eastAsia="zh-CN"/>
              </w:rPr>
              <w:t>重要环境因素评价基本合理</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编制了《危险源辨识和风险评价程序》。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提供《危险源辨识和风险评价表》对办公活动分别用</w:t>
            </w:r>
            <w:r>
              <w:rPr>
                <w:rFonts w:hint="eastAsia" w:ascii="宋体" w:hAnsi="宋体" w:eastAsia="宋体" w:cs="宋体"/>
                <w:b w:val="0"/>
                <w:bCs w:val="0"/>
                <w:color w:val="auto"/>
                <w:sz w:val="21"/>
                <w:szCs w:val="21"/>
                <w:lang w:val="en-US" w:eastAsia="zh-CN"/>
              </w:rPr>
              <w:t>LEC法</w:t>
            </w:r>
            <w:r>
              <w:rPr>
                <w:rFonts w:hint="eastAsia" w:ascii="宋体" w:hAnsi="宋体" w:eastAsia="宋体" w:cs="宋体"/>
                <w:b w:val="0"/>
                <w:bCs w:val="0"/>
                <w:color w:val="auto"/>
                <w:sz w:val="21"/>
                <w:szCs w:val="21"/>
                <w:lang w:eastAsia="zh-CN"/>
              </w:rPr>
              <w:t>进行辨识，从过去、现在、将来三种时态；正常、异常和紧急三种状态识别危险源。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yellow"/>
                <w:lang w:eastAsia="zh-CN"/>
              </w:rPr>
            </w:pPr>
            <w:r>
              <w:rPr>
                <w:rFonts w:hint="eastAsia" w:ascii="宋体" w:hAnsi="宋体" w:eastAsia="宋体" w:cs="宋体"/>
                <w:b w:val="0"/>
                <w:bCs w:val="0"/>
                <w:color w:val="auto"/>
                <w:sz w:val="21"/>
                <w:szCs w:val="21"/>
                <w:lang w:eastAsia="zh-CN"/>
              </w:rPr>
              <w:t>本部门识别的各区域危险源有：触电、意外伤害、火灾、交通事故等。重大危险源</w:t>
            </w:r>
            <w:r>
              <w:rPr>
                <w:rFonts w:hint="eastAsia" w:ascii="宋体" w:hAnsi="宋体" w:eastAsia="宋体" w:cs="宋体"/>
                <w:b w:val="0"/>
                <w:bCs w:val="0"/>
                <w:color w:val="auto"/>
                <w:sz w:val="21"/>
                <w:szCs w:val="21"/>
                <w:lang w:val="en-US" w:eastAsia="zh-CN"/>
              </w:rPr>
              <w:t>评价</w:t>
            </w:r>
            <w:r>
              <w:rPr>
                <w:rFonts w:hint="eastAsia" w:ascii="宋体" w:hAnsi="宋体" w:eastAsia="宋体" w:cs="宋体"/>
                <w:b w:val="0"/>
                <w:bCs w:val="0"/>
                <w:color w:val="auto"/>
                <w:sz w:val="21"/>
                <w:szCs w:val="21"/>
                <w:lang w:eastAsia="zh-CN"/>
              </w:rPr>
              <w:t>有：火灾、意外伤害。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color w:val="auto"/>
                <w:sz w:val="21"/>
                <w:szCs w:val="21"/>
                <w:lang w:eastAsia="zh-CN"/>
              </w:rPr>
              <w:t>危险源识别经核实基本齐全，重大危险源</w:t>
            </w:r>
            <w:r>
              <w:rPr>
                <w:rFonts w:hint="eastAsia" w:ascii="宋体" w:hAnsi="宋体" w:eastAsia="宋体" w:cs="宋体"/>
                <w:b w:val="0"/>
                <w:bCs w:val="0"/>
                <w:color w:val="auto"/>
                <w:sz w:val="21"/>
                <w:szCs w:val="21"/>
                <w:lang w:val="en-US" w:eastAsia="zh-CN"/>
              </w:rPr>
              <w:t>评价基本合理</w:t>
            </w:r>
            <w:r>
              <w:rPr>
                <w:rFonts w:hint="eastAsia" w:ascii="宋体" w:hAnsi="宋体" w:eastAsia="宋体" w:cs="宋体"/>
                <w:b w:val="0"/>
                <w:bCs w:val="0"/>
                <w:color w:val="auto"/>
                <w:sz w:val="21"/>
                <w:szCs w:val="21"/>
                <w:lang w:eastAsia="zh-CN"/>
              </w:rPr>
              <w:t>。</w:t>
            </w:r>
          </w:p>
        </w:tc>
        <w:tc>
          <w:tcPr>
            <w:tcW w:w="721" w:type="dxa"/>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rPr>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主要为办公生活污水，排入</w:t>
            </w:r>
            <w:r>
              <w:rPr>
                <w:rFonts w:hint="eastAsia" w:ascii="宋体" w:hAnsi="宋体" w:eastAsia="宋体" w:cs="宋体"/>
                <w:b w:val="0"/>
                <w:bCs w:val="0"/>
                <w:color w:val="auto"/>
                <w:sz w:val="21"/>
                <w:szCs w:val="21"/>
                <w:lang w:val="en-US" w:eastAsia="zh-CN"/>
              </w:rPr>
              <w:t>公司尾矿库</w:t>
            </w:r>
            <w:r>
              <w:rPr>
                <w:rFonts w:hint="eastAsia" w:ascii="宋体" w:hAnsi="宋体" w:eastAsia="宋体" w:cs="宋体"/>
                <w:b w:val="0"/>
                <w:bCs w:val="0"/>
                <w:color w:val="auto"/>
                <w:sz w:val="21"/>
                <w:szCs w:val="21"/>
                <w:lang w:eastAsia="zh-CN"/>
              </w:rPr>
              <w:t>统一沉淀处理。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办公基本</w:t>
            </w:r>
            <w:r>
              <w:rPr>
                <w:rFonts w:hint="eastAsia" w:ascii="宋体" w:hAnsi="宋体" w:eastAsia="宋体" w:cs="宋体"/>
                <w:b w:val="0"/>
                <w:bCs w:val="0"/>
                <w:color w:val="auto"/>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办公噪声</w:t>
            </w:r>
            <w:r>
              <w:rPr>
                <w:rFonts w:hint="eastAsia" w:ascii="宋体" w:hAnsi="宋体" w:eastAsia="宋体" w:cs="宋体"/>
                <w:b w:val="0"/>
                <w:bCs w:val="0"/>
                <w:color w:val="auto"/>
                <w:sz w:val="21"/>
                <w:szCs w:val="21"/>
                <w:lang w:val="en-US" w:eastAsia="zh-CN"/>
              </w:rPr>
              <w:t>较</w:t>
            </w:r>
            <w:r>
              <w:rPr>
                <w:rFonts w:hint="eastAsia" w:ascii="宋体" w:hAnsi="宋体" w:eastAsia="宋体" w:cs="宋体"/>
                <w:b w:val="0"/>
                <w:bCs w:val="0"/>
                <w:color w:val="auto"/>
                <w:sz w:val="21"/>
                <w:szCs w:val="21"/>
                <w:lang w:eastAsia="zh-CN"/>
              </w:rPr>
              <w:t>低，</w:t>
            </w:r>
            <w:r>
              <w:rPr>
                <w:rFonts w:hint="eastAsia" w:ascii="宋体" w:hAnsi="宋体" w:eastAsia="宋体" w:cs="宋体"/>
                <w:b w:val="0"/>
                <w:bCs w:val="0"/>
                <w:color w:val="auto"/>
                <w:sz w:val="21"/>
                <w:szCs w:val="21"/>
                <w:lang w:val="en-US" w:eastAsia="zh-CN"/>
              </w:rPr>
              <w:t>主要为打复印机工作产生噪声，</w:t>
            </w:r>
            <w:r>
              <w:rPr>
                <w:rFonts w:hint="eastAsia" w:ascii="宋体" w:hAnsi="宋体" w:eastAsia="宋体" w:cs="宋体"/>
                <w:b w:val="0"/>
                <w:bCs w:val="0"/>
                <w:color w:val="auto"/>
                <w:sz w:val="21"/>
                <w:szCs w:val="21"/>
                <w:lang w:eastAsia="zh-CN"/>
              </w:rPr>
              <w:t>影响不大，</w:t>
            </w:r>
            <w:r>
              <w:rPr>
                <w:rFonts w:hint="eastAsia" w:ascii="宋体" w:hAnsi="宋体" w:eastAsia="宋体" w:cs="宋体"/>
                <w:b w:val="0"/>
                <w:bCs w:val="0"/>
                <w:color w:val="auto"/>
                <w:sz w:val="21"/>
                <w:szCs w:val="21"/>
                <w:lang w:val="en-US" w:eastAsia="zh-CN"/>
              </w:rPr>
              <w:t>采取每半年清理保洁打复印机，降低噪声</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4、固废管控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主要为办公生活垃圾，办公室设有垃圾篓集中倒入公司垃圾站由政府环卫运送至统一地点处理。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办公过程注意节水、节电，人走关闭</w:t>
            </w:r>
            <w:r>
              <w:rPr>
                <w:rFonts w:hint="eastAsia" w:ascii="宋体" w:hAnsi="宋体" w:eastAsia="宋体" w:cs="宋体"/>
                <w:b w:val="0"/>
                <w:bCs w:val="0"/>
                <w:color w:val="auto"/>
                <w:sz w:val="21"/>
                <w:szCs w:val="21"/>
                <w:lang w:val="en-US" w:eastAsia="zh-CN"/>
              </w:rPr>
              <w:t>灯、水</w:t>
            </w:r>
            <w:r>
              <w:rPr>
                <w:rFonts w:hint="eastAsia" w:ascii="宋体" w:hAnsi="宋体" w:eastAsia="宋体" w:cs="宋体"/>
                <w:b w:val="0"/>
                <w:bCs w:val="0"/>
                <w:color w:val="auto"/>
                <w:sz w:val="21"/>
                <w:szCs w:val="21"/>
                <w:lang w:eastAsia="zh-CN"/>
              </w:rPr>
              <w:t>开关，现场未发现漏水和</w:t>
            </w:r>
            <w:r>
              <w:rPr>
                <w:rFonts w:hint="eastAsia" w:ascii="宋体" w:hAnsi="宋体" w:eastAsia="宋体" w:cs="宋体"/>
                <w:b w:val="0"/>
                <w:bCs w:val="0"/>
                <w:color w:val="auto"/>
                <w:sz w:val="21"/>
                <w:szCs w:val="21"/>
                <w:lang w:val="en-US" w:eastAsia="zh-CN"/>
              </w:rPr>
              <w:t>其他</w:t>
            </w:r>
            <w:r>
              <w:rPr>
                <w:rFonts w:hint="eastAsia" w:ascii="宋体" w:hAnsi="宋体" w:eastAsia="宋体" w:cs="宋体"/>
                <w:b w:val="0"/>
                <w:bCs w:val="0"/>
                <w:color w:val="auto"/>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6、潜在火灾管控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该部门楼道</w:t>
            </w:r>
            <w:r>
              <w:rPr>
                <w:rFonts w:hint="eastAsia" w:ascii="宋体" w:hAnsi="宋体" w:eastAsia="宋体" w:cs="宋体"/>
                <w:b w:val="0"/>
                <w:bCs w:val="0"/>
                <w:color w:val="auto"/>
                <w:sz w:val="21"/>
                <w:szCs w:val="21"/>
                <w:lang w:val="en-US" w:eastAsia="zh-CN"/>
              </w:rPr>
              <w:t>共配有灭火</w:t>
            </w:r>
            <w:r>
              <w:rPr>
                <w:rFonts w:hint="eastAsia" w:ascii="宋体" w:hAnsi="宋体" w:eastAsia="宋体" w:cs="宋体"/>
                <w:b w:val="0"/>
                <w:bCs w:val="0"/>
                <w:color w:val="auto"/>
                <w:sz w:val="21"/>
                <w:szCs w:val="21"/>
                <w:highlight w:val="none"/>
                <w:lang w:val="en-US" w:eastAsia="zh-CN"/>
              </w:rPr>
              <w:t>器2个，</w:t>
            </w:r>
            <w:r>
              <w:rPr>
                <w:rFonts w:hint="eastAsia" w:ascii="宋体" w:hAnsi="宋体" w:eastAsia="宋体" w:cs="宋体"/>
                <w:b w:val="0"/>
                <w:bCs w:val="0"/>
                <w:color w:val="auto"/>
                <w:sz w:val="21"/>
                <w:szCs w:val="21"/>
                <w:lang w:eastAsia="zh-CN"/>
              </w:rPr>
              <w:t>抽</w:t>
            </w:r>
            <w:r>
              <w:rPr>
                <w:rFonts w:hint="eastAsia" w:ascii="宋体" w:hAnsi="宋体" w:eastAsia="宋体" w:cs="宋体"/>
                <w:b w:val="0"/>
                <w:bCs w:val="0"/>
                <w:color w:val="auto"/>
                <w:sz w:val="21"/>
                <w:szCs w:val="21"/>
                <w:lang w:val="en-US" w:eastAsia="zh-CN"/>
              </w:rPr>
              <w:t>查2个</w:t>
            </w:r>
            <w:r>
              <w:rPr>
                <w:rFonts w:hint="eastAsia" w:ascii="宋体" w:hAnsi="宋体" w:eastAsia="宋体" w:cs="宋体"/>
                <w:b w:val="0"/>
                <w:bCs w:val="0"/>
                <w:color w:val="auto"/>
                <w:sz w:val="21"/>
                <w:szCs w:val="21"/>
                <w:lang w:eastAsia="zh-CN"/>
              </w:rPr>
              <w:t>灭火器</w:t>
            </w:r>
            <w:r>
              <w:rPr>
                <w:rFonts w:hint="eastAsia" w:ascii="宋体" w:hAnsi="宋体" w:eastAsia="宋体" w:cs="宋体"/>
                <w:b w:val="0"/>
                <w:bCs w:val="0"/>
                <w:color w:val="auto"/>
                <w:sz w:val="21"/>
                <w:szCs w:val="21"/>
                <w:lang w:val="en-US" w:eastAsia="zh-CN"/>
              </w:rPr>
              <w:t>，完整有效，每半年有检查，符合要求</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公司给员工发放工作服、口罩等劳保用品</w:t>
            </w:r>
            <w:r>
              <w:rPr>
                <w:rFonts w:hint="eastAsia" w:ascii="宋体" w:hAnsi="宋体" w:eastAsia="宋体" w:cs="宋体"/>
                <w:b w:val="0"/>
                <w:bCs w:val="0"/>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8、为主要员工社会保险，查到2022年12月缴纳社保1,170,487.07元、劳保费用：58.48万，培训费用2.11万等。</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运行控制基本符合要求。</w:t>
            </w:r>
          </w:p>
        </w:tc>
        <w:tc>
          <w:tcPr>
            <w:tcW w:w="721" w:type="dxa"/>
          </w:tcPr>
          <w:p>
            <w:pPr>
              <w:spacing w:line="360" w:lineRule="auto"/>
              <w:rPr>
                <w:rFonts w:hint="eastAsia" w:ascii="宋体" w:hAnsi="宋体" w:eastAsia="宋体" w:cs="宋体"/>
                <w:b w:val="0"/>
                <w:bCs w:val="0"/>
                <w:sz w:val="21"/>
                <w:szCs w:val="21"/>
              </w:rPr>
            </w:pPr>
          </w:p>
          <w:p>
            <w:pPr>
              <w:spacing w:line="360" w:lineRule="auto"/>
              <w:rPr>
                <w:rFonts w:hint="eastAsia" w:ascii="宋体" w:hAnsi="宋体" w:eastAsia="宋体" w:cs="宋体"/>
                <w:b w:val="0"/>
                <w:bCs w:val="0"/>
                <w:sz w:val="21"/>
                <w:szCs w:val="21"/>
              </w:rPr>
            </w:pPr>
          </w:p>
          <w:p>
            <w:pPr>
              <w:spacing w:line="360" w:lineRule="auto"/>
              <w:rPr>
                <w:rFonts w:hint="eastAsia" w:ascii="宋体" w:hAnsi="宋体" w:eastAsia="宋体" w:cs="宋体"/>
                <w:b w:val="0"/>
                <w:bCs w:val="0"/>
                <w:sz w:val="21"/>
                <w:szCs w:val="21"/>
              </w:rPr>
            </w:pPr>
          </w:p>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y</w:t>
            </w:r>
          </w:p>
          <w:p>
            <w:pPr>
              <w:spacing w:line="360" w:lineRule="auto"/>
              <w:rPr>
                <w:rFonts w:hint="eastAsia" w:ascii="宋体" w:hAnsi="宋体" w:eastAsia="宋体" w:cs="宋体"/>
                <w:b w:val="0"/>
                <w:bCs w:val="0"/>
                <w:sz w:val="21"/>
                <w:szCs w:val="21"/>
              </w:rPr>
            </w:pPr>
          </w:p>
          <w:p>
            <w:pPr>
              <w:spacing w:line="360" w:lineRule="auto"/>
              <w:rPr>
                <w:rFonts w:hint="eastAsia" w:ascii="宋体" w:hAnsi="宋体" w:eastAsia="宋体" w:cs="宋体"/>
                <w:b w:val="0"/>
                <w:bCs w:val="0"/>
                <w:sz w:val="21"/>
                <w:szCs w:val="21"/>
              </w:rPr>
            </w:pPr>
          </w:p>
          <w:p>
            <w:pPr>
              <w:spacing w:line="360" w:lineRule="auto"/>
              <w:rPr>
                <w:rFonts w:hint="eastAsia" w:ascii="宋体" w:hAnsi="宋体" w:eastAsia="宋体" w:cs="宋体"/>
                <w:b w:val="0"/>
                <w:bCs w:val="0"/>
                <w:sz w:val="21"/>
                <w:szCs w:val="21"/>
              </w:rPr>
            </w:pPr>
          </w:p>
          <w:p>
            <w:pPr>
              <w:spacing w:line="360" w:lineRule="auto"/>
              <w:rPr>
                <w:rFonts w:hint="eastAsia" w:ascii="宋体" w:hAnsi="宋体" w:eastAsia="宋体" w:cs="宋体"/>
                <w:b w:val="0"/>
                <w:bCs w:val="0"/>
                <w:sz w:val="21"/>
                <w:szCs w:val="21"/>
              </w:rPr>
            </w:pPr>
          </w:p>
          <w:p>
            <w:pPr>
              <w:spacing w:line="360" w:lineRule="auto"/>
              <w:rPr>
                <w:rFonts w:hint="eastAsia" w:ascii="宋体" w:hAnsi="宋体" w:eastAsia="宋体" w:cs="宋体"/>
                <w:b w:val="0"/>
                <w:bCs w:val="0"/>
                <w:sz w:val="21"/>
                <w:szCs w:val="21"/>
              </w:rPr>
            </w:pPr>
          </w:p>
          <w:p>
            <w:pPr>
              <w:spacing w:line="360" w:lineRule="auto"/>
              <w:rPr>
                <w:rFonts w:hint="eastAsia" w:ascii="宋体" w:hAnsi="宋体" w:eastAsia="宋体" w:cs="宋体"/>
                <w:b w:val="0"/>
                <w:bCs w:val="0"/>
                <w:sz w:val="21"/>
                <w:szCs w:val="21"/>
              </w:rPr>
            </w:pPr>
          </w:p>
          <w:p>
            <w:pPr>
              <w:spacing w:line="360" w:lineRule="auto"/>
              <w:rPr>
                <w:rFonts w:hint="eastAsia" w:ascii="宋体" w:hAnsi="宋体" w:eastAsia="宋体" w:cs="宋体"/>
                <w:b w:val="0"/>
                <w:bCs w:val="0"/>
                <w:sz w:val="21"/>
                <w:szCs w:val="21"/>
              </w:rPr>
            </w:pPr>
          </w:p>
          <w:p>
            <w:pPr>
              <w:spacing w:line="360" w:lineRule="auto"/>
              <w:rPr>
                <w:rFonts w:hint="eastAsia" w:ascii="宋体" w:hAnsi="宋体" w:eastAsia="宋体" w:cs="宋体"/>
                <w:b w:val="0"/>
                <w:bCs w:val="0"/>
                <w:sz w:val="21"/>
                <w:szCs w:val="21"/>
              </w:rPr>
            </w:pPr>
          </w:p>
          <w:p>
            <w:pPr>
              <w:spacing w:line="360" w:lineRule="auto"/>
              <w:rPr>
                <w:rFonts w:hint="eastAsia" w:ascii="宋体" w:hAnsi="宋体" w:eastAsia="宋体" w:cs="宋体"/>
                <w:b w:val="0"/>
                <w:bCs w:val="0"/>
                <w:sz w:val="21"/>
                <w:szCs w:val="21"/>
              </w:rPr>
            </w:pPr>
          </w:p>
          <w:p>
            <w:pPr>
              <w:spacing w:line="360" w:lineRule="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sz w:val="21"/>
                <w:szCs w:val="21"/>
              </w:rPr>
              <w:t>应急准备和响应</w:t>
            </w:r>
          </w:p>
        </w:tc>
        <w:tc>
          <w:tcPr>
            <w:tcW w:w="9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EO:</w:t>
            </w:r>
            <w:r>
              <w:rPr>
                <w:rFonts w:hint="eastAsia" w:ascii="宋体" w:hAnsi="宋体" w:eastAsia="宋体" w:cs="宋体"/>
                <w:b w:val="0"/>
                <w:bCs w:val="0"/>
                <w:sz w:val="21"/>
                <w:szCs w:val="21"/>
              </w:rPr>
              <w:t>8.2</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b w:val="0"/>
                <w:bCs w:val="0"/>
                <w:color w:val="auto"/>
                <w:kern w:val="2"/>
                <w:sz w:val="21"/>
                <w:szCs w:val="21"/>
                <w:lang w:val="en-US" w:eastAsia="zh-CN" w:bidi="ar-SA"/>
              </w:rPr>
            </w:pPr>
          </w:p>
        </w:tc>
        <w:tc>
          <w:tcPr>
            <w:tcW w:w="10868" w:type="dxa"/>
            <w:vAlign w:val="center"/>
          </w:tcPr>
          <w:p>
            <w:pPr>
              <w:pStyle w:val="1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远程提供</w:t>
            </w:r>
            <w:r>
              <w:rPr>
                <w:rFonts w:hint="eastAsia" w:ascii="宋体" w:hAnsi="宋体" w:eastAsia="宋体" w:cs="宋体"/>
                <w:b w:val="0"/>
                <w:bCs w:val="0"/>
                <w:sz w:val="21"/>
                <w:szCs w:val="21"/>
              </w:rPr>
              <w:t>《应急准备和响应程序》，查看内容基本符合要求。</w:t>
            </w:r>
          </w:p>
          <w:p>
            <w:pPr>
              <w:pStyle w:val="13"/>
              <w:keepNext w:val="0"/>
              <w:keepLines w:val="0"/>
              <w:pageBreakBefore w:val="0"/>
              <w:widowControl w:val="0"/>
              <w:kinsoku/>
              <w:wordWrap/>
              <w:overflowPunct/>
              <w:topLinePunct w:val="0"/>
              <w:autoSpaceDE/>
              <w:autoSpaceDN/>
              <w:bidi w:val="0"/>
              <w:spacing w:line="360" w:lineRule="auto"/>
              <w:ind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策划了应急预案包括火灾、</w:t>
            </w:r>
            <w:r>
              <w:rPr>
                <w:rFonts w:hint="eastAsia" w:ascii="宋体" w:hAnsi="宋体" w:eastAsia="宋体" w:cs="宋体"/>
                <w:b w:val="0"/>
                <w:bCs w:val="0"/>
                <w:sz w:val="21"/>
                <w:szCs w:val="21"/>
                <w:lang w:eastAsia="zh-CN"/>
              </w:rPr>
              <w:t>突发环境应急预案、尾矿库事故、危险品储运和使用、危爆物品爆炸事故、</w:t>
            </w:r>
            <w:r>
              <w:rPr>
                <w:rFonts w:hint="eastAsia" w:ascii="宋体" w:hAnsi="宋体" w:eastAsia="宋体" w:cs="宋体"/>
                <w:b w:val="0"/>
                <w:bCs w:val="0"/>
                <w:sz w:val="21"/>
                <w:szCs w:val="21"/>
                <w:lang w:val="en-US" w:eastAsia="zh-CN"/>
              </w:rPr>
              <w:t>触电、机械伤害、突发高原反应事件</w:t>
            </w:r>
            <w:r>
              <w:rPr>
                <w:rFonts w:hint="eastAsia" w:ascii="宋体" w:hAnsi="宋体" w:eastAsia="宋体" w:cs="宋体"/>
                <w:b w:val="0"/>
                <w:bCs w:val="0"/>
                <w:sz w:val="21"/>
                <w:szCs w:val="21"/>
              </w:rPr>
              <w:t>等。</w:t>
            </w:r>
          </w:p>
          <w:p>
            <w:pPr>
              <w:pStyle w:val="13"/>
              <w:keepNext w:val="0"/>
              <w:keepLines w:val="0"/>
              <w:pageBreakBefore w:val="0"/>
              <w:widowControl w:val="0"/>
              <w:kinsoku/>
              <w:wordWrap/>
              <w:overflowPunct/>
              <w:topLinePunct w:val="0"/>
              <w:autoSpaceDE/>
              <w:autoSpaceDN/>
              <w:bidi w:val="0"/>
              <w:spacing w:line="360" w:lineRule="auto"/>
              <w:ind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查应急预案评估报告，通过以上评估，公司应急预案的制定基本合理</w:t>
            </w:r>
            <w:r>
              <w:rPr>
                <w:rFonts w:hint="eastAsia" w:ascii="宋体" w:hAnsi="宋体" w:eastAsia="宋体" w:cs="宋体"/>
                <w:b w:val="0"/>
                <w:bCs w:val="0"/>
                <w:sz w:val="21"/>
                <w:szCs w:val="21"/>
                <w:lang w:eastAsia="zh-CN"/>
              </w:rPr>
              <w:t>。</w:t>
            </w:r>
          </w:p>
          <w:p>
            <w:pPr>
              <w:pStyle w:val="13"/>
              <w:keepNext w:val="0"/>
              <w:keepLines w:val="0"/>
              <w:pageBreakBefore w:val="0"/>
              <w:widowControl w:val="0"/>
              <w:kinsoku/>
              <w:wordWrap/>
              <w:overflowPunct/>
              <w:topLinePunct w:val="0"/>
              <w:autoSpaceDE/>
              <w:autoSpaceDN/>
              <w:bidi w:val="0"/>
              <w:spacing w:line="360" w:lineRule="auto"/>
              <w:ind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公司进行了</w:t>
            </w:r>
            <w:r>
              <w:rPr>
                <w:rFonts w:hint="eastAsia" w:ascii="宋体" w:hAnsi="宋体" w:eastAsia="宋体" w:cs="宋体"/>
                <w:b w:val="0"/>
                <w:bCs w:val="0"/>
                <w:sz w:val="21"/>
                <w:szCs w:val="21"/>
                <w:lang w:eastAsia="zh-CN"/>
              </w:rPr>
              <w:t>机</w:t>
            </w:r>
            <w:r>
              <w:rPr>
                <w:rFonts w:hint="eastAsia" w:ascii="宋体" w:hAnsi="宋体" w:eastAsia="宋体" w:cs="宋体"/>
                <w:b w:val="0"/>
                <w:bCs w:val="0"/>
                <w:sz w:val="21"/>
                <w:szCs w:val="21"/>
                <w:highlight w:val="none"/>
                <w:lang w:eastAsia="zh-CN"/>
              </w:rPr>
              <w:t>械伤害、</w:t>
            </w:r>
            <w:r>
              <w:rPr>
                <w:rFonts w:hint="eastAsia" w:ascii="宋体" w:hAnsi="宋体" w:eastAsia="宋体" w:cs="宋体"/>
                <w:b w:val="0"/>
                <w:bCs w:val="0"/>
                <w:sz w:val="21"/>
                <w:szCs w:val="21"/>
                <w:highlight w:val="none"/>
                <w:lang w:val="en-US" w:eastAsia="zh-CN"/>
              </w:rPr>
              <w:t>触电伤害等应急演练，</w:t>
            </w:r>
            <w:r>
              <w:rPr>
                <w:rFonts w:hint="eastAsia" w:ascii="宋体" w:hAnsi="宋体" w:eastAsia="宋体" w:cs="宋体"/>
                <w:b w:val="0"/>
                <w:bCs w:val="0"/>
                <w:sz w:val="21"/>
                <w:szCs w:val="21"/>
                <w:lang w:val="en-US" w:eastAsia="zh-CN"/>
              </w:rPr>
              <w:t>都有安环部组织。详见安环部8.2审核条款应急演练记录。</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sz w:val="21"/>
                <w:szCs w:val="21"/>
                <w:lang w:val="en-US" w:eastAsia="zh-CN"/>
              </w:rPr>
              <w:t>目前</w:t>
            </w:r>
            <w:r>
              <w:rPr>
                <w:rFonts w:hint="eastAsia" w:ascii="宋体" w:hAnsi="宋体" w:eastAsia="宋体" w:cs="宋体"/>
                <w:b w:val="0"/>
                <w:bCs w:val="0"/>
                <w:sz w:val="21"/>
                <w:szCs w:val="21"/>
              </w:rPr>
              <w:t>未发生</w:t>
            </w:r>
            <w:r>
              <w:rPr>
                <w:rFonts w:hint="eastAsia" w:ascii="宋体" w:hAnsi="宋体" w:eastAsia="宋体" w:cs="宋体"/>
                <w:b w:val="0"/>
                <w:bCs w:val="0"/>
                <w:sz w:val="21"/>
                <w:szCs w:val="21"/>
                <w:lang w:val="en-US" w:eastAsia="zh-CN"/>
              </w:rPr>
              <w:t>火灾、人身伤害等</w:t>
            </w:r>
            <w:r>
              <w:rPr>
                <w:rFonts w:hint="eastAsia" w:ascii="宋体" w:hAnsi="宋体" w:eastAsia="宋体" w:cs="宋体"/>
                <w:b w:val="0"/>
                <w:bCs w:val="0"/>
                <w:sz w:val="21"/>
                <w:szCs w:val="21"/>
              </w:rPr>
              <w:t>事故</w:t>
            </w:r>
            <w:r>
              <w:rPr>
                <w:rFonts w:hint="eastAsia" w:ascii="宋体" w:hAnsi="宋体" w:eastAsia="宋体" w:cs="宋体"/>
                <w:b w:val="0"/>
                <w:bCs w:val="0"/>
                <w:sz w:val="21"/>
                <w:szCs w:val="21"/>
                <w:lang w:val="en-US" w:eastAsia="zh-CN"/>
              </w:rPr>
              <w:t>.</w:t>
            </w:r>
          </w:p>
        </w:tc>
        <w:tc>
          <w:tcPr>
            <w:tcW w:w="721" w:type="dxa"/>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Y</w:t>
            </w:r>
            <w:bookmarkStart w:id="0" w:name="_GoBack"/>
            <w:bookmarkEnd w:id="0"/>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0C77BB5"/>
    <w:rsid w:val="02566843"/>
    <w:rsid w:val="03D60954"/>
    <w:rsid w:val="03FD6903"/>
    <w:rsid w:val="07BC27F4"/>
    <w:rsid w:val="09735635"/>
    <w:rsid w:val="2ECE6805"/>
    <w:rsid w:val="3D9A5A0C"/>
    <w:rsid w:val="576176AA"/>
    <w:rsid w:val="5BE80399"/>
    <w:rsid w:val="752A52E6"/>
    <w:rsid w:val="75BF11ED"/>
    <w:rsid w:val="76BE1FCB"/>
    <w:rsid w:val="7D265CD3"/>
    <w:rsid w:val="7EEB1B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2023-01-28T17:33:26Z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