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0156-2020-2022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162"/>
        <w:gridCol w:w="950"/>
        <w:gridCol w:w="1150"/>
        <w:gridCol w:w="1363"/>
        <w:gridCol w:w="1437"/>
        <w:gridCol w:w="1299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47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大庆爱力特泵业有限公司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生产车间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103-144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(0~200)㎜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5等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外</w:t>
            </w:r>
            <w:r>
              <w:rPr>
                <w:rFonts w:hint="eastAsia"/>
                <w:sz w:val="18"/>
                <w:szCs w:val="18"/>
                <w:lang w:eastAsia="zh-CN"/>
              </w:rPr>
              <w:t>径千分尺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9812301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(175~200)㎜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U=1.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  <w:lang w:eastAsia="zh-CN"/>
              </w:rPr>
              <w:t>μm,k=2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5等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2022.5.18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145568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(50~160)㎜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=6.6μm,k=2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光栅式指示仪表检定仪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MPE:±1.4μm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2022.5.18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13040213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ZC-7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绝缘电阻：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=2.2%,k=2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开路电压：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=1.3%,k=2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绝缘电阻表检定装置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全天</w:t>
            </w:r>
            <w:bookmarkStart w:id="2" w:name="_GoBack"/>
            <w:bookmarkEnd w:id="2"/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638810" cy="277495"/>
                  <wp:effectExtent l="0" t="0" r="8890" b="8255"/>
                  <wp:docPr id="3" name="图片 1" descr="cdf9a6944c2ae4a1ab8e4c6eec39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df9a6944c2ae4a1ab8e4c6eec39a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142241AA"/>
    <w:rsid w:val="1DB05578"/>
    <w:rsid w:val="1EB95F81"/>
    <w:rsid w:val="2DD357DE"/>
    <w:rsid w:val="2FD145BA"/>
    <w:rsid w:val="317C3133"/>
    <w:rsid w:val="32A171EA"/>
    <w:rsid w:val="62774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452</Words>
  <Characters>607</Characters>
  <Lines>3</Lines>
  <Paragraphs>1</Paragraphs>
  <TotalTime>2</TotalTime>
  <ScaleCrop>false</ScaleCrop>
  <LinksUpToDate>false</LinksUpToDate>
  <CharactersWithSpaces>641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2022-09-30T06:12:40Z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A93E1B219FEE458B943488E84C1AAC5F</vt:lpwstr>
  </property>
</Properties>
</file>