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bookmarkStart w:id="36" w:name="_GoBack"/>
      <w:bookmarkEnd w:id="36"/>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保定市科美电气科技有限公司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2022年08月29日 上午至2022年08月29日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19.09.02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保定市科美电气科技有限公司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保定市北二环路5699号大学科技园1号楼A单元5楼502室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071025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保定市北二环路5699号大学科技园1号楼A单元5楼502室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071025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高小梅</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19932580851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武柯</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高小梅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高压配电开关控制设备</w:t>
            </w:r>
            <w:r>
              <w:rPr>
                <w:rFonts w:hint="eastAsia" w:ascii="宋体" w:hAnsi="宋体"/>
                <w:b/>
                <w:color w:val="000000"/>
                <w:szCs w:val="21"/>
                <w:lang w:val="en-US" w:eastAsia="zh-CN"/>
              </w:rPr>
              <w:t>的加工件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default" w:ascii="宋体" w:hAnsi="宋体"/>
                <w:b/>
                <w:color w:val="000000"/>
                <w:szCs w:val="21"/>
                <w:lang w:val="en-US"/>
              </w:rPr>
            </w:pPr>
            <w:r>
              <w:rPr>
                <w:rFonts w:hint="eastAsia" w:ascii="宋体" w:hAnsi="宋体"/>
                <w:b/>
                <w:color w:val="000000"/>
                <w:szCs w:val="21"/>
              </w:rPr>
              <w:t>高压配电开关控制设备</w:t>
            </w:r>
            <w:r>
              <w:rPr>
                <w:rFonts w:hint="eastAsia" w:ascii="宋体" w:hAnsi="宋体"/>
                <w:b/>
                <w:color w:val="000000"/>
                <w:szCs w:val="21"/>
                <w:lang w:val="en-US" w:eastAsia="zh-CN"/>
              </w:rPr>
              <w:t>的加工件的销售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原材料--焊接（外包）--检验调试--组装--老化--检验--包装---入库</w:t>
            </w:r>
          </w:p>
          <w:p>
            <w:pPr>
              <w:tabs>
                <w:tab w:val="left" w:pos="360"/>
              </w:tabs>
              <w:ind w:left="360" w:hanging="360"/>
              <w:rPr>
                <w:rFonts w:hint="default" w:ascii="宋体" w:eastAsia="宋体"/>
                <w:color w:val="000000"/>
                <w:szCs w:val="21"/>
                <w:lang w:val="en-US" w:eastAsia="zh-CN"/>
              </w:rPr>
            </w:pPr>
            <w:r>
              <w:rPr>
                <w:rFonts w:hint="eastAsia" w:ascii="宋体"/>
                <w:color w:val="000000"/>
                <w:szCs w:val="21"/>
                <w:lang w:val="en-US" w:eastAsia="zh-CN"/>
              </w:rPr>
              <w:t xml:space="preserve"> 客户信息收集---客户洽谈----合同评审-----签订合同---履行合同---客户回访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高压配电开关控制设备的加工、销售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96"/>
        <w:gridCol w:w="2140"/>
        <w:gridCol w:w="490"/>
        <w:gridCol w:w="2360"/>
        <w:gridCol w:w="156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9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4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4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799"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96" w:type="dxa"/>
          </w:tcPr>
          <w:p>
            <w:pPr>
              <w:spacing w:before="40" w:after="40"/>
              <w:rPr>
                <w:rFonts w:eastAsia="黑体"/>
                <w:szCs w:val="21"/>
                <w:lang w:val="de-DE" w:eastAsia="ja-JP"/>
              </w:rPr>
            </w:pPr>
            <w:r>
              <w:rPr>
                <w:rFonts w:hint="eastAsia" w:eastAsia="黑体"/>
                <w:szCs w:val="21"/>
                <w:lang w:val="de-DE" w:eastAsia="ja-JP"/>
              </w:rPr>
              <w:t>保定市科美电气科技有限公司</w:t>
            </w:r>
          </w:p>
        </w:tc>
        <w:tc>
          <w:tcPr>
            <w:tcW w:w="2140" w:type="dxa"/>
          </w:tcPr>
          <w:p>
            <w:pPr>
              <w:spacing w:before="40" w:after="40"/>
              <w:rPr>
                <w:rFonts w:eastAsia="黑体"/>
                <w:szCs w:val="21"/>
                <w:lang w:val="de-DE" w:eastAsia="ja-JP"/>
              </w:rPr>
            </w:pPr>
            <w:r>
              <w:rPr>
                <w:rFonts w:hint="eastAsia" w:eastAsia="黑体"/>
                <w:szCs w:val="21"/>
                <w:lang w:val="de-DE" w:eastAsia="ja-JP"/>
              </w:rPr>
              <w:t>保定市北二环路5699号大学科技园1号楼A单元5楼502室</w:t>
            </w:r>
          </w:p>
        </w:tc>
        <w:tc>
          <w:tcPr>
            <w:tcW w:w="49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360" w:type="dxa"/>
            <w:vAlign w:val="center"/>
          </w:tcPr>
          <w:p>
            <w:pPr>
              <w:pStyle w:val="19"/>
              <w:rPr>
                <w:rFonts w:eastAsia="黑体" w:cs="Arial"/>
                <w:sz w:val="21"/>
                <w:szCs w:val="21"/>
                <w:lang w:val="en-US" w:eastAsia="ja-JP"/>
              </w:rPr>
            </w:pPr>
            <w:r>
              <w:rPr>
                <w:rFonts w:hint="eastAsia" w:eastAsia="黑体" w:cs="Arial"/>
                <w:sz w:val="21"/>
                <w:szCs w:val="21"/>
                <w:lang w:val="en-US" w:eastAsia="ja-JP"/>
              </w:rPr>
              <w:t>高压配电开关控制设备的加工、销售</w:t>
            </w:r>
          </w:p>
        </w:tc>
        <w:tc>
          <w:tcPr>
            <w:tcW w:w="1560" w:type="dxa"/>
            <w:vAlign w:val="center"/>
          </w:tcPr>
          <w:p>
            <w:pPr>
              <w:spacing w:before="40" w:after="40"/>
              <w:rPr>
                <w:rFonts w:eastAsia="黑体"/>
                <w:szCs w:val="21"/>
                <w:lang w:eastAsia="ja-JP"/>
              </w:rPr>
            </w:pPr>
            <w:r>
              <w:rPr>
                <w:rFonts w:hint="eastAsia" w:eastAsia="黑体"/>
                <w:szCs w:val="21"/>
                <w:lang w:eastAsia="ja-JP"/>
              </w:rPr>
              <w:t xml:space="preserve">GB/T19001-2016/ISO 9001:2015 </w:t>
            </w:r>
          </w:p>
        </w:tc>
        <w:sdt>
          <w:sdtPr>
            <w:rPr>
              <w:rFonts w:eastAsia="黑体"/>
              <w:szCs w:val="21"/>
            </w:rPr>
            <w:id w:val="271604670"/>
          </w:sdtPr>
          <w:sdtEndPr>
            <w:rPr>
              <w:rFonts w:eastAsia="黑体"/>
              <w:szCs w:val="21"/>
            </w:rPr>
          </w:sdtEndPr>
          <w:sdtContent>
            <w:tc>
              <w:tcPr>
                <w:tcW w:w="799" w:type="dxa"/>
                <w:shd w:val="clear" w:color="auto" w:fill="FFFFFF"/>
              </w:tcPr>
              <w:p>
                <w:pPr>
                  <w:rPr>
                    <w:rFonts w:eastAsia="黑体"/>
                    <w:szCs w:val="21"/>
                  </w:rPr>
                </w:pPr>
                <w:r>
                  <w:rPr>
                    <w:rFonts w:hint="eastAsia"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96" w:type="dxa"/>
            <w:vAlign w:val="center"/>
          </w:tcPr>
          <w:p>
            <w:pPr>
              <w:spacing w:before="40" w:after="40"/>
              <w:rPr>
                <w:rFonts w:eastAsia="黑体"/>
                <w:szCs w:val="21"/>
                <w:lang w:eastAsia="ja-JP"/>
              </w:rPr>
            </w:pPr>
            <w:r>
              <w:rPr>
                <w:rFonts w:hint="eastAsia" w:eastAsia="黑体"/>
                <w:szCs w:val="21"/>
                <w:lang w:eastAsia="ja-JP"/>
              </w:rPr>
              <w:t>保定市北二环路5699号大学科技园1号楼A单元5楼502室</w:t>
            </w: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896" w:type="dxa"/>
            <w:vAlign w:val="center"/>
          </w:tcPr>
          <w:p>
            <w:pPr>
              <w:spacing w:before="40" w:after="40"/>
              <w:rPr>
                <w:rFonts w:eastAsia="黑体"/>
                <w:szCs w:val="21"/>
                <w:lang w:eastAsia="ja-JP"/>
              </w:rPr>
            </w:pPr>
          </w:p>
        </w:tc>
        <w:tc>
          <w:tcPr>
            <w:tcW w:w="2140" w:type="dxa"/>
            <w:vAlign w:val="center"/>
          </w:tcPr>
          <w:p>
            <w:pPr>
              <w:spacing w:before="40" w:after="40"/>
              <w:rPr>
                <w:rFonts w:eastAsia="黑体"/>
                <w:szCs w:val="21"/>
                <w:lang w:eastAsia="ja-JP"/>
              </w:rPr>
            </w:pPr>
          </w:p>
        </w:tc>
        <w:tc>
          <w:tcPr>
            <w:tcW w:w="490" w:type="dxa"/>
            <w:vAlign w:val="center"/>
          </w:tcPr>
          <w:p>
            <w:pPr>
              <w:spacing w:before="40" w:after="40"/>
              <w:rPr>
                <w:rFonts w:eastAsia="黑体"/>
                <w:szCs w:val="21"/>
                <w:lang w:eastAsia="ja-JP"/>
              </w:rPr>
            </w:pPr>
          </w:p>
        </w:tc>
        <w:tc>
          <w:tcPr>
            <w:tcW w:w="2360" w:type="dxa"/>
            <w:vAlign w:val="center"/>
          </w:tcPr>
          <w:p>
            <w:pPr>
              <w:spacing w:before="40" w:after="40"/>
              <w:rPr>
                <w:rFonts w:eastAsia="黑体"/>
                <w:szCs w:val="21"/>
                <w:lang w:eastAsia="ja-JP"/>
              </w:rPr>
            </w:pPr>
          </w:p>
        </w:tc>
        <w:tc>
          <w:tcPr>
            <w:tcW w:w="156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799"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2019</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7  月 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156" w:afterLines="50" w:line="360" w:lineRule="exact"/>
        <w:rPr>
          <w:rFonts w:hint="eastAsia" w:ascii="宋体" w:hAnsi="宋体"/>
          <w:b/>
          <w:color w:val="000000"/>
          <w:szCs w:val="21"/>
        </w:rPr>
      </w:pPr>
    </w:p>
    <w:p>
      <w:pPr>
        <w:pStyle w:val="2"/>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组装过程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组装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color w:val="00000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2022-08-</w:t>
            </w:r>
            <w:bookmarkEnd w:id="35"/>
            <w:r>
              <w:rPr>
                <w:rFonts w:hint="eastAsia" w:ascii="宋体"/>
                <w:b/>
                <w:color w:val="000000"/>
                <w:szCs w:val="21"/>
                <w:lang w:val="en-US" w:eastAsia="zh-CN"/>
              </w:rPr>
              <w:t>30至 2022-08-31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高压配电开关控制设备的加工、销售</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drawing>
          <wp:inline distT="0" distB="0" distL="114300" distR="114300">
            <wp:extent cx="793750" cy="1492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5"/>
        <w:gridCol w:w="1330"/>
        <w:gridCol w:w="129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33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9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4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 xml:space="preserve"> 1</w:t>
            </w:r>
          </w:p>
        </w:tc>
        <w:tc>
          <w:tcPr>
            <w:tcW w:w="5413"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 xml:space="preserve">       外包过程未识别</w:t>
            </w:r>
          </w:p>
        </w:tc>
        <w:tc>
          <w:tcPr>
            <w:tcW w:w="1330" w:type="dxa"/>
            <w:vAlign w:val="center"/>
          </w:tcPr>
          <w:p>
            <w:pPr>
              <w:pStyle w:val="2"/>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8.4.1</w:t>
            </w:r>
          </w:p>
        </w:tc>
        <w:tc>
          <w:tcPr>
            <w:tcW w:w="1290" w:type="dxa"/>
            <w:vAlign w:val="center"/>
          </w:tcPr>
          <w:p>
            <w:pPr>
              <w:pStyle w:val="2"/>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8.4.1</w:t>
            </w:r>
          </w:p>
        </w:tc>
        <w:tc>
          <w:tcPr>
            <w:tcW w:w="1147" w:type="dxa"/>
            <w:vAlign w:val="center"/>
          </w:tcPr>
          <w:p>
            <w:pPr>
              <w:pStyle w:val="2"/>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541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1330" w:type="dxa"/>
            <w:vAlign w:val="center"/>
          </w:tcPr>
          <w:p>
            <w:pPr>
              <w:pStyle w:val="2"/>
              <w:pBdr>
                <w:bottom w:val="none" w:color="auto" w:sz="0" w:space="0"/>
              </w:pBdr>
              <w:ind w:right="600"/>
              <w:jc w:val="both"/>
              <w:rPr>
                <w:color w:val="000000"/>
                <w:sz w:val="21"/>
                <w:szCs w:val="21"/>
              </w:rPr>
            </w:pPr>
          </w:p>
        </w:tc>
        <w:tc>
          <w:tcPr>
            <w:tcW w:w="1290" w:type="dxa"/>
            <w:vAlign w:val="center"/>
          </w:tcPr>
          <w:p>
            <w:pPr>
              <w:pStyle w:val="2"/>
              <w:pBdr>
                <w:bottom w:val="none" w:color="auto" w:sz="0" w:space="0"/>
              </w:pBdr>
              <w:ind w:right="600"/>
              <w:jc w:val="both"/>
              <w:rPr>
                <w:color w:val="000000"/>
                <w:sz w:val="21"/>
                <w:szCs w:val="21"/>
              </w:rPr>
            </w:pPr>
          </w:p>
        </w:tc>
        <w:tc>
          <w:tcPr>
            <w:tcW w:w="1147"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541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1330" w:type="dxa"/>
            <w:vAlign w:val="center"/>
          </w:tcPr>
          <w:p>
            <w:pPr>
              <w:pStyle w:val="2"/>
              <w:pBdr>
                <w:bottom w:val="none" w:color="auto" w:sz="0" w:space="0"/>
              </w:pBdr>
              <w:ind w:right="600"/>
              <w:jc w:val="both"/>
              <w:rPr>
                <w:color w:val="000000"/>
                <w:sz w:val="21"/>
                <w:szCs w:val="21"/>
              </w:rPr>
            </w:pPr>
          </w:p>
        </w:tc>
        <w:tc>
          <w:tcPr>
            <w:tcW w:w="1290" w:type="dxa"/>
            <w:vAlign w:val="center"/>
          </w:tcPr>
          <w:p>
            <w:pPr>
              <w:pStyle w:val="2"/>
              <w:pBdr>
                <w:bottom w:val="none" w:color="auto" w:sz="0" w:space="0"/>
              </w:pBdr>
              <w:ind w:right="600"/>
              <w:jc w:val="both"/>
              <w:rPr>
                <w:color w:val="000000"/>
                <w:sz w:val="21"/>
                <w:szCs w:val="21"/>
              </w:rPr>
            </w:pPr>
          </w:p>
        </w:tc>
        <w:tc>
          <w:tcPr>
            <w:tcW w:w="1147"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541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1330" w:type="dxa"/>
            <w:vAlign w:val="center"/>
          </w:tcPr>
          <w:p>
            <w:pPr>
              <w:pStyle w:val="2"/>
              <w:pBdr>
                <w:bottom w:val="none" w:color="auto" w:sz="0" w:space="0"/>
              </w:pBdr>
              <w:ind w:right="600"/>
              <w:jc w:val="both"/>
              <w:rPr>
                <w:color w:val="000000"/>
                <w:sz w:val="21"/>
                <w:szCs w:val="21"/>
              </w:rPr>
            </w:pPr>
          </w:p>
        </w:tc>
        <w:tc>
          <w:tcPr>
            <w:tcW w:w="1290" w:type="dxa"/>
            <w:vAlign w:val="center"/>
          </w:tcPr>
          <w:p>
            <w:pPr>
              <w:pStyle w:val="2"/>
              <w:pBdr>
                <w:bottom w:val="none" w:color="auto" w:sz="0" w:space="0"/>
              </w:pBdr>
              <w:ind w:right="600"/>
              <w:jc w:val="both"/>
              <w:rPr>
                <w:color w:val="000000"/>
                <w:sz w:val="21"/>
                <w:szCs w:val="21"/>
              </w:rPr>
            </w:pPr>
          </w:p>
        </w:tc>
        <w:tc>
          <w:tcPr>
            <w:tcW w:w="1147"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5413"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1330" w:type="dxa"/>
            <w:vAlign w:val="center"/>
          </w:tcPr>
          <w:p>
            <w:pPr>
              <w:pStyle w:val="2"/>
              <w:pBdr>
                <w:bottom w:val="none" w:color="auto" w:sz="0" w:space="0"/>
              </w:pBdr>
              <w:ind w:right="600"/>
              <w:jc w:val="both"/>
              <w:rPr>
                <w:color w:val="000000"/>
                <w:sz w:val="21"/>
                <w:szCs w:val="21"/>
              </w:rPr>
            </w:pPr>
          </w:p>
        </w:tc>
        <w:tc>
          <w:tcPr>
            <w:tcW w:w="1290" w:type="dxa"/>
            <w:vAlign w:val="center"/>
          </w:tcPr>
          <w:p>
            <w:pPr>
              <w:pStyle w:val="2"/>
              <w:pBdr>
                <w:bottom w:val="none" w:color="auto" w:sz="0" w:space="0"/>
              </w:pBdr>
              <w:ind w:right="600"/>
              <w:jc w:val="both"/>
              <w:rPr>
                <w:color w:val="000000"/>
                <w:sz w:val="21"/>
                <w:szCs w:val="21"/>
              </w:rPr>
            </w:pPr>
          </w:p>
        </w:tc>
        <w:tc>
          <w:tcPr>
            <w:tcW w:w="1147"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045773C8"/>
    <w:rsid w:val="06DD649D"/>
    <w:rsid w:val="0F621BE1"/>
    <w:rsid w:val="2F777186"/>
    <w:rsid w:val="380644B9"/>
    <w:rsid w:val="446256E8"/>
    <w:rsid w:val="594B23BF"/>
    <w:rsid w:val="68F14D31"/>
    <w:rsid w:val="70CB295F"/>
    <w:rsid w:val="79165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21</TotalTime>
  <ScaleCrop>false</ScaleCrop>
  <LinksUpToDate>false</LinksUpToDate>
  <CharactersWithSpaces>9461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2022-08-31T03:19:01Z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2052-11.1.0.12353</vt:lpwstr>
  </property>
</Properties>
</file>