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0594-2022-E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重庆味典餐饮管理有限公司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重庆味典餐饮管理有限公司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重庆市渝中区八一路168号14楼1402</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重庆市渝中区八一路218号21-11#</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张庆华</w:t>
            </w:r>
            <w:bookmarkEnd w:id="10"/>
          </w:p>
        </w:tc>
        <w:tc>
          <w:tcPr>
            <w:tcW w:w="1313" w:type="dxa"/>
            <w:vAlign w:val="center"/>
          </w:tcPr>
          <w:p>
            <w:r>
              <w:rPr>
                <w:rFonts w:hint="eastAsia"/>
              </w:rPr>
              <w:t>电话.</w:t>
            </w:r>
          </w:p>
        </w:tc>
        <w:tc>
          <w:tcPr>
            <w:tcW w:w="2180" w:type="dxa"/>
            <w:vAlign w:val="center"/>
          </w:tcPr>
          <w:p>
            <w:bookmarkStart w:id="11" w:name="联系人电话"/>
            <w:r>
              <w:t>13696445684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郑勇</w:t>
            </w:r>
            <w:bookmarkEnd w:id="13"/>
          </w:p>
        </w:tc>
        <w:tc>
          <w:tcPr>
            <w:tcW w:w="1313" w:type="dxa"/>
            <w:vAlign w:val="center"/>
          </w:tcPr>
          <w:p>
            <w:r>
              <w:rPr>
                <w:rFonts w:hint="eastAsia"/>
              </w:rPr>
              <w:t>管理者代表</w:t>
            </w:r>
          </w:p>
        </w:tc>
        <w:tc>
          <w:tcPr>
            <w:tcW w:w="2180" w:type="dxa"/>
          </w:tcPr>
          <w:p>
            <w:bookmarkStart w:id="14" w:name="管理者代表"/>
            <w:r>
              <w:t>张庆华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宋体" w:eastAsia="宋体"/>
                <w:color w:val="000000"/>
                <w:szCs w:val="21"/>
                <w:lang w:eastAsia="zh-CN"/>
              </w:rPr>
            </w:pPr>
            <w:r>
              <w:rPr>
                <w:rFonts w:hint="eastAsia" w:eastAsia="宋体"/>
                <w:bCs/>
                <w:sz w:val="21"/>
                <w:szCs w:val="21"/>
              </w:rPr>
              <w:t>餐饮食堂工艺流程：采</w:t>
            </w:r>
            <w:r>
              <w:rPr>
                <w:rFonts w:hint="eastAsia"/>
                <w:bCs/>
                <w:sz w:val="21"/>
                <w:szCs w:val="21"/>
              </w:rPr>
              <w:t>购——进料检验——入库、储存——原材料清洗——切配——烹饪——留样——分餐——厨房卫生——餐具消毒——厨余垃圾处理。</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2022年08月25日 上午至2022年08月25日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sz w:val="21"/>
                <w:szCs w:val="21"/>
                <w:highlight w:val="none"/>
                <w:u w:val="none"/>
              </w:rPr>
              <w:t>重庆市渝中区八一路218号21-11#</w:t>
            </w:r>
            <w:r>
              <w:rPr>
                <w:rFonts w:hint="eastAsia"/>
                <w:sz w:val="21"/>
                <w:szCs w:val="21"/>
                <w:highlight w:val="none"/>
                <w:u w:val="none"/>
                <w:lang w:val="en-US" w:eastAsia="zh-CN"/>
              </w:rPr>
              <w:t>/</w:t>
            </w:r>
            <w:r>
              <w:rPr>
                <w:szCs w:val="21"/>
                <w:highlight w:val="none"/>
                <w:u w:val="none"/>
              </w:rPr>
              <w:t>重庆市江北区紫金山102号重庆市精神卫生中心（病员食堂）</w:t>
            </w:r>
            <w:r>
              <w:rPr>
                <w:rFonts w:hint="eastAsia"/>
                <w:szCs w:val="21"/>
                <w:highlight w:val="none"/>
                <w:u w:val="none"/>
              </w:rPr>
              <w:t>（承包食堂）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餐饮管理服务(热食类食品制售)所涉及场所的相关环境管理活动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30.05.00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重庆味典餐饮管理有限公司</w:t>
            </w:r>
            <w:r>
              <w:rPr>
                <w:rFonts w:hint="eastAsia"/>
                <w:sz w:val="21"/>
                <w:szCs w:val="21"/>
                <w:lang w:val="en-US" w:eastAsia="zh-CN"/>
              </w:rPr>
              <w:t>/</w:t>
            </w:r>
            <w:r>
              <w:rPr>
                <w:sz w:val="21"/>
                <w:szCs w:val="21"/>
              </w:rPr>
              <w:t>重庆市渝中区八一路168号14楼1402</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重庆市</w:t>
            </w:r>
            <w:r>
              <w:rPr>
                <w:sz w:val="21"/>
                <w:szCs w:val="21"/>
                <w:highlight w:val="none"/>
              </w:rPr>
              <w:t>渝中区八一路218号21-11#</w:t>
            </w:r>
            <w:r>
              <w:rPr>
                <w:rFonts w:hint="eastAsia"/>
                <w:sz w:val="21"/>
                <w:szCs w:val="21"/>
                <w:highlight w:val="none"/>
                <w:u w:val="none"/>
                <w:lang w:val="en-US" w:eastAsia="zh-CN"/>
              </w:rPr>
              <w:t>/</w:t>
            </w:r>
            <w:r>
              <w:rPr>
                <w:szCs w:val="21"/>
                <w:highlight w:val="none"/>
                <w:u w:val="none"/>
              </w:rPr>
              <w:t>重庆市江北区紫金山102号重庆市精神卫生中心</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25</w:t>
            </w:r>
          </w:p>
        </w:tc>
        <w:tc>
          <w:tcPr>
            <w:tcW w:w="2803" w:type="dxa"/>
            <w:vAlign w:val="center"/>
          </w:tcPr>
          <w:p>
            <w:pPr>
              <w:pStyle w:val="21"/>
              <w:rPr>
                <w:rFonts w:ascii="Times New Roman" w:hAnsi="Times New Roman" w:eastAsia="黑体" w:cs="Arial"/>
                <w:kern w:val="2"/>
                <w:sz w:val="21"/>
                <w:szCs w:val="21"/>
                <w:lang w:val="en-US" w:eastAsia="ja-JP" w:bidi="ar-SA"/>
              </w:rPr>
            </w:pPr>
            <w:r>
              <w:rPr>
                <w:rFonts w:hint="eastAsia" w:eastAsia="宋体"/>
                <w:lang w:val="en-US" w:eastAsia="zh-CN"/>
              </w:rPr>
              <w:t>E：</w:t>
            </w:r>
            <w:r>
              <w:t>餐饮管理服务(热食类食品制售)所涉及场所的相关环境管理活动</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0"/>
                <w:szCs w:val="20"/>
                <w:lang w:val="en-GB" w:eastAsia="de-DE" w:bidi="ar-SA"/>
              </w:rPr>
              <w:t>GB/T24001-2016</w:t>
            </w:r>
            <w:r>
              <w:rPr>
                <w:rFonts w:hint="eastAsia" w:ascii="Times New Roman" w:hAnsi="Times New Roman" w:cs="Times New Roman"/>
                <w:kern w:val="2"/>
                <w:sz w:val="20"/>
                <w:szCs w:val="20"/>
                <w:lang w:val="en-US" w:eastAsia="zh-CN" w:bidi="ar-SA"/>
              </w:rPr>
              <w:t>；</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tc>
        <w:tc>
          <w:tcPr>
            <w:tcW w:w="2179" w:type="dxa"/>
            <w:vAlign w:val="center"/>
          </w:tcPr>
          <w:p>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2020-N1EMS-1267598</w:t>
            </w:r>
          </w:p>
        </w:tc>
        <w:tc>
          <w:tcPr>
            <w:tcW w:w="2179" w:type="dxa"/>
            <w:vAlign w:val="center"/>
          </w:tcPr>
          <w:p>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一阶段无问题验证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餐饮管理服务(热食类食品制售)所涉及场所的相关环境管理活动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9" w:hRule="exact"/>
          <w:jc w:val="center"/>
        </w:trPr>
        <w:tc>
          <w:tcPr>
            <w:tcW w:w="1842" w:type="dxa"/>
            <w:vAlign w:val="top"/>
          </w:tcPr>
          <w:p>
            <w:r>
              <w:rPr>
                <w:rFonts w:hint="eastAsia"/>
              </w:rPr>
              <w:t>审核组长签字</w:t>
            </w:r>
          </w:p>
        </w:tc>
        <w:tc>
          <w:tcPr>
            <w:tcW w:w="2764" w:type="dxa"/>
            <w:tcMar>
              <w:left w:w="113" w:type="dxa"/>
            </w:tcMar>
            <w:vAlign w:val="top"/>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340995</wp:posOffset>
                  </wp:positionH>
                  <wp:positionV relativeFrom="paragraph">
                    <wp:posOffset>53340</wp:posOffset>
                  </wp:positionV>
                  <wp:extent cx="812800" cy="400050"/>
                  <wp:effectExtent l="0" t="0" r="6350" b="0"/>
                  <wp:wrapNone/>
                  <wp:docPr id="1" name="图片 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lang w:val="en-US" w:eastAsia="zh-CN"/>
              </w:rPr>
              <w:t>2022年8月25日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hd w:val="clear" w:color="auto" w:fill="EBF1DE" w:themeFill="accent3" w:themeFillTint="32"/>
      </w:pPr>
    </w:p>
    <w:p>
      <w:pPr>
        <w:shd w:val="clear" w:color="auto" w:fill="EBF1DE" w:themeFill="accent3" w:themeFillTint="32"/>
      </w:pPr>
      <w:r>
        <w:t>附件 ISO 14001:2015 (若不是ISO 14001:2015审核请删除)</w:t>
      </w:r>
    </w:p>
    <w:tbl>
      <w:tblPr>
        <w:tblStyle w:val="10"/>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jc w:val="both"/>
              <w:rPr>
                <w:rFonts w:hint="eastAsia" w:ascii="Times New Roman" w:hAnsi="Times New Roman" w:eastAsia="宋体" w:cs="Times New Roman"/>
                <w:lang w:val="en-GB" w:eastAsia="zh-CN"/>
              </w:rPr>
            </w:pPr>
            <w:r>
              <w:rPr>
                <w:rFonts w:hint="eastAsia"/>
              </w:rPr>
              <w:t>最高管理者制定了文件化的管理体系方针：</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食品安全 绿色环保 满意客户 回报社会</w:t>
            </w:r>
            <w:r>
              <w:rPr>
                <w:rFonts w:hint="eastAsia" w:ascii="Times New Roman" w:hAnsi="Times New Roman" w:eastAsia="宋体" w:cs="Times New Roman"/>
                <w:lang w:val="en-GB"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Theme="minorEastAsia"/>
                      <w:lang w:val="en-US" w:eastAsia="zh-CN"/>
                    </w:rPr>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爆炸</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固废排放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废水排放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噪声排放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废气排放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□资源消耗 </w:t>
            </w:r>
            <w:r>
              <w:rPr>
                <w:rFonts w:hint="eastAsia"/>
                <w:lang w:eastAsia="zh-CN"/>
              </w:rPr>
              <w:t>■</w:t>
            </w:r>
            <w:r>
              <w:rPr>
                <w:rFonts w:hint="eastAsia"/>
              </w:rPr>
              <w:t xml:space="preserve">废水排放  </w:t>
            </w:r>
            <w:r>
              <w:rPr>
                <w:rFonts w:hint="eastAsia"/>
                <w:lang w:eastAsia="zh-CN"/>
              </w:rPr>
              <w:t>■</w:t>
            </w:r>
            <w:r>
              <w:rPr>
                <w:rFonts w:hint="eastAsia"/>
              </w:rPr>
              <w:t xml:space="preserve">废气排放 </w:t>
            </w:r>
            <w:r>
              <w:rPr>
                <w:rFonts w:hint="eastAsia"/>
                <w:lang w:eastAsia="zh-CN"/>
              </w:rPr>
              <w:t>□</w:t>
            </w:r>
            <w:r>
              <w:rPr>
                <w:rFonts w:hint="eastAsia"/>
              </w:rPr>
              <w:t xml:space="preserve">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lang w:eastAsia="zh-CN"/>
              </w:rPr>
              <w:t>■</w:t>
            </w: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highlight w:val="none"/>
                    </w:rPr>
                  </w:pPr>
                  <w:r>
                    <w:rPr>
                      <w:rFonts w:hint="eastAsia" w:ascii="宋体" w:hAnsi="宋体"/>
                      <w:color w:val="auto"/>
                      <w:kern w:val="2"/>
                      <w:sz w:val="21"/>
                      <w:szCs w:val="21"/>
                      <w:highlight w:val="none"/>
                    </w:rPr>
                    <w:t>对固体废弃物处置率100%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各部门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合规处置率100%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highlight w:val="none"/>
                    </w:rPr>
                  </w:pPr>
                  <w:r>
                    <w:rPr>
                      <w:rFonts w:hint="eastAsia" w:ascii="宋体" w:hAnsi="宋体"/>
                      <w:color w:val="auto"/>
                      <w:kern w:val="2"/>
                      <w:sz w:val="21"/>
                      <w:szCs w:val="21"/>
                      <w:highlight w:val="none"/>
                      <w:lang w:eastAsia="zh-CN"/>
                    </w:rPr>
                    <w:t>火灾、</w:t>
                  </w:r>
                  <w:r>
                    <w:rPr>
                      <w:rFonts w:hint="eastAsia" w:ascii="宋体" w:hAnsi="宋体"/>
                      <w:color w:val="auto"/>
                      <w:kern w:val="2"/>
                      <w:sz w:val="21"/>
                      <w:szCs w:val="21"/>
                      <w:highlight w:val="none"/>
                      <w:lang w:val="en-US" w:eastAsia="zh-CN"/>
                    </w:rPr>
                    <w:t>爆炸</w:t>
                  </w:r>
                  <w:r>
                    <w:rPr>
                      <w:rFonts w:hint="eastAsia" w:ascii="宋体" w:hAnsi="宋体"/>
                      <w:color w:val="auto"/>
                      <w:kern w:val="2"/>
                      <w:sz w:val="21"/>
                      <w:szCs w:val="21"/>
                      <w:highlight w:val="none"/>
                      <w:lang w:eastAsia="zh-CN"/>
                    </w:rPr>
                    <w:t>事故发生数为0</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各部门</w:t>
                  </w:r>
                </w:p>
              </w:tc>
              <w:tc>
                <w:tcPr>
                  <w:tcW w:w="1774" w:type="dxa"/>
                  <w:shd w:val="clear" w:color="auto" w:fill="auto"/>
                  <w:vAlign w:val="center"/>
                </w:tcPr>
                <w:p>
                  <w:pPr>
                    <w:shd w:val="clear" w:color="auto" w:fill="EBF1DE" w:themeFill="accent3" w:themeFillTint="32"/>
                    <w:jc w:val="left"/>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废水排放</w:t>
                  </w:r>
                </w:p>
              </w:tc>
              <w:tc>
                <w:tcPr>
                  <w:tcW w:w="3136" w:type="dxa"/>
                  <w:shd w:val="clear" w:color="auto" w:fill="auto"/>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管理方案管理</w:t>
                  </w:r>
                </w:p>
              </w:tc>
              <w:tc>
                <w:tcPr>
                  <w:tcW w:w="1350"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eastAsia="宋体" w:cs="Times New Roman"/>
                      <w:kern w:val="2"/>
                      <w:sz w:val="21"/>
                      <w:szCs w:val="24"/>
                      <w:highlight w:val="none"/>
                      <w:lang w:val="en-US" w:eastAsia="zh-CN" w:bidi="ar-SA"/>
                    </w:rPr>
                    <w:t>运营部</w:t>
                  </w:r>
                </w:p>
              </w:tc>
              <w:tc>
                <w:tcPr>
                  <w:tcW w:w="1774" w:type="dxa"/>
                  <w:shd w:val="clear" w:color="auto" w:fill="auto"/>
                  <w:vAlign w:val="center"/>
                </w:tcPr>
                <w:p>
                  <w:pPr>
                    <w:shd w:val="clear" w:color="auto" w:fill="EBF1DE" w:themeFill="accent3" w:themeFillTint="32"/>
                    <w:jc w:val="left"/>
                    <w:rPr>
                      <w:rFonts w:hint="default" w:ascii="宋体" w:hAnsi="宋体" w:eastAsia="宋体"/>
                      <w:highlight w:val="none"/>
                      <w:lang w:val="en-US" w:eastAsia="zh-CN"/>
                    </w:rPr>
                  </w:pPr>
                  <w:r>
                    <w:rPr>
                      <w:rFonts w:hint="eastAsia" w:ascii="宋体" w:hAnsi="宋体"/>
                      <w:highlight w:val="none"/>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噪声排放</w:t>
                  </w:r>
                </w:p>
              </w:tc>
              <w:tc>
                <w:tcPr>
                  <w:tcW w:w="3136" w:type="dxa"/>
                  <w:shd w:val="clear" w:color="auto" w:fill="auto"/>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管理方案管理</w:t>
                  </w:r>
                </w:p>
              </w:tc>
              <w:tc>
                <w:tcPr>
                  <w:tcW w:w="1350" w:type="dxa"/>
                  <w:shd w:val="clear" w:color="auto" w:fill="auto"/>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eastAsia="宋体" w:cs="Times New Roman"/>
                      <w:kern w:val="2"/>
                      <w:sz w:val="21"/>
                      <w:szCs w:val="24"/>
                      <w:highlight w:val="none"/>
                      <w:lang w:val="en-US" w:eastAsia="zh-CN" w:bidi="ar-SA"/>
                    </w:rPr>
                    <w:t>运营部</w:t>
                  </w:r>
                </w:p>
              </w:tc>
              <w:tc>
                <w:tcPr>
                  <w:tcW w:w="1774" w:type="dxa"/>
                  <w:shd w:val="clear" w:color="auto" w:fill="auto"/>
                  <w:vAlign w:val="center"/>
                </w:tcPr>
                <w:p>
                  <w:pPr>
                    <w:shd w:val="clear" w:color="auto" w:fill="EBF1DE" w:themeFill="accent3" w:themeFillTint="32"/>
                    <w:jc w:val="left"/>
                    <w:rPr>
                      <w:rFonts w:ascii="宋体" w:hAnsi="宋体"/>
                      <w:highlight w:val="none"/>
                    </w:rPr>
                  </w:pPr>
                  <w:r>
                    <w:rPr>
                      <w:rFonts w:hint="eastAsia" w:ascii="宋体" w:hAnsi="宋体"/>
                      <w:highlight w:val="none"/>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废气排放</w:t>
                  </w:r>
                </w:p>
              </w:tc>
              <w:tc>
                <w:tcPr>
                  <w:tcW w:w="3136" w:type="dxa"/>
                  <w:shd w:val="clear" w:color="auto" w:fill="auto"/>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管理方案管理</w:t>
                  </w:r>
                </w:p>
              </w:tc>
              <w:tc>
                <w:tcPr>
                  <w:tcW w:w="1350" w:type="dxa"/>
                  <w:shd w:val="clear" w:color="auto" w:fill="auto"/>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eastAsia="宋体" w:cs="Times New Roman"/>
                      <w:kern w:val="2"/>
                      <w:sz w:val="21"/>
                      <w:szCs w:val="24"/>
                      <w:highlight w:val="none"/>
                      <w:lang w:val="en-US" w:eastAsia="zh-CN" w:bidi="ar-SA"/>
                    </w:rPr>
                    <w:t>运营部</w:t>
                  </w:r>
                </w:p>
              </w:tc>
              <w:tc>
                <w:tcPr>
                  <w:tcW w:w="1774" w:type="dxa"/>
                  <w:shd w:val="clear" w:color="auto" w:fill="auto"/>
                  <w:vAlign w:val="center"/>
                </w:tcPr>
                <w:p>
                  <w:pPr>
                    <w:shd w:val="clear" w:color="auto" w:fill="EBF1DE" w:themeFill="accent3" w:themeFillTint="32"/>
                    <w:jc w:val="left"/>
                    <w:rPr>
                      <w:rFonts w:ascii="宋体" w:hAnsi="宋体"/>
                      <w:highlight w:val="none"/>
                    </w:rPr>
                  </w:pPr>
                  <w:r>
                    <w:rPr>
                      <w:rFonts w:hint="eastAsia" w:ascii="宋体" w:hAnsi="宋体"/>
                      <w:highlight w:val="none"/>
                      <w:lang w:val="en-US" w:eastAsia="zh-CN"/>
                    </w:rPr>
                    <w:t>达标排放</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组织应确定、提供并维护所需的基础设施情况：</w:t>
            </w:r>
          </w:p>
          <w:p>
            <w:pPr>
              <w:shd w:val="clear" w:color="auto" w:fill="EBF1DE" w:themeFill="accent3" w:themeFillTint="32"/>
              <w:rPr>
                <w:rFonts w:ascii="Times New Roman" w:hAnsi="Times New Roman" w:cs="Times New Roman"/>
                <w:highlight w:val="none"/>
              </w:rPr>
            </w:pPr>
            <w:r>
              <w:rPr>
                <w:rFonts w:hint="eastAsia" w:ascii="Times New Roman" w:hAnsi="Times New Roman" w:cs="Times New Roman"/>
                <w:highlight w:val="none"/>
                <w:lang w:val="en-US" w:eastAsia="zh-CN"/>
              </w:rPr>
              <w:t>办公面积30平方米，食堂经营</w:t>
            </w:r>
            <w:r>
              <w:rPr>
                <w:rFonts w:hint="eastAsia" w:ascii="Times New Roman" w:hAnsi="Times New Roman" w:cs="Times New Roman"/>
                <w:highlight w:val="none"/>
              </w:rPr>
              <w:t xml:space="preserve">面积 </w:t>
            </w:r>
            <w:r>
              <w:rPr>
                <w:rFonts w:hint="eastAsia" w:ascii="Times New Roman" w:hAnsi="Times New Roman" w:cs="Times New Roman"/>
                <w:highlight w:val="none"/>
                <w:lang w:val="en-US" w:eastAsia="zh-CN"/>
              </w:rPr>
              <w:t>500</w:t>
            </w:r>
            <w:r>
              <w:rPr>
                <w:rFonts w:hint="eastAsia" w:ascii="Times New Roman" w:hAnsi="Times New Roman" w:cs="Times New Roman"/>
                <w:highlight w:val="none"/>
              </w:rPr>
              <w:t>平方米</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含食品制作间</w:t>
            </w:r>
            <w:r>
              <w:rPr>
                <w:rFonts w:hint="eastAsia" w:ascii="Times New Roman" w:hAnsi="Times New Roman" w:cs="Times New Roman"/>
                <w:highlight w:val="none"/>
              </w:rPr>
              <w:t xml:space="preserve"> </w:t>
            </w:r>
            <w:r>
              <w:rPr>
                <w:rFonts w:hint="eastAsia" w:ascii="Times New Roman" w:hAnsi="Times New Roman" w:cs="Times New Roman"/>
                <w:highlight w:val="none"/>
                <w:lang w:val="en-US" w:eastAsia="zh-CN"/>
              </w:rPr>
              <w:t>2</w:t>
            </w:r>
            <w:r>
              <w:rPr>
                <w:rFonts w:hint="eastAsia" w:ascii="Times New Roman" w:hAnsi="Times New Roman" w:cs="Times New Roman"/>
                <w:highlight w:val="none"/>
              </w:rPr>
              <w:t xml:space="preserve"> 个；库房 </w:t>
            </w:r>
            <w:r>
              <w:rPr>
                <w:rFonts w:hint="eastAsia" w:ascii="Times New Roman" w:hAnsi="Times New Roman" w:cs="Times New Roman"/>
                <w:highlight w:val="none"/>
                <w:lang w:val="en-US" w:eastAsia="zh-CN"/>
              </w:rPr>
              <w:t>4</w:t>
            </w:r>
            <w:r>
              <w:rPr>
                <w:rFonts w:hint="eastAsia" w:ascii="Times New Roman" w:hAnsi="Times New Roman" w:cs="Times New Roman"/>
                <w:highlight w:val="none"/>
              </w:rPr>
              <w:t xml:space="preserve"> 个</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餐厅1个</w:t>
            </w:r>
            <w:r>
              <w:rPr>
                <w:rFonts w:hint="eastAsia" w:ascii="Times New Roman" w:hAnsi="Times New Roman" w:cs="Times New Roman"/>
                <w:highlight w:val="none"/>
                <w:lang w:eastAsia="zh-CN"/>
              </w:rPr>
              <w:t>）</w:t>
            </w:r>
            <w:r>
              <w:rPr>
                <w:rFonts w:hint="eastAsia" w:ascii="Times New Roman" w:hAnsi="Times New Roman" w:cs="Times New Roman"/>
                <w:highlight w:val="none"/>
              </w:rPr>
              <w:t>；实验室   个；</w:t>
            </w:r>
          </w:p>
          <w:p>
            <w:pPr>
              <w:shd w:val="clear" w:color="auto" w:fill="EBF1DE" w:themeFill="accent3" w:themeFillTint="32"/>
              <w:rPr>
                <w:rFonts w:hint="eastAsia" w:ascii="Times New Roman" w:hAnsi="Times New Roman" w:cs="Times New Roman"/>
                <w:highlight w:val="none"/>
                <w:lang w:eastAsia="zh-CN"/>
              </w:rPr>
            </w:pPr>
            <w:r>
              <w:rPr>
                <w:rFonts w:hint="eastAsia" w:ascii="Times New Roman" w:hAnsi="Times New Roman" w:cs="Times New Roman"/>
                <w:highlight w:val="none"/>
              </w:rPr>
              <w:t>主要生产设备有：</w:t>
            </w:r>
            <w:r>
              <w:rPr>
                <w:rFonts w:hint="eastAsia" w:cs="Times New Roman"/>
                <w:highlight w:val="none"/>
                <w:lang w:val="en-US" w:eastAsia="zh-CN"/>
              </w:rPr>
              <w:t>电脑、打印机等</w:t>
            </w:r>
            <w:r>
              <w:rPr>
                <w:rFonts w:hint="eastAsia" w:ascii="Times New Roman" w:hAnsi="Times New Roman" w:cs="Times New Roman"/>
                <w:highlight w:val="none"/>
              </w:rPr>
              <w:t>办公设备、操作间、操作台、冰柜、消毒柜、烹饪器具、绞肉机、碎菜机、洗碗机等设施</w:t>
            </w:r>
            <w:r>
              <w:rPr>
                <w:rFonts w:hint="eastAsia" w:ascii="Times New Roman" w:hAnsi="Times New Roman" w:cs="Times New Roman"/>
                <w:highlight w:val="none"/>
                <w:lang w:eastAsia="zh-CN"/>
              </w:rPr>
              <w:t>。</w:t>
            </w:r>
          </w:p>
          <w:p>
            <w:pPr>
              <w:shd w:val="clear" w:color="auto" w:fill="EBF1DE" w:themeFill="accent3" w:themeFillTint="32"/>
              <w:rPr>
                <w:rFonts w:ascii="Times New Roman" w:hAnsi="Times New Roman" w:cs="Times New Roman"/>
              </w:rPr>
            </w:pPr>
            <w:r>
              <w:rPr>
                <w:rFonts w:hint="eastAsia" w:ascii="Times New Roman" w:hAnsi="Times New Roman" w:cs="Times New Roman"/>
              </w:rPr>
              <w:t>特种设备：</w:t>
            </w:r>
            <w:r>
              <w:rPr>
                <w:rFonts w:hint="eastAsia" w:ascii="Times New Roman" w:hAnsi="Times New Roman" w:cs="Times New Roman"/>
                <w:lang w:eastAsia="zh-CN"/>
              </w:rPr>
              <w:t>□</w:t>
            </w:r>
            <w:r>
              <w:rPr>
                <w:rFonts w:hint="eastAsia" w:ascii="Times New Roman" w:hAnsi="Times New Roman" w:cs="Times New Roman"/>
              </w:rPr>
              <w:t xml:space="preserve">叉车 </w:t>
            </w:r>
            <w:r>
              <w:rPr>
                <w:rFonts w:hint="eastAsia" w:ascii="Times New Roman" w:hAnsi="Times New Roman" w:cs="Times New Roman"/>
                <w:lang w:eastAsia="zh-CN"/>
              </w:rPr>
              <w:t>□</w:t>
            </w:r>
            <w:r>
              <w:rPr>
                <w:rFonts w:hint="eastAsia" w:ascii="Times New Roman" w:hAnsi="Times New Roman" w:cs="Times New Roman"/>
              </w:rPr>
              <w:t xml:space="preserve">行车 </w:t>
            </w:r>
            <w:r>
              <w:rPr>
                <w:rFonts w:hint="eastAsia" w:ascii="Times New Roman" w:hAnsi="Times New Roman" w:cs="Times New Roman"/>
                <w:lang w:eastAsia="zh-CN"/>
              </w:rPr>
              <w:t>□</w:t>
            </w:r>
            <w:r>
              <w:rPr>
                <w:rFonts w:hint="eastAsia" w:ascii="Times New Roman" w:hAnsi="Times New Roman" w:cs="Times New Roman"/>
              </w:rPr>
              <w:t xml:space="preserve">锅炉 </w:t>
            </w:r>
            <w:r>
              <w:rPr>
                <w:rFonts w:hint="eastAsia" w:ascii="Times New Roman" w:hAnsi="Times New Roman" w:cs="Times New Roman"/>
                <w:lang w:eastAsia="zh-CN"/>
              </w:rPr>
              <w:t>□</w:t>
            </w:r>
            <w:r>
              <w:rPr>
                <w:rFonts w:hint="eastAsia" w:ascii="Times New Roman" w:hAnsi="Times New Roman" w:cs="Times New Roman"/>
              </w:rPr>
              <w:t xml:space="preserve">电梯  </w:t>
            </w:r>
            <w:r>
              <w:rPr>
                <w:rFonts w:hint="eastAsia" w:ascii="Times New Roman" w:hAnsi="Times New Roman" w:cs="Times New Roman"/>
                <w:lang w:eastAsia="zh-CN"/>
              </w:rPr>
              <w:t>□</w:t>
            </w:r>
            <w:r>
              <w:rPr>
                <w:rFonts w:hint="eastAsia" w:ascii="Times New Roman" w:hAnsi="Times New Roman" w:cs="Times New Roman"/>
              </w:rPr>
              <w:t xml:space="preserve">压力容器  </w:t>
            </w:r>
            <w:r>
              <w:rPr>
                <w:rFonts w:hint="eastAsia" w:ascii="Times New Roman" w:hAnsi="Times New Roman" w:cs="Times New Roman"/>
                <w:lang w:eastAsia="zh-CN"/>
              </w:rPr>
              <w:t>□</w:t>
            </w:r>
            <w:r>
              <w:rPr>
                <w:rFonts w:hint="eastAsia" w:ascii="Times New Roman" w:hAnsi="Times New Roman" w:cs="Times New Roman"/>
              </w:rPr>
              <w:t xml:space="preserve">压力管道  </w:t>
            </w:r>
            <w:r>
              <w:rPr>
                <w:rFonts w:hint="eastAsia" w:ascii="Times New Roman" w:hAnsi="Times New Roman" w:cs="Times New Roman"/>
                <w:lang w:eastAsia="zh-CN"/>
              </w:rPr>
              <w:t>■</w:t>
            </w:r>
            <w:r>
              <w:rPr>
                <w:rFonts w:hint="eastAsia" w:ascii="Times New Roman" w:hAnsi="Times New Roman" w:cs="Times New Roman"/>
              </w:rPr>
              <w:t xml:space="preserve">不适用 </w:t>
            </w:r>
          </w:p>
          <w:p>
            <w:pPr>
              <w:shd w:val="clear" w:color="auto" w:fill="EBF1DE" w:themeFill="accent3" w:themeFillTint="32"/>
              <w:rPr>
                <w:rFonts w:ascii="Times New Roman" w:hAnsi="Times New Roman" w:cs="Times New Roman"/>
              </w:rPr>
            </w:pPr>
            <w:r>
              <w:rPr>
                <w:rFonts w:hint="eastAsia" w:ascii="Times New Roman" w:hAnsi="Times New Roman" w:cs="Times New Roman"/>
              </w:rPr>
              <w:t>辅助场所：</w:t>
            </w:r>
            <w:r>
              <w:rPr>
                <w:rFonts w:hint="eastAsia" w:ascii="Times New Roman" w:hAnsi="Times New Roman" w:cs="Times New Roman"/>
                <w:lang w:eastAsia="zh-CN"/>
              </w:rPr>
              <w:t>□</w:t>
            </w:r>
            <w:r>
              <w:rPr>
                <w:rFonts w:hint="eastAsia" w:ascii="Times New Roman" w:hAnsi="Times New Roman" w:cs="Times New Roman"/>
              </w:rPr>
              <w:t xml:space="preserve">高压配电室 </w:t>
            </w:r>
            <w:r>
              <w:rPr>
                <w:rFonts w:hint="eastAsia" w:ascii="Times New Roman" w:hAnsi="Times New Roman" w:cs="Times New Roman"/>
                <w:lang w:eastAsia="zh-CN"/>
              </w:rPr>
              <w:t>□</w:t>
            </w:r>
            <w:r>
              <w:rPr>
                <w:rFonts w:hint="eastAsia" w:ascii="Times New Roman" w:hAnsi="Times New Roman" w:cs="Times New Roman"/>
              </w:rPr>
              <w:t xml:space="preserve">低压配电室 </w:t>
            </w:r>
            <w:r>
              <w:rPr>
                <w:rFonts w:hint="eastAsia" w:ascii="Times New Roman" w:hAnsi="Times New Roman" w:cs="Times New Roman"/>
                <w:lang w:eastAsia="zh-CN"/>
              </w:rPr>
              <w:t>□</w:t>
            </w:r>
            <w:r>
              <w:rPr>
                <w:rFonts w:hint="eastAsia" w:ascii="Times New Roman" w:hAnsi="Times New Roman" w:cs="Times New Roman"/>
              </w:rPr>
              <w:t xml:space="preserve">空压站 </w:t>
            </w:r>
            <w:r>
              <w:rPr>
                <w:rFonts w:hint="eastAsia" w:ascii="Times New Roman" w:hAnsi="Times New Roman" w:cs="Times New Roman"/>
                <w:lang w:eastAsia="zh-CN"/>
              </w:rPr>
              <w:t>□</w:t>
            </w:r>
            <w:r>
              <w:rPr>
                <w:rFonts w:hint="eastAsia" w:ascii="Times New Roman" w:hAnsi="Times New Roman" w:cs="Times New Roman"/>
              </w:rPr>
              <w:t xml:space="preserve">锅炉房 </w:t>
            </w:r>
            <w:r>
              <w:rPr>
                <w:rFonts w:hint="eastAsia" w:ascii="Times New Roman" w:hAnsi="Times New Roman" w:cs="Times New Roman"/>
                <w:lang w:eastAsia="zh-CN"/>
              </w:rPr>
              <w:t>□</w:t>
            </w:r>
            <w:r>
              <w:rPr>
                <w:rFonts w:hint="eastAsia" w:ascii="Times New Roman" w:hAnsi="Times New Roman" w:cs="Times New Roman"/>
              </w:rPr>
              <w:t xml:space="preserve">食堂  </w:t>
            </w:r>
            <w:r>
              <w:rPr>
                <w:rFonts w:hint="eastAsia" w:ascii="Times New Roman" w:hAnsi="Times New Roman" w:cs="Times New Roman"/>
                <w:lang w:eastAsia="zh-CN"/>
              </w:rPr>
              <w:t>□</w:t>
            </w:r>
            <w:r>
              <w:rPr>
                <w:rFonts w:hint="eastAsia" w:ascii="Times New Roman" w:hAnsi="Times New Roman" w:cs="Times New Roman"/>
              </w:rPr>
              <w:t xml:space="preserve">危化品库  </w:t>
            </w:r>
          </w:p>
          <w:p>
            <w:pPr>
              <w:shd w:val="clear" w:color="auto" w:fill="EBF1DE" w:themeFill="accent3" w:themeFillTint="32"/>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eastAsia="宋体"/>
                      <w:lang w:val="en-US" w:eastAsia="zh-CN"/>
                    </w:rPr>
                  </w:pPr>
                  <w:r>
                    <w:rPr>
                      <w:rFonts w:hint="eastAsia"/>
                    </w:rPr>
                    <w:t>火灾</w:t>
                  </w:r>
                  <w:r>
                    <w:rPr>
                      <w:rFonts w:hint="eastAsia"/>
                      <w:lang w:eastAsia="zh-CN"/>
                    </w:rPr>
                    <w:t>、</w:t>
                  </w:r>
                  <w:r>
                    <w:rPr>
                      <w:rFonts w:hint="eastAsia"/>
                      <w:lang w:val="en-US" w:eastAsia="zh-CN"/>
                    </w:rPr>
                    <w:t>爆炸</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eastAsia="宋体"/>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lang w:eastAsia="zh-CN"/>
              </w:rPr>
              <w:t>□</w:t>
            </w:r>
            <w:r>
              <w:rPr>
                <w:rFonts w:hint="eastAsia" w:eastAsia="宋体"/>
              </w:rPr>
              <w:t xml:space="preserve">图纸 </w:t>
            </w:r>
            <w:r>
              <w:rPr>
                <w:rFonts w:hint="eastAsia" w:eastAsia="宋体"/>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w:t>
            </w:r>
            <w:r>
              <w:rPr>
                <w:rFonts w:hint="eastAsia" w:eastAsia="宋体"/>
              </w:rPr>
              <w:t>包括：《消防火灾应急疏散预案》</w:t>
            </w:r>
          </w:p>
          <w:p>
            <w:pPr>
              <w:shd w:val="clear" w:color="auto" w:fill="EBF1DE" w:themeFill="accent3" w:themeFillTint="32"/>
            </w:pPr>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eastAsia="宋体"/>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于20</w:t>
            </w:r>
            <w:r>
              <w:rPr>
                <w:rFonts w:hint="eastAsia"/>
                <w:lang w:val="en-US" w:eastAsia="zh-CN"/>
              </w:rPr>
              <w:t>22</w:t>
            </w:r>
            <w:r>
              <w:rPr>
                <w:rFonts w:hint="eastAsia"/>
              </w:rPr>
              <w:t>年</w:t>
            </w:r>
            <w:r>
              <w:rPr>
                <w:rFonts w:hint="eastAsia"/>
                <w:lang w:val="en-US" w:eastAsia="zh-CN"/>
              </w:rPr>
              <w:t>5</w:t>
            </w:r>
            <w:r>
              <w:rPr>
                <w:rFonts w:hint="eastAsia"/>
              </w:rPr>
              <w:t>月</w:t>
            </w:r>
            <w:r>
              <w:rPr>
                <w:rFonts w:hint="eastAsia"/>
                <w:lang w:val="en-US" w:eastAsia="zh-CN"/>
              </w:rPr>
              <w:t>7</w:t>
            </w:r>
            <w:r>
              <w:rPr>
                <w:rFonts w:hint="eastAsia"/>
              </w:rPr>
              <w:t>日进行了火灾消</w:t>
            </w:r>
            <w:r>
              <w:rPr>
                <w:rFonts w:hint="eastAsia" w:ascii="宋体" w:hAnsi="宋体" w:cs="宋体"/>
                <w:szCs w:val="21"/>
                <w:u w:val="none"/>
              </w:rPr>
              <w:t>防</w:t>
            </w:r>
            <w:r>
              <w:rPr>
                <w:rFonts w:hint="eastAsia"/>
                <w:u w:val="none"/>
              </w:rPr>
              <w:t>的演练</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rPr>
            </w:pPr>
            <w:r>
              <w:rPr>
                <w:rFonts w:hint="eastAsia"/>
              </w:rPr>
              <w:t>实施合规性评价的时间：</w:t>
            </w:r>
          </w:p>
          <w:p>
            <w:pPr>
              <w:shd w:val="clear" w:color="auto" w:fill="EBF1DE" w:themeFill="accent3" w:themeFillTint="32"/>
              <w:rPr>
                <w:rFonts w:hint="eastAsia"/>
              </w:rPr>
            </w:pPr>
            <w:r>
              <w:rPr>
                <w:rFonts w:hint="eastAsia"/>
                <w:lang w:eastAsia="zh-CN"/>
              </w:rPr>
              <w:t>■</w:t>
            </w:r>
            <w:r>
              <w:rPr>
                <w:rFonts w:hint="eastAsia"/>
              </w:rPr>
              <w:t>定期（每年） ：20</w:t>
            </w:r>
            <w:r>
              <w:rPr>
                <w:rFonts w:hint="eastAsia"/>
                <w:lang w:val="en-US" w:eastAsia="zh-CN"/>
              </w:rPr>
              <w:t>22</w:t>
            </w:r>
            <w:r>
              <w:rPr>
                <w:rFonts w:hint="eastAsia"/>
              </w:rPr>
              <w:t>年</w:t>
            </w:r>
            <w:r>
              <w:rPr>
                <w:rFonts w:hint="eastAsia"/>
                <w:lang w:val="en-US" w:eastAsia="zh-CN"/>
              </w:rPr>
              <w:t>4</w:t>
            </w:r>
            <w:r>
              <w:rPr>
                <w:rFonts w:hint="eastAsia"/>
              </w:rPr>
              <w:t>月</w:t>
            </w:r>
            <w:r>
              <w:rPr>
                <w:rFonts w:hint="eastAsia"/>
                <w:lang w:val="en-US" w:eastAsia="zh-CN"/>
              </w:rPr>
              <w:t>21</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 xml:space="preserve"> 年 </w:t>
            </w:r>
            <w:r>
              <w:rPr>
                <w:rFonts w:hint="eastAsia"/>
                <w:u w:val="single"/>
                <w:lang w:val="en-US" w:eastAsia="zh-CN"/>
              </w:rPr>
              <w:t>7</w:t>
            </w:r>
            <w:r>
              <w:rPr>
                <w:rFonts w:hint="eastAsia"/>
                <w:u w:val="single"/>
              </w:rPr>
              <w:t>月</w:t>
            </w:r>
            <w:r>
              <w:rPr>
                <w:rFonts w:hint="eastAsia"/>
                <w:u w:val="single"/>
                <w:lang w:val="en-US" w:eastAsia="zh-CN"/>
              </w:rPr>
              <w:t>8日</w:t>
            </w:r>
            <w:r>
              <w:rPr>
                <w:rFonts w:hint="eastAsia"/>
              </w:rPr>
              <w:t>实施了环境管理体系内部审核，对环境管理体系的符合性和有效性进行了审核。内审</w:t>
            </w:r>
            <w:r>
              <w:rPr>
                <w:rFonts w:hint="eastAsia"/>
                <w:lang w:val="en-US" w:eastAsia="zh-CN"/>
              </w:rPr>
              <w:t xml:space="preserve">发现的 </w:t>
            </w:r>
            <w:r>
              <w:rPr>
                <w:rFonts w:hint="eastAsia"/>
                <w:u w:val="single"/>
                <w:lang w:val="en-US" w:eastAsia="zh-CN"/>
              </w:rPr>
              <w:t xml:space="preserve">1 </w:t>
            </w:r>
            <w:r>
              <w:rPr>
                <w:rFonts w:hint="eastAsia"/>
                <w:lang w:val="en-US" w:eastAsia="zh-CN"/>
              </w:rPr>
              <w:t>项不符合</w:t>
            </w:r>
            <w:r>
              <w:rPr>
                <w:rFonts w:hint="eastAsia"/>
              </w:rPr>
              <w:t>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最高管理者已按策划的时间间隔，在 </w:t>
            </w:r>
            <w:r>
              <w:rPr>
                <w:rFonts w:hint="eastAsia"/>
                <w:u w:val="single"/>
                <w:lang w:val="en-US" w:eastAsia="zh-CN"/>
              </w:rPr>
              <w:t>2022</w:t>
            </w:r>
            <w:r>
              <w:rPr>
                <w:rFonts w:hint="eastAsia"/>
                <w:u w:val="single"/>
              </w:rPr>
              <w:t xml:space="preserve"> 年</w:t>
            </w:r>
            <w:r>
              <w:rPr>
                <w:rFonts w:hint="eastAsia"/>
                <w:u w:val="single"/>
                <w:lang w:val="en-US" w:eastAsia="zh-CN"/>
              </w:rPr>
              <w:t>8</w:t>
            </w:r>
            <w:r>
              <w:rPr>
                <w:rFonts w:hint="eastAsia"/>
                <w:u w:val="single"/>
              </w:rPr>
              <w:t xml:space="preserve"> 月</w:t>
            </w:r>
            <w:r>
              <w:rPr>
                <w:rFonts w:hint="eastAsia"/>
                <w:u w:val="single"/>
                <w:lang w:val="en-US" w:eastAsia="zh-CN"/>
              </w:rPr>
              <w:t>10</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eastAsia="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tbl>
      <w:tblPr>
        <w:tblStyle w:val="9"/>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2436"/>
        <w:gridCol w:w="787"/>
        <w:gridCol w:w="788"/>
        <w:gridCol w:w="787"/>
        <w:gridCol w:w="788"/>
        <w:gridCol w:w="788"/>
        <w:gridCol w:w="787"/>
        <w:gridCol w:w="788"/>
        <w:gridCol w:w="787"/>
        <w:gridCol w:w="789"/>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bookmarkStart w:id="34" w:name="_GoBack"/>
            <w:bookmarkEnd w:id="34"/>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6AF0A15"/>
    <w:rsid w:val="1B8E37DE"/>
    <w:rsid w:val="57AF6A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8623</Words>
  <Characters>9191</Characters>
  <Lines>150</Lines>
  <Paragraphs>42</Paragraphs>
  <TotalTime>2</TotalTime>
  <ScaleCrop>false</ScaleCrop>
  <LinksUpToDate>false</LinksUpToDate>
  <CharactersWithSpaces>10332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2022-08-25T05:55:17Z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