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四川耀进机电设备有限公司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余家龙，陈伟</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2022年08月26日 上午至2022年08月26日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