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0965-2021-EO-2022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重庆市建维工程检测有限公司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重庆市建维工程检测有限公司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重庆市江北区洋河一村69号名义层负1层、负2层</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重庆市江北区洋河一村69号名义层负1层、负2层</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刘严联</w:t>
            </w:r>
            <w:bookmarkEnd w:id="10"/>
          </w:p>
        </w:tc>
        <w:tc>
          <w:tcPr>
            <w:tcW w:w="1313" w:type="dxa"/>
            <w:vAlign w:val="center"/>
          </w:tcPr>
          <w:p>
            <w:r>
              <w:rPr>
                <w:rFonts w:hint="eastAsia"/>
              </w:rPr>
              <w:t>电话.</w:t>
            </w:r>
          </w:p>
        </w:tc>
        <w:tc>
          <w:tcPr>
            <w:tcW w:w="2180" w:type="dxa"/>
            <w:vAlign w:val="center"/>
          </w:tcPr>
          <w:p>
            <w:bookmarkStart w:id="11" w:name="联系人电话"/>
            <w:r>
              <w:t>023-67113993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叶翔宇</w:t>
            </w:r>
            <w:bookmarkEnd w:id="13"/>
          </w:p>
        </w:tc>
        <w:tc>
          <w:tcPr>
            <w:tcW w:w="1313" w:type="dxa"/>
            <w:vAlign w:val="center"/>
          </w:tcPr>
          <w:p>
            <w:r>
              <w:rPr>
                <w:rFonts w:hint="eastAsia"/>
              </w:rPr>
              <w:t>管理者代表</w:t>
            </w:r>
          </w:p>
        </w:tc>
        <w:tc>
          <w:tcPr>
            <w:tcW w:w="2180" w:type="dxa"/>
          </w:tcPr>
          <w:p>
            <w:bookmarkStart w:id="14" w:name="管理者代表"/>
            <w:r>
              <w:t>曾长宇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color w:val="000000" w:themeColor="text1"/>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eastAsia="宋体" w:cs="宋体"/>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cs="宋体"/>
                <w:sz w:val="21"/>
                <w:szCs w:val="21"/>
                <w:lang w:val="en-US" w:eastAsia="zh-CN"/>
              </w:rPr>
            </w:pPr>
            <w:r>
              <w:rPr>
                <w:rFonts w:hint="eastAsia" w:ascii="宋体" w:hAnsi="宋体" w:cs="宋体"/>
                <w:sz w:val="21"/>
                <w:szCs w:val="21"/>
                <w:lang w:val="en-US" w:eastAsia="zh-CN"/>
              </w:rPr>
              <w:t>检测服务流程：</w:t>
            </w:r>
          </w:p>
          <w:p>
            <w:r>
              <w:rPr>
                <w:rFonts w:hint="eastAsia" w:ascii="宋体" w:hAnsi="宋体" w:cs="宋体"/>
                <w:sz w:val="21"/>
                <w:szCs w:val="21"/>
                <w:lang w:val="en-US" w:eastAsia="zh-CN"/>
              </w:rPr>
              <w:t>合同签订—技术方案（需要时）---抽样（见证取样检测）—实施检测—出具报告—交付</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w:t>
            </w:r>
            <w:r>
              <w:rPr>
                <w:rFonts w:hint="eastAsia"/>
                <w:lang w:val="en-US" w:eastAsia="zh-CN"/>
              </w:rPr>
              <w:t>23</w:t>
            </w:r>
            <w:r>
              <w:rPr>
                <w:rFonts w:hint="eastAsia"/>
              </w:rPr>
              <w:t>日 上午至2022年08月2</w:t>
            </w:r>
            <w:r>
              <w:rPr>
                <w:rFonts w:hint="eastAsia"/>
                <w:lang w:val="en-US" w:eastAsia="zh-CN"/>
              </w:rPr>
              <w:t>4</w:t>
            </w:r>
            <w:r>
              <w:rPr>
                <w:rFonts w:hint="eastAsia"/>
              </w:rPr>
              <w:t>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重庆市江北区洋河一村69号名义层负1层、负2层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E：见证取样检测、市政道路工程检测、市政桥梁工程检测所涉及场所的相关环境管理活动</w:t>
            </w:r>
          </w:p>
          <w:p>
            <w:r>
              <w:t>O：见证取样检测、市政道路工程检测、市政桥梁工程检测所涉及场所的相关职业健康安全管理活动</w:t>
            </w:r>
          </w:p>
          <w:p>
            <w:r>
              <w:t>Q：见证取样检测、市政道路工程检测、市政桥梁工程检测</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E：34.02.00</w:t>
            </w:r>
          </w:p>
          <w:p>
            <w:r>
              <w:t>O：34.02.00</w:t>
            </w:r>
          </w:p>
          <w:p>
            <w:r>
              <w:t>Q：34.02.00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ascii="Times New Roman" w:hAnsi="Times New Roman" w:eastAsia="宋体" w:cs="Times New Roman"/>
              </w:rPr>
            </w:pPr>
            <w:r>
              <w:rPr>
                <w:rFonts w:hint="eastAsia" w:ascii="Times New Roman" w:hAnsi="Times New Roman" w:eastAsia="宋体" w:cs="Times New Roman"/>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lang w:val="en-US" w:eastAsia="zh-CN"/>
              </w:rPr>
              <w:t>Q:</w:t>
            </w:r>
            <w:r>
              <w:rPr>
                <w:rFonts w:hint="eastAsia" w:ascii="Times New Roman" w:hAnsi="Times New Roman" w:eastAsia="宋体" w:cs="Times New Roman"/>
              </w:rPr>
              <w:t>2021年07月19日</w:t>
            </w:r>
          </w:p>
          <w:p>
            <w:pPr>
              <w:rPr>
                <w:rFonts w:hint="eastAsia" w:ascii="Times New Roman" w:hAnsi="Times New Roman" w:eastAsia="宋体" w:cs="Times New Roman"/>
              </w:rPr>
            </w:pPr>
            <w:r>
              <w:rPr>
                <w:rFonts w:hint="eastAsia" w:ascii="Times New Roman" w:hAnsi="Times New Roman" w:eastAsia="宋体" w:cs="Times New Roman"/>
                <w:lang w:val="en-US" w:eastAsia="zh-CN"/>
              </w:rPr>
              <w:t>EO:</w:t>
            </w:r>
            <w:r>
              <w:rPr>
                <w:rFonts w:hint="eastAsia" w:ascii="Times New Roman" w:hAnsi="Times New Roman" w:eastAsia="宋体" w:cs="Times New Roman"/>
              </w:rPr>
              <w:t xml:space="preserve">2021年10月10日 </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认证证书有效期</w:t>
            </w:r>
          </w:p>
          <w:p>
            <w:pPr>
              <w:rPr>
                <w:rFonts w:hint="eastAsia" w:ascii="Times New Roman" w:hAnsi="Times New Roman" w:eastAsia="宋体" w:cs="Times New Roman"/>
              </w:rPr>
            </w:pPr>
            <w:r>
              <w:rPr>
                <w:rFonts w:hint="eastAsia" w:ascii="Times New Roman" w:hAnsi="Times New Roman" w:eastAsia="宋体" w:cs="Times New Roman"/>
              </w:rPr>
              <w:t>（初审除外）</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lang w:val="en-US" w:eastAsia="zh-CN"/>
              </w:rPr>
              <w:t>EO:</w:t>
            </w:r>
            <w:r>
              <w:rPr>
                <w:rFonts w:hint="eastAsia" w:ascii="Times New Roman" w:hAnsi="Times New Roman" w:eastAsia="宋体" w:cs="Times New Roman"/>
              </w:rPr>
              <w:t>有效至2024-10-24</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Q:</w:t>
            </w:r>
            <w:r>
              <w:rPr>
                <w:rFonts w:hint="eastAsia" w:ascii="Times New Roman" w:hAnsi="Times New Roman" w:eastAsia="宋体" w:cs="Times New Roman"/>
              </w:rPr>
              <w:t>有效至2022-08-19</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32"/>
        <w:gridCol w:w="1106"/>
        <w:gridCol w:w="1729"/>
        <w:gridCol w:w="174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32" w:type="dxa"/>
            <w:shd w:val="clear" w:color="auto" w:fill="F3F3F3"/>
            <w:tcMar>
              <w:left w:w="57" w:type="dxa"/>
              <w:right w:w="57" w:type="dxa"/>
            </w:tcMar>
          </w:tcPr>
          <w:p>
            <w:r>
              <w:rPr>
                <w:rFonts w:hint="eastAsia"/>
              </w:rPr>
              <w:t>经营场所的地址</w:t>
            </w:r>
          </w:p>
          <w:p>
            <w:r>
              <w:rPr>
                <w:rFonts w:hint="eastAsia"/>
              </w:rPr>
              <w:t>（多现场和临时现场）</w:t>
            </w:r>
          </w:p>
        </w:tc>
        <w:tc>
          <w:tcPr>
            <w:tcW w:w="1106" w:type="dxa"/>
            <w:shd w:val="clear" w:color="auto" w:fill="F3F3F3"/>
            <w:tcMar>
              <w:left w:w="57" w:type="dxa"/>
              <w:right w:w="57" w:type="dxa"/>
            </w:tcMar>
          </w:tcPr>
          <w:p>
            <w:r>
              <w:rPr>
                <w:rFonts w:hint="eastAsia"/>
              </w:rPr>
              <w:t>员工人数</w:t>
            </w:r>
          </w:p>
        </w:tc>
        <w:tc>
          <w:tcPr>
            <w:tcW w:w="1729" w:type="dxa"/>
            <w:shd w:val="clear" w:color="auto" w:fill="F3F3F3"/>
            <w:tcMar>
              <w:left w:w="57" w:type="dxa"/>
              <w:right w:w="57" w:type="dxa"/>
            </w:tcMar>
          </w:tcPr>
          <w:p>
            <w:r>
              <w:rPr>
                <w:rFonts w:hint="eastAsia"/>
              </w:rPr>
              <w:t>审核范围（产品和过程）</w:t>
            </w:r>
          </w:p>
          <w:p/>
          <w:p/>
        </w:tc>
        <w:tc>
          <w:tcPr>
            <w:tcW w:w="174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重庆市建维工程检测有限公司</w:t>
            </w:r>
            <w:r>
              <w:rPr>
                <w:rFonts w:hint="eastAsia"/>
                <w:sz w:val="21"/>
                <w:szCs w:val="21"/>
                <w:lang w:val="en-US" w:eastAsia="zh-CN"/>
              </w:rPr>
              <w:t>/</w:t>
            </w:r>
            <w:r>
              <w:rPr>
                <w:rFonts w:asciiTheme="minorEastAsia" w:hAnsiTheme="minorEastAsia" w:eastAsiaTheme="minorEastAsia"/>
                <w:sz w:val="20"/>
              </w:rPr>
              <w:t>重庆市江北区洋河一村69号名义层负1层、负2层</w:t>
            </w:r>
          </w:p>
        </w:tc>
        <w:tc>
          <w:tcPr>
            <w:tcW w:w="1732" w:type="dxa"/>
          </w:tcPr>
          <w:p>
            <w:pPr>
              <w:rPr>
                <w:lang w:val="de-DE" w:eastAsia="ja-JP"/>
              </w:rPr>
            </w:pPr>
            <w:r>
              <w:rPr>
                <w:rFonts w:asciiTheme="minorEastAsia" w:hAnsiTheme="minorEastAsia" w:eastAsiaTheme="minorEastAsia"/>
                <w:sz w:val="20"/>
              </w:rPr>
              <w:t>重庆市江北区洋河一村69号名义层负1层、负2层</w:t>
            </w:r>
          </w:p>
        </w:tc>
        <w:tc>
          <w:tcPr>
            <w:tcW w:w="1106" w:type="dxa"/>
            <w:vAlign w:val="center"/>
          </w:tcPr>
          <w:p>
            <w:pPr>
              <w:rPr>
                <w:rFonts w:hint="default" w:eastAsia="宋体"/>
                <w:lang w:val="en-US" w:eastAsia="zh-CN"/>
              </w:rPr>
            </w:pPr>
            <w:r>
              <w:rPr>
                <w:rFonts w:hint="eastAsia"/>
                <w:lang w:val="en-US" w:eastAsia="zh-CN"/>
              </w:rPr>
              <w:t>总人数28人，含临时场所人数</w:t>
            </w:r>
          </w:p>
        </w:tc>
        <w:tc>
          <w:tcPr>
            <w:tcW w:w="1729" w:type="dxa"/>
            <w:vAlign w:val="center"/>
          </w:tcPr>
          <w:p>
            <w:pPr>
              <w:rPr>
                <w:rFonts w:ascii="Times New Roman" w:hAnsi="Times New Roman" w:eastAsia="宋体" w:cs="Times New Roman"/>
                <w:sz w:val="21"/>
                <w:szCs w:val="21"/>
                <w:lang w:eastAsia="ja-JP"/>
              </w:rPr>
            </w:pPr>
            <w:r>
              <w:rPr>
                <w:rFonts w:ascii="Times New Roman" w:hAnsi="Times New Roman" w:eastAsia="宋体" w:cs="Times New Roman"/>
                <w:sz w:val="21"/>
                <w:szCs w:val="21"/>
              </w:rPr>
              <w:t>见证取样检测、市政道路工程检测、市政桥梁工程检测</w:t>
            </w:r>
          </w:p>
        </w:tc>
        <w:tc>
          <w:tcPr>
            <w:tcW w:w="1743"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GB/T19001-2016</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GB/T24001-2016</w:t>
            </w:r>
          </w:p>
          <w:p>
            <w:pPr>
              <w:rPr>
                <w:rFonts w:hint="eastAsia" w:ascii="Times New Roman" w:hAnsi="Times New Roman" w:eastAsia="宋体" w:cs="Times New Roman"/>
                <w:sz w:val="21"/>
                <w:szCs w:val="21"/>
                <w:lang w:val="en-US" w:eastAsia="ja-JP"/>
              </w:rPr>
            </w:pPr>
            <w:r>
              <w:rPr>
                <w:rFonts w:hint="eastAsia" w:ascii="Times New Roman" w:hAnsi="Times New Roman" w:eastAsia="宋体" w:cs="Times New Roman"/>
                <w:sz w:val="21"/>
                <w:szCs w:val="21"/>
              </w:rPr>
              <w:t xml:space="preserve">GB/T45001-2020 </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重庆市建维工程检测有限公司</w:t>
            </w:r>
            <w:r>
              <w:rPr>
                <w:rFonts w:hint="eastAsia"/>
                <w:sz w:val="21"/>
                <w:szCs w:val="21"/>
                <w:lang w:val="en-US" w:eastAsia="zh-CN"/>
              </w:rPr>
              <w:t>/</w:t>
            </w:r>
            <w:r>
              <w:rPr>
                <w:rFonts w:asciiTheme="minorEastAsia" w:hAnsiTheme="minorEastAsia" w:eastAsiaTheme="minorEastAsia"/>
                <w:sz w:val="20"/>
              </w:rPr>
              <w:t>重庆市江北区洋河一村69号名义层负1层、负2层</w:t>
            </w:r>
          </w:p>
        </w:tc>
        <w:tc>
          <w:tcPr>
            <w:tcW w:w="1732" w:type="dxa"/>
            <w:vAlign w:val="top"/>
          </w:tcPr>
          <w:p>
            <w:pPr>
              <w:rPr>
                <w:rFonts w:ascii="Times New Roman" w:hAnsi="Times New Roman" w:eastAsia="宋体" w:cs="Times New Roman"/>
                <w:kern w:val="2"/>
                <w:sz w:val="21"/>
                <w:szCs w:val="24"/>
                <w:lang w:val="de-DE" w:eastAsia="ja-JP" w:bidi="ar-SA"/>
              </w:rPr>
            </w:pPr>
            <w:r>
              <w:rPr>
                <w:rFonts w:hint="eastAsia"/>
                <w:color w:val="000000"/>
                <w:lang w:val="en-US" w:eastAsia="zh-CN"/>
              </w:rPr>
              <w:t>临时场所：</w:t>
            </w:r>
            <w:r>
              <w:rPr>
                <w:rFonts w:hint="eastAsia"/>
                <w:color w:val="000000"/>
                <w:lang w:eastAsia="zh-CN"/>
              </w:rPr>
              <w:t>渝北区红锦大道</w:t>
            </w:r>
          </w:p>
        </w:tc>
        <w:tc>
          <w:tcPr>
            <w:tcW w:w="1106"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临时场所人数：2人</w:t>
            </w:r>
          </w:p>
        </w:tc>
        <w:tc>
          <w:tcPr>
            <w:tcW w:w="1729" w:type="dxa"/>
            <w:vAlign w:val="center"/>
          </w:tcPr>
          <w:p>
            <w:pPr>
              <w:rPr>
                <w:rFonts w:ascii="Times New Roman" w:hAnsi="Times New Roman" w:eastAsia="宋体" w:cs="Times New Roman"/>
                <w:kern w:val="2"/>
                <w:sz w:val="21"/>
                <w:szCs w:val="21"/>
                <w:lang w:val="en-US" w:eastAsia="ja-JP" w:bidi="ar-SA"/>
              </w:rPr>
            </w:pPr>
            <w:r>
              <w:rPr>
                <w:rFonts w:ascii="Times New Roman" w:hAnsi="Times New Roman" w:eastAsia="宋体" w:cs="Times New Roman"/>
                <w:sz w:val="21"/>
                <w:szCs w:val="21"/>
              </w:rPr>
              <w:t>市政桥梁工程检测</w:t>
            </w:r>
          </w:p>
        </w:tc>
        <w:tc>
          <w:tcPr>
            <w:tcW w:w="1743"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GB/T19001-2016</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GB/T24001-2016</w:t>
            </w:r>
          </w:p>
          <w:p>
            <w:pPr>
              <w:rPr>
                <w:rFonts w:hint="eastAsia" w:ascii="Times New Roman" w:hAnsi="Times New Roman" w:eastAsia="宋体" w:cs="Times New Roman"/>
                <w:kern w:val="2"/>
                <w:sz w:val="21"/>
                <w:szCs w:val="21"/>
                <w:lang w:val="en-US" w:eastAsia="ja-JP" w:bidi="ar-SA"/>
              </w:rPr>
            </w:pPr>
            <w:r>
              <w:rPr>
                <w:rFonts w:hint="eastAsia" w:ascii="Times New Roman" w:hAnsi="Times New Roman" w:eastAsia="宋体" w:cs="Times New Roman"/>
                <w:sz w:val="21"/>
                <w:szCs w:val="21"/>
              </w:rPr>
              <w:t xml:space="preserve">GB/T45001-2020 </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rPr>
                <w:sz w:val="21"/>
                <w:szCs w:val="21"/>
              </w:rPr>
              <w:t>重庆市建维工程检测有限公司</w:t>
            </w:r>
            <w:r>
              <w:rPr>
                <w:rFonts w:hint="eastAsia"/>
                <w:sz w:val="21"/>
                <w:szCs w:val="21"/>
                <w:lang w:val="en-US" w:eastAsia="zh-CN"/>
              </w:rPr>
              <w:t>/</w:t>
            </w:r>
            <w:r>
              <w:rPr>
                <w:rFonts w:asciiTheme="minorEastAsia" w:hAnsiTheme="minorEastAsia" w:eastAsiaTheme="minorEastAsia"/>
                <w:sz w:val="20"/>
              </w:rPr>
              <w:t>重庆市江北区洋河一村69号名义层负1层、负2层</w:t>
            </w:r>
          </w:p>
        </w:tc>
        <w:tc>
          <w:tcPr>
            <w:tcW w:w="1732" w:type="dxa"/>
            <w:vAlign w:val="center"/>
          </w:tcPr>
          <w:p>
            <w:pPr>
              <w:rPr>
                <w:lang w:eastAsia="ja-JP"/>
              </w:rPr>
            </w:pPr>
            <w:r>
              <w:rPr>
                <w:rFonts w:hint="eastAsia"/>
                <w:color w:val="000000"/>
                <w:lang w:eastAsia="zh-CN"/>
              </w:rPr>
              <w:t>渝北区龙山路</w:t>
            </w:r>
          </w:p>
        </w:tc>
        <w:tc>
          <w:tcPr>
            <w:tcW w:w="1106" w:type="dxa"/>
            <w:vAlign w:val="center"/>
          </w:tcPr>
          <w:p>
            <w:pPr>
              <w:rPr>
                <w:lang w:eastAsia="ja-JP"/>
              </w:rPr>
            </w:pPr>
            <w:r>
              <w:rPr>
                <w:rFonts w:hint="eastAsia"/>
                <w:lang w:val="en-US" w:eastAsia="zh-CN"/>
              </w:rPr>
              <w:t>临时场所人数：2人</w:t>
            </w:r>
          </w:p>
        </w:tc>
        <w:tc>
          <w:tcPr>
            <w:tcW w:w="1729" w:type="dxa"/>
            <w:vAlign w:val="center"/>
          </w:tcPr>
          <w:p>
            <w:pPr>
              <w:rPr>
                <w:lang w:eastAsia="ja-JP"/>
              </w:rPr>
            </w:pPr>
            <w:r>
              <w:rPr>
                <w:rFonts w:ascii="Times New Roman" w:hAnsi="Times New Roman" w:eastAsia="宋体" w:cs="Times New Roman"/>
                <w:sz w:val="21"/>
                <w:szCs w:val="21"/>
              </w:rPr>
              <w:t>市政道路工程检测</w:t>
            </w:r>
          </w:p>
        </w:tc>
        <w:tc>
          <w:tcPr>
            <w:tcW w:w="1743"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GB/T19001-2016</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GB/T24001-2016</w:t>
            </w:r>
          </w:p>
          <w:p>
            <w:pPr>
              <w:rPr>
                <w:rFonts w:hint="eastAsia" w:ascii="Times New Roman" w:hAnsi="Times New Roman" w:eastAsia="宋体" w:cs="Times New Roman"/>
                <w:kern w:val="2"/>
                <w:sz w:val="21"/>
                <w:szCs w:val="21"/>
                <w:lang w:val="en-US" w:eastAsia="ja-JP" w:bidi="ar-SA"/>
              </w:rPr>
            </w:pPr>
            <w:r>
              <w:rPr>
                <w:rFonts w:hint="eastAsia" w:ascii="Times New Roman" w:hAnsi="Times New Roman" w:eastAsia="宋体" w:cs="Times New Roman"/>
                <w:sz w:val="21"/>
                <w:szCs w:val="21"/>
              </w:rPr>
              <w:t xml:space="preserve">GB/T45001-2020 </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732" w:type="dxa"/>
            <w:vAlign w:val="center"/>
          </w:tcPr>
          <w:p>
            <w:pPr>
              <w:rPr>
                <w:lang w:eastAsia="ja-JP"/>
              </w:rPr>
            </w:pPr>
          </w:p>
        </w:tc>
        <w:tc>
          <w:tcPr>
            <w:tcW w:w="1106" w:type="dxa"/>
            <w:vAlign w:val="center"/>
          </w:tcPr>
          <w:p>
            <w:pPr>
              <w:rPr>
                <w:lang w:eastAsia="ja-JP"/>
              </w:rPr>
            </w:pPr>
          </w:p>
        </w:tc>
        <w:tc>
          <w:tcPr>
            <w:tcW w:w="1729" w:type="dxa"/>
            <w:vAlign w:val="center"/>
          </w:tcPr>
          <w:p>
            <w:pPr>
              <w:rPr>
                <w:lang w:eastAsia="ja-JP"/>
              </w:rPr>
            </w:pPr>
          </w:p>
        </w:tc>
        <w:tc>
          <w:tcPr>
            <w:tcW w:w="174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732" w:type="dxa"/>
            <w:vAlign w:val="center"/>
          </w:tcPr>
          <w:p>
            <w:pPr>
              <w:rPr>
                <w:lang w:eastAsia="ja-JP"/>
              </w:rPr>
            </w:pPr>
          </w:p>
        </w:tc>
        <w:tc>
          <w:tcPr>
            <w:tcW w:w="1106" w:type="dxa"/>
            <w:vAlign w:val="center"/>
          </w:tcPr>
          <w:p>
            <w:pPr>
              <w:rPr>
                <w:lang w:eastAsia="ja-JP"/>
              </w:rPr>
            </w:pPr>
          </w:p>
        </w:tc>
        <w:tc>
          <w:tcPr>
            <w:tcW w:w="1729" w:type="dxa"/>
            <w:vAlign w:val="center"/>
          </w:tcPr>
          <w:p>
            <w:pPr>
              <w:rPr>
                <w:lang w:eastAsia="ja-JP"/>
              </w:rPr>
            </w:pPr>
          </w:p>
        </w:tc>
        <w:tc>
          <w:tcPr>
            <w:tcW w:w="174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p>
            <w:r>
              <w:t>2021-N1QMS-2230067</w:t>
            </w:r>
          </w:p>
        </w:tc>
        <w:tc>
          <w:tcPr>
            <w:tcW w:w="2179" w:type="dxa"/>
            <w:vAlign w:val="center"/>
          </w:tcPr>
          <w:p>
            <w:r>
              <w:t>E:34.02.00</w:t>
            </w:r>
          </w:p>
          <w:p>
            <w:r>
              <w:t>O:34.02.00</w:t>
            </w:r>
          </w:p>
          <w:p>
            <w:r>
              <w:t>Q:34.02.00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p>
            <w:r>
              <w:t>2020-N1QMS-1267598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人数变更，原人数23人，现28人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上次不符合为业务部Q7.1.3条款、办公室EO:9.1.2条款，经本次现场审核验证无类似情况发生，整改有效。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所有被抽样到的、被评审过的工作记录都是真实的。</w:t>
            </w:r>
          </w:p>
          <w:p>
            <w:pPr>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Pr>
        <w:rPr>
          <w:highlight w:val="none"/>
        </w:rPr>
      </w:pPr>
    </w:p>
    <w:p>
      <w:pPr>
        <w:rPr>
          <w:highlight w:val="none"/>
        </w:rPr>
      </w:pPr>
      <w:r>
        <w:rPr>
          <w:rFonts w:hint="eastAsia"/>
          <w:highlight w:val="none"/>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见证取样检测、市政道路工程检测、市政桥梁工程检测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见证取样检测、市政道路工程检测、市政桥梁工程检测所涉及场所的相关环境管理活动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见证取样检测、市政道路工程检测、市政桥梁工程检测所涉及场所的相关职业健康安全管理活动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w:t>
            </w:r>
            <w:r>
              <w:rPr>
                <w:rFonts w:hint="eastAsia" w:ascii="宋体" w:hAnsi="宋体" w:eastAsia="宋体" w:cs="宋体"/>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10"/>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3"/>
        <w:gridCol w:w="2764"/>
        <w:gridCol w:w="2764"/>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 w:hRule="exact"/>
          <w:jc w:val="center"/>
        </w:trPr>
        <w:tc>
          <w:tcPr>
            <w:tcW w:w="1663"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317500</wp:posOffset>
                  </wp:positionH>
                  <wp:positionV relativeFrom="paragraph">
                    <wp:posOffset>93345</wp:posOffset>
                  </wp:positionV>
                  <wp:extent cx="812800" cy="400050"/>
                  <wp:effectExtent l="0" t="0" r="0" b="635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882" w:type="dxa"/>
            <w:tcMar>
              <w:left w:w="113" w:type="dxa"/>
            </w:tcMar>
            <w:vAlign w:val="center"/>
          </w:tcPr>
          <w:p>
            <w:pPr>
              <w:rPr>
                <w:rFonts w:ascii="宋体"/>
                <w:b/>
                <w:color w:val="0000FF"/>
                <w:szCs w:val="21"/>
              </w:rPr>
            </w:pPr>
            <w:r>
              <w:rPr>
                <w:rFonts w:hint="eastAsia"/>
                <w:b/>
                <w:sz w:val="20"/>
              </w:rPr>
              <w:t>2022年08月2</w:t>
            </w:r>
            <w:r>
              <w:rPr>
                <w:rFonts w:hint="eastAsia"/>
                <w:b/>
                <w:sz w:val="20"/>
                <w:lang w:val="en-US" w:eastAsia="zh-CN"/>
              </w:rPr>
              <w:t>4</w:t>
            </w:r>
            <w:r>
              <w:rPr>
                <w:rFonts w:hint="eastAsia"/>
                <w:b/>
                <w:sz w:val="20"/>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ascii="宋体" w:hAnsi="宋体" w:eastAsia="宋体" w:cs="宋体"/>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color w:val="000000"/>
                <w:szCs w:val="18"/>
                <w:u w:val="single"/>
                <w:lang w:eastAsia="zh-CN"/>
              </w:rPr>
              <w:t>质量为本、信誉至上，持续改进，争创一流，满足要求。节能降耗，防治污染，保护环境；安全第一，健康安全，减少风险</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3128"/>
              <w:gridCol w:w="134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hint="eastAsia"/>
                    </w:rPr>
                  </w:pPr>
                  <w:r>
                    <w:rPr>
                      <w:rFonts w:hint="eastAsia"/>
                    </w:rPr>
                    <w:t>目标实际完成</w:t>
                  </w:r>
                </w:p>
                <w:p>
                  <w:pPr>
                    <w:pStyle w:val="3"/>
                  </w:pPr>
                  <w:r>
                    <w:rPr>
                      <w:rFonts w:hint="eastAsia"/>
                      <w:color w:val="000000"/>
                      <w:sz w:val="21"/>
                      <w:szCs w:val="21"/>
                    </w:rPr>
                    <w:t>（</w:t>
                  </w:r>
                  <w:r>
                    <w:rPr>
                      <w:rFonts w:hint="eastAsia"/>
                      <w:color w:val="000000"/>
                      <w:sz w:val="21"/>
                      <w:szCs w:val="21"/>
                      <w:lang w:val="en-US" w:eastAsia="zh-CN"/>
                    </w:rPr>
                    <w:t>2022.1-2022.7</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000000"/>
                      <w:kern w:val="0"/>
                      <w:sz w:val="21"/>
                      <w:szCs w:val="21"/>
                    </w:rPr>
                    <w:t>检测结果合格率为100%；</w:t>
                  </w:r>
                </w:p>
              </w:tc>
              <w:tc>
                <w:tcPr>
                  <w:tcW w:w="3136" w:type="dxa"/>
                  <w:shd w:val="clear" w:color="auto" w:fill="auto"/>
                  <w:vAlign w:val="center"/>
                </w:tcPr>
                <w:p>
                  <w:pPr>
                    <w:spacing w:line="360" w:lineRule="auto"/>
                    <w:rPr>
                      <w:rFonts w:hint="default" w:ascii="Times New Roman" w:hAnsi="Times New Roman" w:eastAsia="宋体" w:cs="Times New Roman"/>
                      <w:color w:val="000000"/>
                      <w:kern w:val="2"/>
                      <w:sz w:val="21"/>
                      <w:szCs w:val="18"/>
                      <w:highlight w:val="yellow"/>
                      <w:lang w:val="en-GB" w:eastAsia="zh-CN" w:bidi="ar-SA"/>
                    </w:rPr>
                  </w:pPr>
                  <w:r>
                    <w:rPr>
                      <w:rFonts w:hint="eastAsia" w:ascii="宋体" w:hAnsi="宋体" w:cs="宋体"/>
                      <w:color w:val="000000"/>
                      <w:kern w:val="0"/>
                      <w:sz w:val="21"/>
                      <w:szCs w:val="21"/>
                    </w:rPr>
                    <w:t>合格率=合格量÷检验总数量×100%；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ascii="宋体" w:hAnsi="宋体" w:cs="Times New Roman"/>
                      <w:color w:val="auto"/>
                      <w:sz w:val="21"/>
                      <w:szCs w:val="21"/>
                      <w:highlight w:val="none"/>
                      <w:lang w:val="en-US" w:eastAsia="zh-CN"/>
                    </w:rPr>
                    <w:t>业务部</w:t>
                  </w:r>
                </w:p>
              </w:tc>
              <w:tc>
                <w:tcPr>
                  <w:tcW w:w="1774" w:type="dxa"/>
                  <w:shd w:val="clear" w:color="auto" w:fill="auto"/>
                  <w:vAlign w:val="center"/>
                </w:tcPr>
                <w:p>
                  <w:pPr>
                    <w:shd w:val="clear" w:color="auto" w:fill="C7DAF1" w:themeFill="text2" w:themeFillTint="32"/>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000000"/>
                      <w:kern w:val="0"/>
                      <w:sz w:val="21"/>
                      <w:szCs w:val="21"/>
                    </w:rPr>
                    <w:t>顾客满意度为95分以上</w:t>
                  </w:r>
                </w:p>
              </w:tc>
              <w:tc>
                <w:tcPr>
                  <w:tcW w:w="3136"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000000"/>
                      <w:kern w:val="0"/>
                      <w:sz w:val="21"/>
                      <w:szCs w:val="21"/>
                    </w:rPr>
                    <w:t>满意率=打分总分数÷调查数量；</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办公室</w:t>
                  </w:r>
                </w:p>
              </w:tc>
              <w:tc>
                <w:tcPr>
                  <w:tcW w:w="1774" w:type="dxa"/>
                  <w:shd w:val="clear" w:color="auto" w:fill="auto"/>
                  <w:vAlign w:val="center"/>
                </w:tcPr>
                <w:p>
                  <w:pPr>
                    <w:shd w:val="clear" w:color="auto" w:fill="C7DAF1" w:themeFill="text2" w:themeFillTint="32"/>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91"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000000"/>
                      <w:kern w:val="0"/>
                      <w:sz w:val="21"/>
                      <w:szCs w:val="21"/>
                    </w:rPr>
                    <w:t>检测结果按期交付率</w:t>
                  </w:r>
                  <w:r>
                    <w:rPr>
                      <w:rFonts w:hint="eastAsia"/>
                      <w:sz w:val="21"/>
                      <w:szCs w:val="21"/>
                    </w:rPr>
                    <w:t>≥</w:t>
                  </w:r>
                  <w:r>
                    <w:rPr>
                      <w:rFonts w:hint="eastAsia" w:ascii="宋体" w:hAnsi="宋体" w:cs="宋体"/>
                      <w:color w:val="000000"/>
                      <w:kern w:val="0"/>
                      <w:sz w:val="21"/>
                      <w:szCs w:val="21"/>
                    </w:rPr>
                    <w:t>98%</w:t>
                  </w:r>
                </w:p>
              </w:tc>
              <w:tc>
                <w:tcPr>
                  <w:tcW w:w="3136"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000000"/>
                      <w:kern w:val="0"/>
                      <w:sz w:val="21"/>
                      <w:szCs w:val="21"/>
                    </w:rPr>
                    <w:t>按期交付率=按期交付数量÷需交付总数量×100%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cs="Times New Roman"/>
                      <w:color w:val="auto"/>
                      <w:sz w:val="21"/>
                      <w:szCs w:val="21"/>
                      <w:highlight w:val="none"/>
                      <w:lang w:val="en-US" w:eastAsia="zh-CN"/>
                    </w:rPr>
                    <w:t>业务部</w:t>
                  </w:r>
                </w:p>
              </w:tc>
              <w:tc>
                <w:tcPr>
                  <w:tcW w:w="1774" w:type="dxa"/>
                  <w:shd w:val="clear" w:color="auto" w:fill="auto"/>
                  <w:vAlign w:val="center"/>
                </w:tcPr>
                <w:p>
                  <w:pPr>
                    <w:shd w:val="clear" w:color="auto" w:fill="C7DAF1" w:themeFill="text2" w:themeFillTint="32"/>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97分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highlight w:val="yellow"/>
              </w:rPr>
            </w:pPr>
            <w:r>
              <w:rPr>
                <w:rFonts w:hint="eastAsia"/>
                <w:highlight w:val="none"/>
                <w:lang w:eastAsia="zh-CN"/>
              </w:rPr>
              <w:t>试验室和办公面积共1200平方米左右</w:t>
            </w:r>
            <w:r>
              <w:rPr>
                <w:rFonts w:hint="eastAsia"/>
                <w:highlight w:val="none"/>
              </w:rPr>
              <w:t>；</w:t>
            </w:r>
          </w:p>
          <w:p>
            <w:pPr>
              <w:shd w:val="clear" w:color="auto" w:fill="C7DAF1" w:themeFill="text2" w:themeFillTint="32"/>
              <w:rPr>
                <w:rFonts w:hint="eastAsia"/>
                <w:highlight w:val="none"/>
                <w:lang w:eastAsia="zh-CN"/>
              </w:rPr>
            </w:pPr>
            <w:r>
              <w:rPr>
                <w:rFonts w:hint="eastAsia"/>
                <w:highlight w:val="none"/>
              </w:rPr>
              <w:t>主要生产设备有：</w:t>
            </w:r>
            <w:r>
              <w:rPr>
                <w:rFonts w:hint="eastAsia"/>
                <w:highlight w:val="none"/>
                <w:u w:val="single"/>
                <w:lang w:eastAsia="zh-CN"/>
              </w:rPr>
              <w:t>机控制电液伺服万能试验机、自动加压混凝土渗透仪、微机控制油电混合伺服压力试验机、全站仪、电子天平、钢筋弯曲试验机、激光隧道断面检测仪、自控水泥胶砂流动度测定仪、低温试验箱等259种设备</w:t>
            </w:r>
            <w:r>
              <w:rPr>
                <w:rFonts w:hint="eastAsia"/>
                <w:highlight w:val="non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宋体" w:hAnsi="宋体" w:eastAsia="宋体" w:cs="宋体"/>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hAnsi="宋体" w:cs="宋体"/>
                <w:sz w:val="21"/>
                <w:szCs w:val="21"/>
                <w:u w:val="single"/>
              </w:rPr>
              <w:t>全站仪、电子天平、钢筋弯曲试验机、激光隧道断面检测仪、自控水泥胶砂流动度测定仪等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宋体" w:hAnsi="宋体" w:eastAsia="宋体" w:cs="宋体"/>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rFonts w:hint="eastAsia" w:eastAsia="宋体"/>
                      <w:highlight w:val="yellow"/>
                      <w:lang w:eastAsia="zh-CN"/>
                    </w:rPr>
                  </w:pPr>
                  <w:r>
                    <w:rPr>
                      <w:rFonts w:hint="eastAsia"/>
                      <w:lang w:eastAsia="zh-CN"/>
                    </w:rPr>
                    <w:t>见证取样检测、市政道路工程检测、市政桥梁工程检测</w:t>
                  </w:r>
                </w:p>
              </w:tc>
              <w:tc>
                <w:tcPr>
                  <w:tcW w:w="2303" w:type="dxa"/>
                </w:tcPr>
                <w:p>
                  <w:pPr>
                    <w:shd w:val="clear" w:color="auto" w:fill="C7DAF1" w:themeFill="text2" w:themeFillTint="32"/>
                    <w:jc w:val="left"/>
                    <w:rPr>
                      <w:rFonts w:hint="default" w:eastAsia="宋体"/>
                      <w:highlight w:val="none"/>
                      <w:lang w:val="en-US" w:eastAsia="zh-CN"/>
                    </w:rPr>
                  </w:pPr>
                  <w:r>
                    <w:rPr>
                      <w:rFonts w:hint="eastAsia" w:eastAsia="宋体"/>
                      <w:b w:val="0"/>
                      <w:bCs/>
                      <w:sz w:val="20"/>
                      <w:szCs w:val="22"/>
                      <w:lang w:val="en-US" w:eastAsia="zh-CN"/>
                    </w:rPr>
                    <w:t>检测服务过程</w:t>
                  </w:r>
                </w:p>
              </w:tc>
              <w:tc>
                <w:tcPr>
                  <w:tcW w:w="3265" w:type="dxa"/>
                </w:tcPr>
                <w:p>
                  <w:pPr>
                    <w:shd w:val="clear" w:color="auto" w:fill="C7DAF1" w:themeFill="text2" w:themeFillTint="32"/>
                    <w:jc w:val="left"/>
                    <w:rPr>
                      <w:rFonts w:hint="eastAsia" w:eastAsiaTheme="minorEastAsia"/>
                      <w:highlight w:val="none"/>
                      <w:lang w:val="en-US" w:eastAsia="zh-CN"/>
                    </w:rPr>
                  </w:pPr>
                  <w:r>
                    <w:rPr>
                      <w:rFonts w:hint="eastAsia" w:eastAsia="宋体"/>
                      <w:b w:val="0"/>
                      <w:bCs/>
                      <w:sz w:val="20"/>
                      <w:szCs w:val="22"/>
                      <w:lang w:val="en-US" w:eastAsia="zh-CN"/>
                    </w:rPr>
                    <w:t>按操作规范、验收标准进行控制。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eastAsia="宋体"/>
                <w:b w:val="0"/>
                <w:bCs/>
                <w:sz w:val="20"/>
                <w:szCs w:val="22"/>
                <w:lang w:val="en-US" w:eastAsia="zh-CN"/>
              </w:rPr>
              <w:t>检测服务过程</w:t>
            </w:r>
            <w:r>
              <w:rPr>
                <w:rFonts w:hint="eastAsia"/>
              </w:rPr>
              <w:t xml:space="preserve"> ，</w:t>
            </w:r>
          </w:p>
          <w:p>
            <w:pPr>
              <w:shd w:val="clear" w:color="auto" w:fill="C7DAF1" w:themeFill="text2" w:themeFillTint="32"/>
              <w:jc w:val="left"/>
              <w:rPr>
                <w:rFonts w:hint="default"/>
                <w:highlight w:val="none"/>
                <w:lang w:val="en-US"/>
              </w:rPr>
            </w:pPr>
            <w:r>
              <w:rPr>
                <w:rFonts w:hint="eastAsia" w:ascii="宋体" w:hAnsi="宋体" w:eastAsia="宋体" w:cs="宋体"/>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eastAsia="zh-CN"/>
              </w:rPr>
              <w:t>：</w:t>
            </w:r>
            <w:r>
              <w:rPr>
                <w:rFonts w:hint="eastAsia"/>
                <w:highlight w:val="none"/>
                <w:u w:val="single"/>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宋体" w:hAnsi="宋体" w:eastAsia="宋体" w:cs="宋体"/>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宋体" w:hAnsi="宋体" w:eastAsia="宋体" w:cs="宋体"/>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技术解答</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highlight w:val="none"/>
                <w:u w:val="single"/>
                <w:lang w:val="en-US" w:eastAsia="zh-CN"/>
              </w:rPr>
              <w:t>2022年6月20日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■内审贯穿了</w:t>
            </w:r>
            <w:r>
              <w:rPr>
                <w:rFonts w:hint="eastAsia"/>
              </w:rPr>
              <w:t>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2022年7月1日</w:t>
            </w:r>
            <w:r>
              <w:rPr>
                <w:rFonts w:hint="eastAsia"/>
                <w:highlight w:val="none"/>
              </w:rPr>
              <w:t>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color w:val="000000"/>
                <w:szCs w:val="18"/>
                <w:u w:val="single"/>
              </w:rPr>
              <w:t xml:space="preserve"> </w:t>
            </w:r>
            <w:r>
              <w:rPr>
                <w:rFonts w:hint="eastAsia"/>
                <w:color w:val="000000"/>
                <w:szCs w:val="18"/>
                <w:u w:val="single"/>
                <w:lang w:eastAsia="zh-CN"/>
              </w:rPr>
              <w:t>质量为本、信誉至上，持续改进，争创一流，满足要求。节能降耗，防治污染，保护环境；安全第一，健康安全，减少风险</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潜在</w:t>
                  </w:r>
                  <w:r>
                    <w:rPr>
                      <w:rFonts w:hint="eastAsia" w:ascii="Times New Roman" w:hAnsi="Times New Roman" w:eastAsia="宋体" w:cs="Times New Roman"/>
                    </w:rPr>
                    <w:t>火灾</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固体废弃物排放</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Times New Roman" w:hAnsi="Times New Roman" w:eastAsia="宋体" w:cs="Times New Roma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136"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spacing w:line="240" w:lineRule="auto"/>
                    <w:ind w:firstLine="0" w:firstLineChars="0"/>
                    <w:jc w:val="left"/>
                    <w:rPr>
                      <w:rFonts w:hint="eastAsia" w:ascii="Times New Roman" w:hAnsi="Times New Roman" w:eastAsia="宋体" w:cs="Times New Roman"/>
                      <w:kern w:val="2"/>
                      <w:sz w:val="22"/>
                      <w:szCs w:val="22"/>
                      <w:lang w:val="en-US" w:eastAsia="zh-CN" w:bidi="ar-SA"/>
                    </w:rPr>
                  </w:pPr>
                  <w:r>
                    <w:rPr>
                      <w:rFonts w:hint="eastAsia" w:asciiTheme="minorEastAsia" w:hAnsiTheme="minorEastAsia" w:eastAsiaTheme="minorEastAsia"/>
                      <w:sz w:val="21"/>
                    </w:rPr>
                    <w:t>固体废弃物回收处置率100%</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Theme="minorEastAsia" w:hAnsiTheme="minorEastAsia" w:eastAsiaTheme="minorEastAsia"/>
                      <w:szCs w:val="21"/>
                    </w:rPr>
                    <w:t>采取分类收集、管理方案进行管理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rPr>
                    <w:t>办公室</w:t>
                  </w:r>
                </w:p>
              </w:tc>
              <w:tc>
                <w:tcPr>
                  <w:tcW w:w="1774"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pStyle w:val="4"/>
                    <w:spacing w:line="240" w:lineRule="auto"/>
                    <w:ind w:firstLine="0" w:firstLineChars="0"/>
                    <w:jc w:val="left"/>
                    <w:rPr>
                      <w:rFonts w:hint="eastAsia" w:ascii="Times New Roman" w:hAnsi="Times New Roman" w:eastAsia="宋体" w:cs="Times New Roman"/>
                      <w:kern w:val="2"/>
                      <w:sz w:val="22"/>
                      <w:szCs w:val="22"/>
                      <w:lang w:val="en-US" w:eastAsia="zh-CN" w:bidi="ar-SA"/>
                    </w:rPr>
                  </w:pPr>
                  <w:r>
                    <w:rPr>
                      <w:rFonts w:hint="eastAsia" w:asciiTheme="minorEastAsia" w:hAnsiTheme="minorEastAsia" w:eastAsiaTheme="minorEastAsia"/>
                      <w:sz w:val="21"/>
                    </w:rPr>
                    <w:t>火灾事故为零</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组织应确定、提供并维护所</w:t>
            </w:r>
            <w:r>
              <w:rPr>
                <w:rFonts w:hint="eastAsia" w:ascii="Times New Roman" w:hAnsi="Times New Roman" w:eastAsia="宋体" w:cs="Times New Roman"/>
                <w:highlight w:val="none"/>
              </w:rPr>
              <w:t>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宋体" w:hAnsi="宋体" w:cs="宋体"/>
                <w:szCs w:val="21"/>
              </w:rPr>
              <w:t>试验室和办公面积共1200平方米左右</w:t>
            </w:r>
            <w:r>
              <w:rPr>
                <w:rFonts w:hint="eastAsia" w:ascii="Times New Roman" w:hAnsi="Times New Roman" w:eastAsia="宋体" w:cs="Times New Roman"/>
                <w:highlight w:val="none"/>
              </w:rPr>
              <w:t>；</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机控制电液伺服万能试验机、自动加压混凝土渗透仪、微机控制油电混合伺服压力试验机、全站仪、电子天平、钢筋弯曲试验机、激光隧道断面检测仪、自控水泥胶砂流动度测定仪、低温试验箱等259种设备</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highlight w:val="none"/>
                    </w:rPr>
                  </w:pPr>
                  <w:r>
                    <w:rPr>
                      <w:rFonts w:hint="eastAsia"/>
                      <w:highlight w:val="none"/>
                    </w:rPr>
                    <w:t>重要环境因素</w:t>
                  </w:r>
                </w:p>
              </w:tc>
              <w:tc>
                <w:tcPr>
                  <w:tcW w:w="3258"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固体废弃物排放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火灾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技术解答</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2022年7月10日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；并总结</w:t>
            </w:r>
            <w:r>
              <w:rPr>
                <w:rFonts w:hint="eastAsia"/>
              </w:rPr>
              <w:t xml:space="preserve">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default" w:eastAsia="方正仿宋简体"/>
                <w:b w:val="0"/>
                <w:bCs/>
                <w:highlight w:val="yellow"/>
                <w:u w:val="single"/>
                <w:lang w:val="en-US" w:eastAsia="zh-CN"/>
              </w:rPr>
            </w:pPr>
            <w:r>
              <w:rPr>
                <w:rFonts w:hint="eastAsia"/>
                <w:highlight w:val="none"/>
                <w:lang w:eastAsia="zh-CN"/>
              </w:rPr>
              <w:t>■</w:t>
            </w:r>
            <w:r>
              <w:rPr>
                <w:rFonts w:hint="eastAsia"/>
                <w:highlight w:val="none"/>
              </w:rPr>
              <w:t>定期（每年）</w:t>
            </w:r>
            <w:r>
              <w:rPr>
                <w:rFonts w:hint="eastAsia"/>
              </w:rPr>
              <w:t>：</w:t>
            </w:r>
            <w:r>
              <w:rPr>
                <w:rFonts w:hint="eastAsia" w:ascii="方正仿宋简体" w:eastAsia="方正仿宋简体"/>
                <w:b w:val="0"/>
                <w:bCs/>
                <w:u w:val="single"/>
                <w:lang w:eastAsia="zh-CN"/>
              </w:rPr>
              <w:t>2022年6月8日</w:t>
            </w:r>
            <w:r>
              <w:rPr>
                <w:rFonts w:hint="eastAsia" w:ascii="方正仿宋简体" w:eastAsia="方正仿宋简体"/>
                <w:b w:val="0"/>
                <w:bCs/>
                <w:u w:val="single"/>
                <w:lang w:val="en-US" w:eastAsia="zh-CN"/>
              </w:rPr>
              <w:t>。</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2022年6月20日</w:t>
            </w:r>
            <w:r>
              <w:rPr>
                <w:rFonts w:hint="eastAsia"/>
                <w:highlight w:val="none"/>
                <w:u w:val="single"/>
                <w:lang w:val="en-US" w:eastAsia="zh-CN"/>
              </w:rPr>
              <w:t>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■内审贯穿了</w:t>
            </w:r>
            <w:r>
              <w:rPr>
                <w:rFonts w:hint="eastAsia" w:eastAsia="宋体"/>
              </w:rPr>
              <w:t>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2022年7月1日</w:t>
            </w:r>
            <w:r>
              <w:rPr>
                <w:rFonts w:hint="eastAsia"/>
                <w:highlight w:val="none"/>
              </w:rPr>
              <w:t>对组织的环境管理体系进行了评审，以确保其持续的适宜性、充分性和有效性；管理评审输入、输</w:t>
            </w:r>
            <w:r>
              <w:rPr>
                <w:rFonts w:hint="eastAsia"/>
              </w:rPr>
              <w:t>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color w:val="000000"/>
                <w:szCs w:val="18"/>
                <w:u w:val="single"/>
              </w:rPr>
              <w:t xml:space="preserve"> </w:t>
            </w:r>
            <w:r>
              <w:rPr>
                <w:rFonts w:hint="eastAsia"/>
                <w:color w:val="000000"/>
                <w:szCs w:val="18"/>
                <w:u w:val="single"/>
                <w:lang w:eastAsia="zh-CN"/>
              </w:rPr>
              <w:t>质量为本、信誉至上，持续改进，争创一流，满足要求。节能降耗，防治污染，保护环境；安全第一，健康安全，减少风险</w:t>
            </w:r>
            <w:r>
              <w:rPr>
                <w:rFonts w:hint="eastAsia" w:ascii="Times New Roman" w:hAnsi="Times New Roman" w:eastAsia="宋体" w:cs="Times New Roman"/>
                <w:color w:val="000000"/>
                <w:szCs w:val="18"/>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办公室</w:t>
            </w:r>
          </w:p>
          <w:p>
            <w:pPr>
              <w:rPr>
                <w:rFonts w:hint="default"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30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ighlight w:val="none"/>
              </w:rPr>
              <w:t>—</w:t>
            </w:r>
            <w:r>
              <w:rPr>
                <w:rFonts w:hint="eastAsia"/>
                <w:highlight w:val="none"/>
                <w:lang w:val="en-US" w:eastAsia="zh-CN"/>
              </w:rPr>
              <w:t>郎雁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火灾</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通过管理方案和预案措施、应急演练进行管理</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color w:val="000000"/>
                      <w:szCs w:val="18"/>
                    </w:rPr>
                    <w:t>触电</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通过管理方案进行管理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color w:val="000000"/>
                      <w:szCs w:val="18"/>
                    </w:rPr>
                    <w:t>机械伤害</w:t>
                  </w:r>
                </w:p>
              </w:tc>
              <w:tc>
                <w:tcPr>
                  <w:tcW w:w="3965" w:type="dxa"/>
                  <w:vAlign w:val="top"/>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通过管理方案进行管理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ascii="Times New Roman" w:hAnsi="Times New Roman" w:eastAsia="宋体" w:cs="Times New Roman"/>
                      <w:color w:val="000000"/>
                      <w:kern w:val="2"/>
                      <w:sz w:val="21"/>
                      <w:szCs w:val="18"/>
                      <w:lang w:val="en-US" w:eastAsia="zh-CN" w:bidi="ar-SA"/>
                    </w:rPr>
                  </w:pPr>
                  <w:r>
                    <w:rPr>
                      <w:rFonts w:hint="eastAsia"/>
                      <w:color w:val="000000"/>
                      <w:szCs w:val="18"/>
                    </w:rPr>
                    <w:t>高处坠落</w:t>
                  </w:r>
                </w:p>
              </w:tc>
              <w:tc>
                <w:tcPr>
                  <w:tcW w:w="3965" w:type="dxa"/>
                  <w:vAlign w:val="top"/>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通过管理方案进行管理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color w:val="000000"/>
                      <w:szCs w:val="18"/>
                    </w:rPr>
                  </w:pPr>
                </w:p>
              </w:tc>
              <w:tc>
                <w:tcPr>
                  <w:tcW w:w="3965" w:type="dxa"/>
                  <w:vAlign w:val="top"/>
                </w:tcPr>
                <w:p>
                  <w:pPr>
                    <w:rPr>
                      <w:rFonts w:hint="eastAsia" w:asciiTheme="minorEastAsia" w:hAnsiTheme="minorEastAsia" w:eastAsiaTheme="minorEastAsia"/>
                      <w:szCs w:val="21"/>
                    </w:rPr>
                  </w:pPr>
                </w:p>
              </w:tc>
              <w:tc>
                <w:tcPr>
                  <w:tcW w:w="1717" w:type="dxa"/>
                  <w:vAlign w:val="top"/>
                </w:tcPr>
                <w:p>
                  <w:pPr>
                    <w:rPr>
                      <w:rFonts w:hint="eastAsi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ascii="宋体" w:hAnsi="宋体" w:eastAsia="宋体" w:cs="宋体"/>
              </w:rPr>
              <w:t>■</w:t>
            </w:r>
            <w:r>
              <w:rPr>
                <w:rFonts w:hint="eastAsia"/>
                <w:highlight w:val="none"/>
              </w:rPr>
              <w:t>其他</w:t>
            </w:r>
            <w:r>
              <w:rPr>
                <w:rFonts w:hint="eastAsia"/>
                <w:highlight w:val="none"/>
                <w:lang w:eastAsia="zh-CN"/>
              </w:rPr>
              <w:t>：</w:t>
            </w:r>
            <w:r>
              <w:rPr>
                <w:rFonts w:hint="eastAsia" w:ascii="宋体" w:hAnsi="宋体"/>
                <w:color w:val="auto"/>
                <w:szCs w:val="21"/>
                <w:lang w:val="en-US" w:eastAsia="zh-CN"/>
              </w:rPr>
              <w:t>机械伤害、高处坠落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highlight w:val="none"/>
              </w:rPr>
            </w:pPr>
            <w:r>
              <w:rPr>
                <w:rFonts w:hint="eastAsia"/>
                <w:highlight w:val="none"/>
              </w:rPr>
              <w:t xml:space="preserve">□安全现状评估报告表日期： </w:t>
            </w:r>
          </w:p>
          <w:p>
            <w:pPr>
              <w:rPr>
                <w:highlight w:val="none"/>
              </w:rPr>
            </w:pPr>
            <w:r>
              <w:rPr>
                <w:rFonts w:hint="eastAsia"/>
                <w:highlight w:val="none"/>
              </w:rPr>
              <w:t xml:space="preserve">□职业病体检报告书日期：   </w:t>
            </w:r>
          </w:p>
          <w:p>
            <w:pPr>
              <w:rPr>
                <w:rFonts w:hint="default" w:eastAsia="宋体"/>
                <w:highlight w:val="none"/>
                <w:lang w:val="en-US" w:eastAsia="zh-CN"/>
              </w:rPr>
            </w:pPr>
            <w:r>
              <w:rPr>
                <w:rFonts w:hint="eastAsia"/>
                <w:highlight w:val="none"/>
                <w:lang w:eastAsia="zh-CN"/>
              </w:rPr>
              <w:t>□</w:t>
            </w: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ascii="宋体" w:hAnsi="宋体" w:eastAsia="宋体" w:cs="宋体"/>
                <w:lang w:eastAsia="zh-CN"/>
              </w:rPr>
              <w:t>■</w:t>
            </w:r>
            <w:r>
              <w:rPr>
                <w:rFonts w:hint="eastAsia"/>
              </w:rPr>
              <w:t xml:space="preserve">漏电保护  </w:t>
            </w:r>
            <w:r>
              <w:rPr>
                <w:rFonts w:hint="eastAsia" w:ascii="宋体" w:hAnsi="宋体" w:eastAsia="宋体" w:cs="宋体"/>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cs="Times New Roman" w:asciiTheme="minorEastAsia" w:hAnsiTheme="minorEastAsia" w:eastAsiaTheme="minorEastAsia"/>
                      <w:kern w:val="2"/>
                      <w:sz w:val="21"/>
                      <w:szCs w:val="21"/>
                      <w:lang w:val="en-US" w:eastAsia="zh-CN" w:bidi="ar-SA"/>
                    </w:rPr>
                  </w:pPr>
                  <w:r>
                    <w:rPr>
                      <w:rFonts w:hint="eastAsia" w:ascii="宋体" w:hAnsi="宋体"/>
                      <w:szCs w:val="21"/>
                    </w:rPr>
                    <w:t>重大火灾事故为零</w:t>
                  </w:r>
                </w:p>
              </w:tc>
              <w:tc>
                <w:tcPr>
                  <w:tcW w:w="3136" w:type="dxa"/>
                  <w:shd w:val="clear" w:color="auto" w:fill="auto"/>
                  <w:vAlign w:val="center"/>
                </w:tcPr>
                <w:p>
                  <w:pPr>
                    <w:rPr>
                      <w:rFonts w:cs="Times New Roman" w:asciiTheme="minorEastAsia" w:hAnsiTheme="minorEastAsia" w:eastAsiaTheme="minorEastAsia"/>
                      <w:kern w:val="2"/>
                      <w:sz w:val="21"/>
                      <w:szCs w:val="21"/>
                      <w:lang w:val="en-GB" w:eastAsia="zh-CN" w:bidi="ar-SA"/>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rPr>
                    <w:t>办公室</w:t>
                  </w:r>
                </w:p>
              </w:tc>
              <w:tc>
                <w:tcPr>
                  <w:tcW w:w="1774" w:type="dxa"/>
                  <w:shd w:val="clear" w:color="auto" w:fill="auto"/>
                  <w:vAlign w:val="center"/>
                </w:tcPr>
                <w:p>
                  <w:pPr>
                    <w:jc w:val="center"/>
                    <w:rPr>
                      <w:rFonts w:hint="default" w:ascii="宋体" w:hAnsi="宋体" w:eastAsia="宋体" w:cs="Times New Roman"/>
                      <w:kern w:val="2"/>
                      <w:sz w:val="21"/>
                      <w:szCs w:val="24"/>
                      <w:lang w:val="en-US" w:eastAsia="zh-CN" w:bidi="ar-SA"/>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Times New Roman"/>
                      <w:bCs/>
                      <w:kern w:val="2"/>
                      <w:sz w:val="21"/>
                      <w:szCs w:val="21"/>
                      <w:lang w:val="en-US" w:eastAsia="zh-CN" w:bidi="ar-SA"/>
                    </w:rPr>
                  </w:pPr>
                  <w:r>
                    <w:rPr>
                      <w:rFonts w:hint="eastAsia" w:ascii="宋体" w:hAnsi="宋体"/>
                      <w:szCs w:val="21"/>
                    </w:rPr>
                    <w:t>固体废弃物处置率</w:t>
                  </w:r>
                  <w:r>
                    <w:rPr>
                      <w:rFonts w:ascii="宋体" w:hAnsi="宋体"/>
                      <w:szCs w:val="21"/>
                    </w:rPr>
                    <w:t>100%</w:t>
                  </w:r>
                </w:p>
              </w:tc>
              <w:tc>
                <w:tcPr>
                  <w:tcW w:w="3136" w:type="dxa"/>
                  <w:shd w:val="clear" w:color="auto" w:fill="auto"/>
                  <w:vAlign w:val="center"/>
                </w:tcPr>
                <w:p>
                  <w:pPr>
                    <w:rPr>
                      <w:rFonts w:ascii="Times New Roman" w:hAnsi="Times New Roman" w:eastAsia="宋体" w:cs="Times New Roman"/>
                      <w:kern w:val="2"/>
                      <w:sz w:val="21"/>
                      <w:szCs w:val="24"/>
                      <w:lang w:val="en-US" w:eastAsia="zh-CN" w:bidi="ar-SA"/>
                    </w:rPr>
                  </w:pPr>
                  <w:r>
                    <w:rPr>
                      <w:rFonts w:hint="eastAsia"/>
                    </w:rPr>
                    <w:t>通过管理方案和预案措施进行管理</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rPr>
                    <w:t>办公室</w:t>
                  </w:r>
                </w:p>
              </w:tc>
              <w:tc>
                <w:tcPr>
                  <w:tcW w:w="1774" w:type="dxa"/>
                  <w:shd w:val="clear" w:color="auto" w:fill="auto"/>
                  <w:vAlign w:val="center"/>
                </w:tcPr>
                <w:p>
                  <w:pPr>
                    <w:ind w:firstLine="630" w:firstLineChars="300"/>
                    <w:rPr>
                      <w:rFonts w:hint="default" w:ascii="Times New Roman" w:hAnsi="Times New Roman" w:eastAsia="宋体" w:cs="Times New Roman"/>
                      <w:kern w:val="2"/>
                      <w:sz w:val="21"/>
                      <w:szCs w:val="24"/>
                      <w:lang w:val="en-US" w:eastAsia="zh-CN" w:bidi="ar-S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ascii="宋体" w:hAnsi="宋体" w:eastAsia="宋体" w:cs="Times New Roman"/>
                      <w:kern w:val="2"/>
                      <w:sz w:val="21"/>
                      <w:szCs w:val="24"/>
                      <w:lang w:val="en-US" w:eastAsia="zh-CN" w:bidi="ar-SA"/>
                    </w:rPr>
                  </w:pPr>
                  <w:r>
                    <w:rPr>
                      <w:rFonts w:hint="eastAsia" w:ascii="宋体" w:hAnsi="宋体"/>
                      <w:szCs w:val="21"/>
                    </w:rPr>
                    <w:t>意外伤害事故为0</w:t>
                  </w:r>
                </w:p>
              </w:tc>
              <w:tc>
                <w:tcPr>
                  <w:tcW w:w="3136" w:type="dxa"/>
                  <w:shd w:val="clear" w:color="auto" w:fill="auto"/>
                  <w:vAlign w:val="center"/>
                </w:tcPr>
                <w:p>
                  <w:pPr>
                    <w:rPr>
                      <w:rFonts w:cs="Times New Roman" w:asciiTheme="minorEastAsia" w:hAnsiTheme="minorEastAsia" w:eastAsiaTheme="minorEastAsia"/>
                      <w:kern w:val="2"/>
                      <w:sz w:val="21"/>
                      <w:szCs w:val="21"/>
                      <w:lang w:val="en-US" w:eastAsia="zh-CN" w:bidi="ar-SA"/>
                    </w:rPr>
                  </w:pPr>
                  <w:r>
                    <w:rPr>
                      <w:rFonts w:hint="eastAsia"/>
                    </w:rPr>
                    <w:t>通过管理方案和预案措施进行管理</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rPr>
                    <w:t>业务部</w:t>
                  </w:r>
                </w:p>
              </w:tc>
              <w:tc>
                <w:tcPr>
                  <w:tcW w:w="1774" w:type="dxa"/>
                  <w:shd w:val="clear" w:color="auto" w:fill="auto"/>
                  <w:vAlign w:val="center"/>
                </w:tcPr>
                <w:p>
                  <w:pPr>
                    <w:jc w:val="center"/>
                    <w:rPr>
                      <w:rFonts w:hint="default" w:ascii="宋体" w:hAnsi="宋体" w:eastAsia="宋体" w:cs="Times New Roman"/>
                      <w:kern w:val="2"/>
                      <w:sz w:val="21"/>
                      <w:szCs w:val="24"/>
                      <w:lang w:val="en-US" w:eastAsia="zh-CN" w:bidi="ar-SA"/>
                    </w:rP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宋体" w:hAnsi="宋体"/>
                      <w:color w:val="auto"/>
                      <w:szCs w:val="21"/>
                    </w:rPr>
                  </w:pPr>
                </w:p>
              </w:tc>
              <w:tc>
                <w:tcPr>
                  <w:tcW w:w="3136"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350" w:type="dxa"/>
                  <w:shd w:val="clear" w:color="auto" w:fill="auto"/>
                  <w:vAlign w:val="center"/>
                </w:tcPr>
                <w:p>
                  <w:pPr>
                    <w:rPr>
                      <w:rFonts w:hint="eastAsia" w:ascii="宋体" w:hAnsi="宋体"/>
                      <w:highlight w:val="none"/>
                      <w:lang w:val="en-US" w:eastAsia="zh-CN"/>
                    </w:rPr>
                  </w:pPr>
                </w:p>
              </w:tc>
              <w:tc>
                <w:tcPr>
                  <w:tcW w:w="1774" w:type="dxa"/>
                  <w:shd w:val="clear" w:color="auto" w:fill="auto"/>
                  <w:vAlign w:val="center"/>
                </w:tcPr>
                <w:p>
                  <w:pPr>
                    <w:jc w:val="center"/>
                    <w:rPr>
                      <w:rFonts w:hint="eastAsia" w:ascii="宋体" w:hAnsi="宋体"/>
                      <w:highlight w:val="none"/>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highlight w:val="none"/>
              </w:rPr>
            </w:pPr>
            <w:r>
              <w:rPr>
                <w:rFonts w:hint="eastAsia"/>
              </w:rPr>
              <w:t>组织</w:t>
            </w:r>
            <w:r>
              <w:rPr>
                <w:rFonts w:hint="eastAsia" w:ascii="Times New Roman" w:hAnsi="Times New Roman" w:eastAsia="宋体" w:cs="Times New Roman"/>
              </w:rPr>
              <w:t>应确定、提供并维护所需的基础设施情</w:t>
            </w:r>
            <w:r>
              <w:rPr>
                <w:rFonts w:hint="eastAsia" w:ascii="Times New Roman" w:hAnsi="Times New Roman" w:eastAsia="宋体" w:cs="Times New Roman"/>
                <w:highlight w:val="none"/>
              </w:rPr>
              <w:t>况：</w:t>
            </w:r>
          </w:p>
          <w:p>
            <w:pPr>
              <w:rPr>
                <w:rFonts w:hint="eastAsia" w:ascii="Times New Roman" w:hAnsi="Times New Roman" w:eastAsia="宋体" w:cs="Times New Roman"/>
                <w:highlight w:val="none"/>
              </w:rPr>
            </w:pPr>
            <w:r>
              <w:rPr>
                <w:rFonts w:hint="eastAsia"/>
                <w:highlight w:val="none"/>
                <w:lang w:eastAsia="zh-CN"/>
              </w:rPr>
              <w:t>试验室和办公面积共1200平方米左右</w:t>
            </w:r>
            <w:r>
              <w:rPr>
                <w:rFonts w:hint="eastAsia" w:ascii="Times New Roman" w:hAnsi="Times New Roman" w:eastAsia="宋体" w:cs="Times New Roman"/>
                <w:highlight w:val="none"/>
              </w:rPr>
              <w:t>；</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机控制电液伺服万能试验机、自动加压混凝土渗透仪、微机控制油电混合伺服压力试验机、全站仪、电子天平、钢筋弯曲试验机、激光隧道断面检测仪、自控水泥胶砂流动度测定仪、低温试验箱等259种设备</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宋体" w:hAnsi="宋体" w:eastAsia="宋体" w:cs="宋体"/>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ascii="宋体" w:hAnsi="宋体" w:eastAsia="宋体" w:cs="宋体"/>
                      <w:lang w:eastAsia="zh-CN"/>
                    </w:rPr>
                    <w:t>■</w:t>
                  </w:r>
                  <w:r>
                    <w:rPr>
                      <w:rFonts w:hint="eastAsia"/>
                    </w:rPr>
                    <w:t>安全装置 □挂牌上锁管理</w:t>
                  </w:r>
                </w:p>
              </w:tc>
              <w:tc>
                <w:tcPr>
                  <w:tcW w:w="2205" w:type="dxa"/>
                </w:tcPr>
                <w:p>
                  <w:pPr>
                    <w:jc w:val="left"/>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lang w:val="en-US" w:eastAsia="zh-CN"/>
              </w:rPr>
              <w:t>技术解答</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2022年7月10日</w:t>
            </w:r>
            <w:r>
              <w:rPr>
                <w:rFonts w:hint="eastAsia" w:eastAsia="宋体"/>
                <w:highlight w:val="none"/>
              </w:rPr>
              <w:t>进行了火灾</w:t>
            </w:r>
            <w:r>
              <w:rPr>
                <w:rFonts w:hint="eastAsia" w:eastAsia="宋体"/>
              </w:rPr>
              <w:t xml:space="preserve">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方正仿宋简体" w:eastAsia="方正仿宋简体"/>
                <w:b w:val="0"/>
                <w:bCs/>
                <w:u w:val="single"/>
                <w:lang w:eastAsia="zh-CN"/>
              </w:rPr>
              <w:t>2022年6月8日</w:t>
            </w:r>
            <w:r>
              <w:rPr>
                <w:rFonts w:hint="eastAsia" w:ascii="方正仿宋简体" w:eastAsia="方正仿宋简体"/>
                <w:b w:val="0"/>
                <w:bCs/>
                <w:u w:val="single"/>
                <w:lang w:val="en-US" w:eastAsia="zh-CN"/>
              </w:rPr>
              <w:t>。</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2022年6月20日</w:t>
            </w:r>
            <w:r>
              <w:rPr>
                <w:rFonts w:hint="eastAsia"/>
              </w:rPr>
              <w:t>实施了职业健康安全管理体系内部审核，对职业健康安全管理体系的符合性和有效性进行了审核。内</w:t>
            </w:r>
            <w:r>
              <w:rPr>
                <w:rFonts w:hint="eastAsia"/>
                <w:highlight w:val="none"/>
              </w:rPr>
              <w:t xml:space="preserve">审发现的 </w:t>
            </w:r>
            <w:r>
              <w:rPr>
                <w:rFonts w:hint="eastAsia"/>
                <w:highlight w:val="none"/>
                <w:lang w:val="en-US" w:eastAsia="zh-CN"/>
              </w:rPr>
              <w:t>1</w:t>
            </w:r>
            <w:r>
              <w:rPr>
                <w:rFonts w:hint="eastAsia"/>
                <w:highlight w:val="none"/>
              </w:rPr>
              <w:t xml:space="preserve"> 项不符</w:t>
            </w:r>
            <w:r>
              <w:rPr>
                <w:rFonts w:hint="eastAsia"/>
              </w:rPr>
              <w:t>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■内审贯穿了</w:t>
            </w:r>
            <w:r>
              <w:rPr>
                <w:rFonts w:hint="eastAsia"/>
              </w:rPr>
              <w:t>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s="Times New Roman"/>
                <w:color w:val="000000"/>
                <w:szCs w:val="18"/>
                <w:highlight w:val="none"/>
                <w:u w:val="single"/>
                <w:lang w:eastAsia="zh-CN"/>
              </w:rPr>
              <w:t>2022年7月1日</w:t>
            </w:r>
            <w:r>
              <w:rPr>
                <w:rFonts w:hint="eastAsia"/>
                <w:highlight w:val="none"/>
              </w:rPr>
              <w:t>对组织的职业健康安全管理体系进行了评审，以确保其持续的适宜性、充分性和有效性；管理评审输</w:t>
            </w:r>
            <w:r>
              <w:rPr>
                <w:rFonts w:hint="eastAsia"/>
              </w:rPr>
              <w:t>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宋体" w:hAnsi="宋体" w:eastAsia="宋体" w:cs="宋体"/>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宋体" w:hAnsi="宋体" w:eastAsia="宋体" w:cs="宋体"/>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4"/>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61A876A2"/>
    <w:rsid w:val="674E4A5F"/>
    <w:rsid w:val="679121CE"/>
    <w:rsid w:val="6E8335D0"/>
    <w:rsid w:val="70C93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99"/>
    <w:pPr>
      <w:spacing w:after="120" w:afterLines="0"/>
    </w:pPr>
    <w:rPr>
      <w:kern w:val="2"/>
      <w:sz w:val="21"/>
    </w:rPr>
  </w:style>
  <w:style w:type="paragraph" w:styleId="4">
    <w:name w:val="Body Text Indent"/>
    <w:basedOn w:val="1"/>
    <w:qFormat/>
    <w:uiPriority w:val="0"/>
    <w:pPr>
      <w:spacing w:line="560" w:lineRule="exact"/>
      <w:ind w:firstLine="560" w:firstLineChars="200"/>
    </w:pPr>
    <w:rPr>
      <w:sz w:val="28"/>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19782</Words>
  <Characters>20836</Characters>
  <Lines>150</Lines>
  <Paragraphs>42</Paragraphs>
  <TotalTime>1</TotalTime>
  <ScaleCrop>false</ScaleCrop>
  <LinksUpToDate>false</LinksUpToDate>
  <CharactersWithSpaces>23886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2022-08-26T01:19:19Z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