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浙江和达科技股份有限公司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1379-2021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30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