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0391-2020-Q-2022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成都同飞科技有限责任公司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成都同飞科技有限责任公司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成都市青羊区光华东三路489号3栋5层</w:t>
            </w:r>
            <w:bookmarkEnd w:id="6"/>
          </w:p>
        </w:tc>
        <w:tc>
          <w:tcPr>
            <w:tcW w:w="1242" w:type="dxa"/>
            <w:vMerge w:val="restart"/>
            <w:vAlign w:val="center"/>
          </w:tcPr>
          <w:p>
            <w:r>
              <w:rPr>
                <w:rFonts w:hint="eastAsia"/>
              </w:rPr>
              <w:t>邮编</w:t>
            </w:r>
          </w:p>
        </w:tc>
        <w:tc>
          <w:tcPr>
            <w:tcW w:w="1771" w:type="dxa"/>
          </w:tcPr>
          <w:p>
            <w:bookmarkStart w:id="7" w:name="注册邮编"/>
            <w:r>
              <w:t>610074</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成都市青羊区光华东三路489号3栋5层</w:t>
            </w:r>
            <w:bookmarkEnd w:id="8"/>
          </w:p>
        </w:tc>
        <w:tc>
          <w:tcPr>
            <w:tcW w:w="1242" w:type="dxa"/>
            <w:vMerge w:val="continue"/>
            <w:vAlign w:val="center"/>
          </w:tcPr>
          <w:p/>
        </w:tc>
        <w:tc>
          <w:tcPr>
            <w:tcW w:w="1771" w:type="dxa"/>
          </w:tcPr>
          <w:p>
            <w:bookmarkStart w:id="9" w:name="办公邮编"/>
            <w:r>
              <w:t>610074</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曹杨</w:t>
            </w:r>
            <w:bookmarkEnd w:id="10"/>
          </w:p>
        </w:tc>
        <w:tc>
          <w:tcPr>
            <w:tcW w:w="1313" w:type="dxa"/>
            <w:vAlign w:val="center"/>
          </w:tcPr>
          <w:p>
            <w:r>
              <w:rPr>
                <w:rFonts w:hint="eastAsia"/>
              </w:rPr>
              <w:t>电话.</w:t>
            </w:r>
          </w:p>
        </w:tc>
        <w:tc>
          <w:tcPr>
            <w:tcW w:w="2180" w:type="dxa"/>
            <w:vAlign w:val="center"/>
          </w:tcPr>
          <w:p>
            <w:bookmarkStart w:id="11" w:name="联系人电话"/>
            <w:r>
              <w:t>18010693459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李儒兵</w:t>
            </w:r>
            <w:bookmarkEnd w:id="13"/>
          </w:p>
        </w:tc>
        <w:tc>
          <w:tcPr>
            <w:tcW w:w="1313" w:type="dxa"/>
            <w:vAlign w:val="center"/>
          </w:tcPr>
          <w:p>
            <w:r>
              <w:rPr>
                <w:rFonts w:hint="eastAsia"/>
              </w:rPr>
              <w:t>管理者代表</w:t>
            </w:r>
          </w:p>
        </w:tc>
        <w:tc>
          <w:tcPr>
            <w:tcW w:w="2180" w:type="dxa"/>
          </w:tcPr>
          <w:p>
            <w:bookmarkStart w:id="14" w:name="管理者代表"/>
            <w:r>
              <w:t>萧阳</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rPr>
            </w:pPr>
            <w:r>
              <w:rPr>
                <w:rFonts w:hint="eastAsia"/>
              </w:rPr>
              <w:t>1)软件开发设计流程：需求调研概要设计——详细设计——数据库设计——软件编码——功能测试——联合调试——系统测试——软件上线或发布。</w:t>
            </w:r>
          </w:p>
          <w:p>
            <w:pPr>
              <w:rPr>
                <w:rFonts w:hint="eastAsia"/>
              </w:rPr>
            </w:pPr>
            <w:r>
              <w:rPr>
                <w:rFonts w:hint="eastAsia"/>
              </w:rPr>
              <w:t>2）计算机系统集成流程：勘察现场----设备、线缆采购——布线与安装——网络测试——系统测试——联合调试——工程验收——服务保障。</w:t>
            </w:r>
          </w:p>
          <w:p>
            <w:pPr>
              <w:rPr>
                <w:rFonts w:hint="eastAsia"/>
              </w:rPr>
            </w:pPr>
            <w:r>
              <w:rPr>
                <w:rFonts w:hint="eastAsia"/>
              </w:rPr>
              <w:t>3）地理信息数据采集、数据处理、数据库建设流程：图形资料扫描—栅格数据—GIS软件—矢量数据---编辑处理—数据库---数据库更新与维护。</w:t>
            </w:r>
          </w:p>
          <w:p>
            <w:pPr>
              <w:rPr>
                <w:rFonts w:hint="eastAsia"/>
              </w:rPr>
            </w:pPr>
            <w:r>
              <w:rPr>
                <w:rFonts w:hint="eastAsia"/>
              </w:rPr>
              <w:t>4）工程测量流程：资料收集——踏勘设计——资料及设备准备——外业数据采集——内业数据处理——汇编成果报告。</w:t>
            </w:r>
          </w:p>
          <w:p>
            <w:r>
              <w:rPr>
                <w:rFonts w:hint="eastAsia"/>
              </w:rPr>
              <w:t>5）测绘航空摄影流程：航拍准备——航空摄影——数据处理——成果提交。</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2022年08月22日 上午至2022年08月23日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Q：计算机应用软件的设计开发；地理信息系统工程；工程测量；测绘航空摄影；计算机信息系统集成</w:t>
            </w:r>
          </w:p>
          <w:p>
            <w:r>
              <w:t>E：计算机应用软件的设计开发；地理信息系统工程；工程测量；测绘航空摄影；计算机信息系统集成所涉及场所的相关环境管理活动</w:t>
            </w:r>
          </w:p>
          <w:p>
            <w:r>
              <w:t>O：计算机应用软件的设计开发；地理信息系统工程；工程测量；测绘航空摄影；计算机信息系统集成所涉及场所的相关职业健康安全管理活动。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Q：33.02.01;33.02.02;34.01.02;34.02.00;35.07.00</w:t>
            </w:r>
          </w:p>
          <w:p>
            <w:r>
              <w:t>E：33.02.01;33.02.02;34.01.02;34.02.00;35.07.00</w:t>
            </w:r>
          </w:p>
          <w:p>
            <w:r>
              <w:t>O：33.02.01;33.02.02;34.01.02B;34.02.00;35.07.00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2020年2月20日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2021年09月13日至2021年09月14日 </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QMS:有效至2023年9月9日</w:t>
            </w:r>
          </w:p>
          <w:p>
            <w:r>
              <w:rPr>
                <w:rFonts w:hint="eastAsia"/>
              </w:rPr>
              <w:t>EMS:有效至2022年9月23日</w:t>
            </w:r>
          </w:p>
          <w:p>
            <w:r>
              <w:rPr>
                <w:rFonts w:hint="eastAsia"/>
              </w:rPr>
              <w:t>OHSMS:有效至2022年9月23日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249"/>
        <w:gridCol w:w="1223"/>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249" w:type="dxa"/>
            <w:shd w:val="clear" w:color="auto" w:fill="F3F3F3"/>
            <w:tcMar>
              <w:left w:w="57" w:type="dxa"/>
              <w:right w:w="57" w:type="dxa"/>
            </w:tcMar>
          </w:tcPr>
          <w:p>
            <w:r>
              <w:rPr>
                <w:rFonts w:hint="eastAsia"/>
              </w:rPr>
              <w:t>审核范围（产品和过程）</w:t>
            </w:r>
          </w:p>
          <w:p/>
          <w:p/>
        </w:tc>
        <w:tc>
          <w:tcPr>
            <w:tcW w:w="1223"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rFonts w:ascii="Times New Roman" w:hAnsi="Times New Roman" w:eastAsia="宋体" w:cs="Times New Roman"/>
                <w:kern w:val="2"/>
                <w:sz w:val="21"/>
                <w:szCs w:val="24"/>
                <w:lang w:val="de-DE" w:eastAsia="ja-JP" w:bidi="ar-SA"/>
              </w:rPr>
            </w:pPr>
            <w:r>
              <w:rPr>
                <w:rFonts w:hint="eastAsia" w:ascii="宋体" w:hAnsi="宋体" w:cs="宋体"/>
                <w:color w:val="000000"/>
                <w:kern w:val="0"/>
                <w:szCs w:val="21"/>
              </w:rPr>
              <w:t>成都同飞科技有限责任公司/成都市青羊区光华东三路489号3栋5层</w:t>
            </w:r>
          </w:p>
        </w:tc>
        <w:tc>
          <w:tcPr>
            <w:tcW w:w="2267" w:type="dxa"/>
            <w:vAlign w:val="top"/>
          </w:tcPr>
          <w:p>
            <w:pPr>
              <w:rPr>
                <w:rFonts w:ascii="Times New Roman" w:hAnsi="Times New Roman" w:eastAsia="宋体" w:cs="Times New Roman"/>
                <w:kern w:val="2"/>
                <w:sz w:val="21"/>
                <w:szCs w:val="24"/>
                <w:lang w:val="de-DE" w:eastAsia="ja-JP" w:bidi="ar-SA"/>
              </w:rPr>
            </w:pPr>
            <w:r>
              <w:rPr>
                <w:rFonts w:hint="eastAsia" w:ascii="宋体" w:hAnsi="宋体" w:cs="宋体"/>
                <w:color w:val="000000"/>
                <w:kern w:val="0"/>
                <w:szCs w:val="21"/>
              </w:rPr>
              <w:t>成都市青羊区光华东三路489号3栋5层/</w:t>
            </w:r>
          </w:p>
        </w:tc>
        <w:tc>
          <w:tcPr>
            <w:tcW w:w="571" w:type="dxa"/>
            <w:vAlign w:val="center"/>
          </w:tcPr>
          <w:p>
            <w:pPr>
              <w:rPr>
                <w:rFonts w:hint="default" w:ascii="Times New Roman" w:hAnsi="Times New Roman" w:eastAsia="宋体" w:cs="Times New Roman"/>
                <w:kern w:val="2"/>
                <w:sz w:val="21"/>
                <w:szCs w:val="24"/>
                <w:lang w:val="en-US" w:eastAsia="zh-CN" w:bidi="ar-SA"/>
              </w:rPr>
            </w:pPr>
            <w:r>
              <w:rPr>
                <w:rFonts w:hint="eastAsia"/>
                <w:lang w:val="en-US" w:eastAsia="zh-CN"/>
              </w:rPr>
              <w:t>90</w:t>
            </w:r>
          </w:p>
        </w:tc>
        <w:tc>
          <w:tcPr>
            <w:tcW w:w="2249" w:type="dxa"/>
            <w:vAlign w:val="center"/>
          </w:tcPr>
          <w:p>
            <w:pPr>
              <w:rPr>
                <w:rFonts w:ascii="Times New Roman" w:hAnsi="Times New Roman" w:eastAsia="宋体" w:cs="Times New Roman"/>
                <w:color w:val="FF0000"/>
                <w:kern w:val="2"/>
                <w:sz w:val="21"/>
                <w:szCs w:val="24"/>
                <w:lang w:val="en-US" w:eastAsia="ja-JP" w:bidi="ar-SA"/>
              </w:rPr>
            </w:pPr>
            <w:r>
              <w:rPr>
                <w:rFonts w:ascii="宋体" w:hAnsi="宋体" w:cs="宋体"/>
                <w:color w:val="auto"/>
                <w:kern w:val="0"/>
                <w:szCs w:val="21"/>
              </w:rPr>
              <w:t>计算机应用软件的设计开发；</w:t>
            </w:r>
            <w:r>
              <w:rPr>
                <w:rFonts w:hint="eastAsia" w:ascii="宋体" w:hAnsi="宋体" w:cs="宋体"/>
                <w:color w:val="auto"/>
                <w:kern w:val="0"/>
                <w:szCs w:val="21"/>
              </w:rPr>
              <w:t>地理信息系统工程</w:t>
            </w:r>
            <w:r>
              <w:rPr>
                <w:rFonts w:ascii="宋体" w:hAnsi="宋体" w:cs="宋体"/>
                <w:color w:val="auto"/>
                <w:kern w:val="0"/>
                <w:szCs w:val="21"/>
              </w:rPr>
              <w:t>；工程测量；测绘航空摄影；计算机信息系统集</w:t>
            </w:r>
            <w:r>
              <w:rPr>
                <w:rFonts w:hint="eastAsia" w:ascii="宋体" w:hAnsi="宋体" w:cs="宋体"/>
                <w:color w:val="auto"/>
                <w:kern w:val="0"/>
                <w:szCs w:val="21"/>
              </w:rPr>
              <w:t>成</w:t>
            </w:r>
          </w:p>
        </w:tc>
        <w:tc>
          <w:tcPr>
            <w:tcW w:w="1223" w:type="dxa"/>
            <w:vAlign w:val="center"/>
          </w:tcPr>
          <w:p>
            <w:pPr>
              <w:rPr>
                <w:rFonts w:hint="eastAsia"/>
              </w:rPr>
            </w:pPr>
            <w:r>
              <w:rPr>
                <w:rFonts w:hint="eastAsia"/>
              </w:rPr>
              <w:t>GB/T19001-2016</w:t>
            </w:r>
          </w:p>
          <w:p>
            <w:pPr>
              <w:pStyle w:val="2"/>
              <w:rPr>
                <w:rFonts w:hint="eastAsia" w:ascii="宋体" w:hAnsi="宋体"/>
                <w:b/>
                <w:szCs w:val="21"/>
              </w:rPr>
            </w:pPr>
            <w:r>
              <w:rPr>
                <w:rFonts w:hint="eastAsia" w:ascii="宋体" w:hAnsi="宋体"/>
                <w:b/>
                <w:szCs w:val="21"/>
              </w:rPr>
              <w:t>GB/T24001-2016</w:t>
            </w:r>
          </w:p>
          <w:p>
            <w:pPr>
              <w:pStyle w:val="2"/>
              <w:rPr>
                <w:rFonts w:hint="eastAsia" w:ascii="宋体" w:hAnsi="宋体"/>
                <w:b/>
                <w:szCs w:val="21"/>
                <w:lang w:val="en-US" w:eastAsia="ja-JP"/>
              </w:rPr>
            </w:pPr>
            <w:r>
              <w:rPr>
                <w:rFonts w:hint="eastAsia" w:ascii="宋体" w:hAnsi="宋体"/>
                <w:b/>
                <w:szCs w:val="21"/>
              </w:rPr>
              <w:t xml:space="preserve">GB/T45001-2020 </w:t>
            </w:r>
          </w:p>
        </w:tc>
        <w:tc>
          <w:tcPr>
            <w:tcW w:w="668" w:type="dxa"/>
            <w:shd w:val="clear" w:color="auto" w:fill="FFFFFF"/>
            <w:vAlign w:val="top"/>
          </w:tcPr>
          <w:p>
            <w:pPr>
              <w:rPr>
                <w:rFonts w:ascii="Times New Roman" w:hAnsi="Times New Roman" w:eastAsia="宋体" w:cs="Times New Roman"/>
                <w:kern w:val="2"/>
                <w:sz w:val="21"/>
                <w:szCs w:val="24"/>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r>
              <w:rPr>
                <w:rFonts w:hint="eastAsia" w:ascii="宋体" w:hAnsi="宋体" w:cs="宋体"/>
                <w:color w:val="000000"/>
                <w:kern w:val="0"/>
                <w:szCs w:val="21"/>
              </w:rPr>
              <w:t>成都同飞科技有限责任公司/成都市青羊区光华东三路489号3栋5层</w:t>
            </w:r>
          </w:p>
        </w:tc>
        <w:tc>
          <w:tcPr>
            <w:tcW w:w="2267" w:type="dxa"/>
            <w:vAlign w:val="center"/>
          </w:tcPr>
          <w:p>
            <w:pPr>
              <w:rPr>
                <w:lang w:eastAsia="ja-JP"/>
              </w:rPr>
            </w:pPr>
            <w:r>
              <w:rPr>
                <w:rFonts w:hint="eastAsia"/>
                <w:color w:val="000000"/>
              </w:rPr>
              <w:t>仁寿县文林街道仁和街仁和苑</w:t>
            </w:r>
          </w:p>
        </w:tc>
        <w:tc>
          <w:tcPr>
            <w:tcW w:w="571" w:type="dxa"/>
            <w:vAlign w:val="center"/>
          </w:tcPr>
          <w:p>
            <w:pPr>
              <w:rPr>
                <w:rFonts w:hint="default" w:eastAsia="宋体"/>
                <w:lang w:val="en-US" w:eastAsia="zh-CN"/>
              </w:rPr>
            </w:pPr>
            <w:r>
              <w:rPr>
                <w:rFonts w:hint="eastAsia"/>
                <w:lang w:val="en-US" w:eastAsia="zh-CN"/>
              </w:rPr>
              <w:t>30</w:t>
            </w:r>
          </w:p>
        </w:tc>
        <w:tc>
          <w:tcPr>
            <w:tcW w:w="2249" w:type="dxa"/>
            <w:vAlign w:val="center"/>
          </w:tcPr>
          <w:p>
            <w:pPr>
              <w:rPr>
                <w:lang w:eastAsia="ja-JP"/>
              </w:rPr>
            </w:pPr>
            <w:r>
              <w:rPr>
                <w:rFonts w:hint="eastAsia" w:ascii="宋体" w:hAnsi="宋体" w:cs="宋体"/>
                <w:color w:val="auto"/>
                <w:kern w:val="0"/>
                <w:szCs w:val="21"/>
              </w:rPr>
              <w:t>地理信息系统工程</w:t>
            </w:r>
            <w:r>
              <w:rPr>
                <w:rFonts w:ascii="宋体" w:hAnsi="宋体" w:cs="宋体"/>
                <w:color w:val="auto"/>
                <w:kern w:val="0"/>
                <w:szCs w:val="21"/>
              </w:rPr>
              <w:t>；工程测量；</w:t>
            </w:r>
          </w:p>
        </w:tc>
        <w:tc>
          <w:tcPr>
            <w:tcW w:w="1223" w:type="dxa"/>
            <w:vAlign w:val="center"/>
          </w:tcPr>
          <w:p>
            <w:pPr>
              <w:rPr>
                <w:rFonts w:hint="eastAsia"/>
              </w:rPr>
            </w:pPr>
            <w:r>
              <w:rPr>
                <w:rFonts w:hint="eastAsia"/>
              </w:rPr>
              <w:t>GB/T19001-2016</w:t>
            </w:r>
          </w:p>
          <w:p>
            <w:pPr>
              <w:pStyle w:val="2"/>
              <w:rPr>
                <w:rFonts w:hint="eastAsia" w:ascii="宋体" w:hAnsi="宋体"/>
                <w:b/>
                <w:szCs w:val="21"/>
              </w:rPr>
            </w:pPr>
            <w:r>
              <w:rPr>
                <w:rFonts w:hint="eastAsia" w:ascii="宋体" w:hAnsi="宋体"/>
                <w:b/>
                <w:szCs w:val="21"/>
              </w:rPr>
              <w:t>GB/T24001-2016</w:t>
            </w:r>
          </w:p>
          <w:p>
            <w:pPr>
              <w:pStyle w:val="2"/>
              <w:rPr>
                <w:rFonts w:hint="eastAsia" w:ascii="宋体" w:hAnsi="宋体" w:eastAsia="宋体" w:cs="Times New Roman"/>
                <w:b/>
                <w:bCs/>
                <w:spacing w:val="10"/>
                <w:kern w:val="2"/>
                <w:sz w:val="21"/>
                <w:szCs w:val="21"/>
                <w:lang w:val="en-US" w:eastAsia="ja-JP" w:bidi="ar-SA"/>
              </w:rPr>
            </w:pPr>
            <w:r>
              <w:rPr>
                <w:rFonts w:hint="eastAsia" w:ascii="宋体" w:hAnsi="宋体"/>
                <w:b/>
                <w:szCs w:val="21"/>
              </w:rPr>
              <w:t xml:space="preserve">GB/T45001-2020 </w:t>
            </w:r>
          </w:p>
        </w:tc>
        <w:tc>
          <w:tcPr>
            <w:tcW w:w="668" w:type="dxa"/>
            <w:shd w:val="clear" w:color="auto" w:fill="FFFFFF"/>
            <w:vAlign w:val="top"/>
          </w:tcPr>
          <w:p>
            <w:pPr>
              <w:rPr>
                <w:rFonts w:ascii="Times New Roman" w:hAnsi="Times New Roman" w:eastAsia="宋体" w:cs="Times New Roman"/>
                <w:kern w:val="2"/>
                <w:sz w:val="21"/>
                <w:szCs w:val="24"/>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249" w:type="dxa"/>
            <w:vAlign w:val="center"/>
          </w:tcPr>
          <w:p>
            <w:pPr>
              <w:rPr>
                <w:lang w:eastAsia="ja-JP"/>
              </w:rPr>
            </w:pPr>
          </w:p>
        </w:tc>
        <w:tc>
          <w:tcPr>
            <w:tcW w:w="1223"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249" w:type="dxa"/>
            <w:vAlign w:val="center"/>
          </w:tcPr>
          <w:p>
            <w:pPr>
              <w:rPr>
                <w:lang w:eastAsia="ja-JP"/>
              </w:rPr>
            </w:pPr>
          </w:p>
        </w:tc>
        <w:tc>
          <w:tcPr>
            <w:tcW w:w="1223"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249" w:type="dxa"/>
            <w:vAlign w:val="center"/>
          </w:tcPr>
          <w:p>
            <w:pPr>
              <w:rPr>
                <w:lang w:eastAsia="ja-JP"/>
              </w:rPr>
            </w:pPr>
          </w:p>
        </w:tc>
        <w:tc>
          <w:tcPr>
            <w:tcW w:w="1223"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3870" w:type="dxa"/>
            <w:vAlign w:val="center"/>
          </w:tcPr>
          <w:p>
            <w:r>
              <w:t>2022-N1QMS-4093566</w:t>
            </w:r>
          </w:p>
          <w:p>
            <w:r>
              <w:t>2021-N1EMS-3093566</w:t>
            </w:r>
          </w:p>
          <w:p>
            <w:r>
              <w:t>2022-N1OHSMS-3093566</w:t>
            </w:r>
          </w:p>
        </w:tc>
        <w:tc>
          <w:tcPr>
            <w:tcW w:w="2179" w:type="dxa"/>
            <w:vAlign w:val="center"/>
          </w:tcPr>
          <w:p>
            <w:r>
              <w:t>Q:33.02.01,33.02.02,34.01.02,34.02.00,35.07.00</w:t>
            </w:r>
          </w:p>
          <w:p>
            <w:r>
              <w:t>E:33.02.01,33.02.02,34.01.02,34.02.00,35.07.00</w:t>
            </w:r>
          </w:p>
          <w:p>
            <w:r>
              <w:t>O:33.02.01,33.02.02,34.01.02B,34.02.00,35.07.00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组员</w:t>
            </w:r>
          </w:p>
        </w:tc>
        <w:tc>
          <w:tcPr>
            <w:tcW w:w="711" w:type="dxa"/>
            <w:vAlign w:val="center"/>
          </w:tcPr>
          <w:p>
            <w:r>
              <w:t>男</w:t>
            </w:r>
          </w:p>
        </w:tc>
        <w:tc>
          <w:tcPr>
            <w:tcW w:w="3870" w:type="dxa"/>
            <w:vAlign w:val="center"/>
          </w:tcPr>
          <w:p>
            <w:r>
              <w:t>2020-N1QMS-1262293</w:t>
            </w:r>
          </w:p>
          <w:p>
            <w:r>
              <w:t>2020-N1EMS-1262293</w:t>
            </w:r>
          </w:p>
          <w:p>
            <w:r>
              <w:t>2021-N1OHSMS-1262293</w:t>
            </w:r>
          </w:p>
        </w:tc>
        <w:tc>
          <w:tcPr>
            <w:tcW w:w="2179" w:type="dxa"/>
            <w:vAlign w:val="center"/>
          </w:tcPr>
          <w:p>
            <w:r>
              <w:t>Q:34.02.00</w:t>
            </w:r>
          </w:p>
          <w:p>
            <w:r>
              <w:t>E:33.02.01,33.02.02,34.01.02,34.02.00,35.07.00</w:t>
            </w:r>
          </w:p>
          <w:p>
            <w:r>
              <w:t>O:33.02.01,33.02.02,34.02.00,35.07.00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r>
              <w:t>Q:33.02.01,33.02.02,34.01.02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罗田</w:t>
            </w:r>
          </w:p>
        </w:tc>
        <w:tc>
          <w:tcPr>
            <w:tcW w:w="1089" w:type="dxa"/>
            <w:vAlign w:val="center"/>
          </w:tcPr>
          <w:p>
            <w:r>
              <w:t>组员</w:t>
            </w:r>
          </w:p>
        </w:tc>
        <w:tc>
          <w:tcPr>
            <w:tcW w:w="711" w:type="dxa"/>
            <w:vAlign w:val="center"/>
          </w:tcPr>
          <w:p>
            <w:r>
              <w:t>男</w:t>
            </w:r>
          </w:p>
        </w:tc>
        <w:tc>
          <w:tcPr>
            <w:tcW w:w="3870" w:type="dxa"/>
            <w:vAlign w:val="center"/>
          </w:tcPr>
          <w:p>
            <w:r>
              <w:t>2022-N1QMS-1256319</w:t>
            </w:r>
          </w:p>
          <w:p>
            <w:r>
              <w:t>2022-N1EMS-1256319</w:t>
            </w:r>
          </w:p>
          <w:p>
            <w:r>
              <w:t>2022-N0OHSMS-1256319</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widowControl/>
              <w:jc w:val="left"/>
            </w:pPr>
            <w:r>
              <w:rPr>
                <w:rFonts w:hint="eastAsia"/>
                <w:lang w:val="en-US" w:eastAsia="zh-CN"/>
              </w:rPr>
              <w:t>原范围：</w:t>
            </w:r>
            <w:r>
              <w:t>E：计算机应用软件的设计开发；</w:t>
            </w:r>
            <w:r>
              <w:rPr>
                <w:rFonts w:hint="eastAsia"/>
              </w:rPr>
              <w:t>地理信息系统工程（地理信息数据采集、数据处理、数据库建设）</w:t>
            </w:r>
            <w:r>
              <w:t>；工程测量；测绘航空摄影；计算机信息系统集成</w:t>
            </w:r>
            <w:r>
              <w:rPr>
                <w:rFonts w:hint="eastAsia"/>
              </w:rPr>
              <w:t>所涉及场所的相关环境管理活动</w:t>
            </w:r>
            <w:r>
              <w:t>。</w:t>
            </w:r>
          </w:p>
          <w:p>
            <w:pPr>
              <w:widowControl/>
              <w:jc w:val="left"/>
            </w:pPr>
            <w:r>
              <w:t>O：计算机应用软件的设计开发；</w:t>
            </w:r>
            <w:r>
              <w:rPr>
                <w:rFonts w:hint="eastAsia"/>
              </w:rPr>
              <w:t>地理信息系统工程（地理信息数据采集、数据处理、数据库建设）</w:t>
            </w:r>
            <w:r>
              <w:t>；工程测量；测绘航空摄影；计算机信息系统集成</w:t>
            </w:r>
            <w:r>
              <w:rPr>
                <w:rFonts w:hint="eastAsia"/>
              </w:rPr>
              <w:t>所涉及场所的相关职业健康安全管理活动</w:t>
            </w:r>
            <w:r>
              <w:t>。</w:t>
            </w:r>
          </w:p>
          <w:p>
            <w:pPr>
              <w:rPr>
                <w:rFonts w:hint="eastAsia"/>
              </w:rPr>
            </w:pPr>
            <w:r>
              <w:t>Q：计算机应用软件的设计开发；</w:t>
            </w:r>
            <w:r>
              <w:rPr>
                <w:rFonts w:hint="eastAsia"/>
              </w:rPr>
              <w:t>地理信息系统工程（地理信息数据采集、数据处理、数据库建设）</w:t>
            </w:r>
            <w:r>
              <w:t>；工程测量；测绘航空摄影；计算机信息系统集</w:t>
            </w:r>
            <w:r>
              <w:rPr>
                <w:rFonts w:hint="eastAsia"/>
              </w:rPr>
              <w:t>成。</w:t>
            </w:r>
          </w:p>
          <w:p>
            <w:r>
              <w:rPr>
                <w:rFonts w:hint="eastAsia" w:ascii="宋体" w:hAnsi="宋体" w:cs="宋体"/>
                <w:color w:val="000000"/>
                <w:kern w:val="0"/>
                <w:szCs w:val="21"/>
                <w:lang w:val="en-US" w:eastAsia="zh-CN"/>
              </w:rPr>
              <w:t>现范围：</w:t>
            </w:r>
            <w:r>
              <w:t>Q：计算机应用软件的设计开发；地理信息系统工程；工程测量；测绘航空摄影；计算机信息系统集成</w:t>
            </w:r>
          </w:p>
          <w:p>
            <w:r>
              <w:t>E：计算机应用软件的设计开发；地理信息系统工程；工程测量；测绘航空摄影；计算机信息系统集成所涉及场所的相关环境管理活动</w:t>
            </w:r>
          </w:p>
          <w:p>
            <w:pPr>
              <w:pStyle w:val="2"/>
              <w:rPr>
                <w:rFonts w:hint="default" w:eastAsia="宋体"/>
                <w:lang w:val="en-US" w:eastAsia="zh-CN"/>
              </w:rPr>
            </w:pPr>
            <w:r>
              <w:t>O：计算机应用软件的设计开发；地理信息系统工程；工程测量；测绘航空摄影；计算机信息系统集成所涉及场所的相关职业健康安全管理活动。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default" w:eastAsia="宋体"/>
                <w:lang w:val="en-US" w:eastAsia="zh-CN"/>
              </w:rPr>
            </w:pPr>
            <w:r>
              <w:rPr>
                <w:rFonts w:hint="eastAsia"/>
                <w:lang w:val="en-US" w:eastAsia="zh-CN"/>
              </w:rPr>
              <w:t>由85人变为90人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QMS □EcMS</w:t>
      </w:r>
      <w:r>
        <w:rPr>
          <w:rFonts w:hint="eastAsia" w:ascii="宋体" w:hAnsi="宋体" w:eastAsia="宋体" w:cs="宋体"/>
        </w:rPr>
        <w:t>■</w:t>
      </w:r>
      <w:r>
        <w:rPr>
          <w:rFonts w:hint="eastAsia"/>
        </w:rPr>
        <w:t>EMS</w:t>
      </w:r>
      <w:r>
        <w:rPr>
          <w:rFonts w:hint="eastAsia" w:ascii="宋体" w:hAnsi="宋体" w:eastAsia="宋体" w:cs="宋体"/>
        </w:rPr>
        <w:t>■</w:t>
      </w:r>
      <w:r>
        <w:rPr>
          <w:rFonts w:hint="eastAsia"/>
        </w:rPr>
        <w:t>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ascii="宋体" w:hAnsi="宋体" w:eastAsia="宋体" w:cs="宋体"/>
              </w:rPr>
              <w:t>■</w:t>
            </w:r>
            <w:r>
              <w:rPr>
                <w:rFonts w:hint="eastAsia"/>
              </w:rPr>
              <w:t>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已完成整改，无类似问题再发生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ascii="宋体" w:hAnsi="宋体" w:eastAsia="宋体" w:cs="宋体"/>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ascii="宋体" w:hAnsi="宋体" w:eastAsia="宋体" w:cs="宋体"/>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ascii="宋体" w:hAnsi="宋体" w:eastAsia="宋体" w:cs="宋体"/>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vAlign w:val="top"/>
          </w:tcPr>
          <w:p>
            <w:pPr>
              <w:rPr>
                <w:rFonts w:ascii="Times New Roman" w:hAnsi="Times New Roman" w:eastAsia="宋体" w:cs="Times New Roman"/>
                <w:kern w:val="2"/>
                <w:sz w:val="21"/>
                <w:szCs w:val="24"/>
                <w:lang w:val="en-US" w:eastAsia="zh-CN" w:bidi="ar-SA"/>
              </w:rPr>
            </w:pPr>
            <w:r>
              <w:rPr>
                <w:rFonts w:ascii="宋体" w:hAnsi="宋体" w:cs="宋体"/>
                <w:color w:val="000000"/>
                <w:kern w:val="0"/>
                <w:szCs w:val="21"/>
              </w:rPr>
              <w:t>计算机应用软件的设计开发；</w:t>
            </w:r>
            <w:r>
              <w:rPr>
                <w:rFonts w:hint="eastAsia" w:ascii="宋体" w:hAnsi="宋体" w:cs="宋体"/>
                <w:color w:val="000000"/>
                <w:kern w:val="0"/>
                <w:szCs w:val="21"/>
              </w:rPr>
              <w:t>地理信息系统工程</w:t>
            </w:r>
            <w:r>
              <w:rPr>
                <w:rFonts w:ascii="宋体" w:hAnsi="宋体" w:cs="宋体"/>
                <w:color w:val="000000"/>
                <w:kern w:val="0"/>
                <w:szCs w:val="21"/>
              </w:rPr>
              <w:t>；工程测量；测绘航空摄影；计算机信息系统集</w:t>
            </w:r>
            <w:r>
              <w:rPr>
                <w:rFonts w:hint="eastAsia" w:ascii="宋体" w:hAnsi="宋体" w:cs="宋体"/>
                <w:color w:val="000000"/>
                <w:kern w:val="0"/>
                <w:szCs w:val="21"/>
              </w:rPr>
              <w:t>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vAlign w:val="top"/>
          </w:tcPr>
          <w:p>
            <w:pPr>
              <w:rPr>
                <w:rFonts w:ascii="Times New Roman" w:hAnsi="Times New Roman" w:eastAsia="宋体" w:cs="Times New Roman"/>
                <w:kern w:val="2"/>
                <w:sz w:val="21"/>
                <w:szCs w:val="24"/>
                <w:lang w:val="en-US" w:eastAsia="zh-CN" w:bidi="ar-SA"/>
              </w:rPr>
            </w:pPr>
            <w:r>
              <w:rPr>
                <w:rFonts w:ascii="宋体" w:hAnsi="宋体" w:cs="宋体"/>
                <w:color w:val="000000"/>
                <w:kern w:val="0"/>
                <w:szCs w:val="21"/>
              </w:rPr>
              <w:t>计算机应用软件的设计开发；</w:t>
            </w:r>
            <w:r>
              <w:rPr>
                <w:rFonts w:hint="eastAsia" w:ascii="宋体" w:hAnsi="宋体" w:cs="宋体"/>
                <w:color w:val="000000"/>
                <w:kern w:val="0"/>
                <w:szCs w:val="21"/>
              </w:rPr>
              <w:t>地理信息系统工程</w:t>
            </w:r>
            <w:r>
              <w:rPr>
                <w:rFonts w:ascii="宋体" w:hAnsi="宋体" w:cs="宋体"/>
                <w:color w:val="000000"/>
                <w:kern w:val="0"/>
                <w:szCs w:val="21"/>
              </w:rPr>
              <w:t>；工程测量；测绘航空摄影；计算机信息系统集成</w:t>
            </w:r>
            <w:r>
              <w:rPr>
                <w:rFonts w:hint="eastAsia" w:ascii="宋体" w:hAnsi="宋体" w:cs="宋体"/>
                <w:color w:val="000000"/>
                <w:kern w:val="0"/>
                <w:szCs w:val="21"/>
              </w:rPr>
              <w:t>所涉及场所的相关环境管理活动</w:t>
            </w:r>
            <w:r>
              <w:rPr>
                <w:rFonts w:ascii="宋体" w:hAnsi="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vAlign w:val="top"/>
          </w:tcPr>
          <w:p>
            <w:pPr>
              <w:rPr>
                <w:rFonts w:ascii="Times New Roman" w:hAnsi="Times New Roman" w:eastAsia="宋体" w:cs="Times New Roman"/>
                <w:kern w:val="2"/>
                <w:sz w:val="21"/>
                <w:szCs w:val="24"/>
                <w:lang w:val="en-US" w:eastAsia="zh-CN" w:bidi="ar-SA"/>
              </w:rPr>
            </w:pPr>
            <w:r>
              <w:rPr>
                <w:rFonts w:ascii="宋体" w:hAnsi="宋体" w:cs="宋体"/>
                <w:color w:val="000000"/>
                <w:kern w:val="0"/>
                <w:szCs w:val="21"/>
              </w:rPr>
              <w:t>计算机应用软件的设计开发；</w:t>
            </w:r>
            <w:r>
              <w:rPr>
                <w:rFonts w:hint="eastAsia" w:ascii="宋体" w:hAnsi="宋体" w:cs="宋体"/>
                <w:color w:val="000000"/>
                <w:kern w:val="0"/>
                <w:szCs w:val="21"/>
              </w:rPr>
              <w:t>地理信息系统工程</w:t>
            </w:r>
            <w:r>
              <w:rPr>
                <w:rFonts w:hint="eastAsia" w:ascii="宋体" w:hAnsi="宋体" w:cs="宋体"/>
                <w:color w:val="000000"/>
                <w:kern w:val="0"/>
                <w:szCs w:val="21"/>
                <w:lang w:eastAsia="zh-CN"/>
              </w:rPr>
              <w:t>；</w:t>
            </w:r>
            <w:r>
              <w:rPr>
                <w:rFonts w:ascii="宋体" w:hAnsi="宋体" w:cs="宋体"/>
                <w:color w:val="000000"/>
                <w:kern w:val="0"/>
                <w:szCs w:val="21"/>
              </w:rPr>
              <w:t>工程测量；测绘航空摄影；计算机信息系统集成</w:t>
            </w:r>
            <w:r>
              <w:rPr>
                <w:rFonts w:hint="eastAsia" w:ascii="宋体" w:hAnsi="宋体" w:cs="宋体"/>
                <w:color w:val="000000"/>
                <w:kern w:val="0"/>
                <w:szCs w:val="21"/>
              </w:rPr>
              <w:t>所涉及场所的相关职业健康安全管理活动</w:t>
            </w:r>
            <w:r>
              <w:rPr>
                <w:rFonts w:ascii="宋体" w:hAnsi="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在完成纠正措施后推荐保持认证注册(</w:t>
            </w:r>
            <w:r>
              <w:rPr>
                <w:rFonts w:hint="eastAsia" w:ascii="宋体" w:hAnsi="宋体" w:eastAsia="宋体" w:cs="宋体"/>
              </w:rPr>
              <w:t>■</w:t>
            </w:r>
            <w:r>
              <w:rPr>
                <w:rFonts w:hint="eastAsia"/>
              </w:rPr>
              <w:t>监督审核</w:t>
            </w:r>
            <w:r>
              <w:rPr>
                <w:rFonts w:hint="eastAsia" w:ascii="宋体" w:hAnsi="宋体" w:eastAsia="宋体" w:cs="宋体"/>
              </w:rPr>
              <w:t>■</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b/>
                <w:sz w:val="22"/>
                <w:szCs w:val="22"/>
              </w:rPr>
              <w:drawing>
                <wp:anchor distT="0" distB="0" distL="114300" distR="114300" simplePos="0" relativeHeight="251662336" behindDoc="1" locked="0" layoutInCell="1" allowOverlap="1">
                  <wp:simplePos x="0" y="0"/>
                  <wp:positionH relativeFrom="column">
                    <wp:posOffset>596265</wp:posOffset>
                  </wp:positionH>
                  <wp:positionV relativeFrom="paragraph">
                    <wp:posOffset>66040</wp:posOffset>
                  </wp:positionV>
                  <wp:extent cx="401955" cy="361950"/>
                  <wp:effectExtent l="0" t="0" r="9525" b="3810"/>
                  <wp:wrapNone/>
                  <wp:docPr id="1"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19-09-04 21.08.47.jpg"/>
                          <pic:cNvPicPr>
                            <a:picLocks noChangeAspect="1" noChangeArrowheads="1"/>
                          </pic:cNvPicPr>
                        </pic:nvPicPr>
                        <pic:blipFill>
                          <a:blip r:embed="rId6" cstate="print"/>
                          <a:srcRect/>
                          <a:stretch>
                            <a:fillRect/>
                          </a:stretch>
                        </pic:blipFill>
                        <pic:spPr>
                          <a:xfrm>
                            <a:off x="0" y="0"/>
                            <a:ext cx="401955" cy="361950"/>
                          </a:xfrm>
                          <a:prstGeom prst="rect">
                            <a:avLst/>
                          </a:prstGeom>
                          <a:noFill/>
                          <a:ln w="9525">
                            <a:noFill/>
                            <a:miter lim="800000"/>
                            <a:headEnd/>
                            <a:tailEnd/>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2022年8月23日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br w:type="page"/>
      </w: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 xml:space="preserve"> □QMS体系建立以来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vAlign w:val="top"/>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 ■绩效 ■工艺 ■设备 ■人员能力 □其他 </w:t>
                  </w:r>
                </w:p>
              </w:tc>
            </w:tr>
          </w:tbl>
          <w:p>
            <w:pPr>
              <w:shd w:val="clear" w:color="auto" w:fill="C7DAF1" w:themeFill="text2"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rFonts w:ascii="Times New Roman" w:hAnsi="Times New Roman" w:eastAsia="宋体" w:cs="Times New Roman"/>
                <w:kern w:val="2"/>
                <w:sz w:val="21"/>
                <w:szCs w:val="24"/>
                <w:highlight w:val="cy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□设备能力 ■人员能力 □检测水平■合同评审 □知识保密 </w:t>
            </w:r>
          </w:p>
          <w:p>
            <w:pPr>
              <w:shd w:val="clear" w:color="auto" w:fill="C7DAF1" w:themeFill="text2" w:themeFillTint="32"/>
              <w:spacing w:before="40" w:after="40"/>
            </w:pPr>
            <w:r>
              <w:rPr>
                <w:rFonts w:hint="eastAsia"/>
              </w:rPr>
              <w:t>■新产品设计开发 ■原材料采购 ■外部供方控制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最高管理者制定了文件化的管理体系方针：</w:t>
            </w:r>
            <w:r>
              <w:rPr>
                <w:rFonts w:hint="eastAsia"/>
                <w:u w:val="single"/>
              </w:rPr>
              <w:t>以稳定品质、完善服务、持续改进、满足顾客需求；</w:t>
            </w:r>
          </w:p>
          <w:p>
            <w:pPr>
              <w:shd w:val="clear" w:color="auto" w:fill="C7DAF1" w:themeFill="text2" w:themeFillTint="32"/>
              <w:rPr>
                <w:lang w:val="en-GB"/>
              </w:rPr>
            </w:pPr>
            <w:r>
              <w:rPr>
                <w:rFonts w:hint="eastAsia"/>
                <w:u w:val="single"/>
              </w:rPr>
              <w:t>以安全生产、保护环境、守法诚信、体现社会责任。</w:t>
            </w:r>
          </w:p>
          <w:p>
            <w:pPr>
              <w:shd w:val="clear" w:color="auto" w:fill="C7DAF1" w:themeFill="text2" w:themeFillTint="32"/>
              <w:rPr>
                <w:u w:val="single"/>
              </w:rPr>
            </w:pP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QMS的主管部门是——技术部</w:t>
            </w:r>
          </w:p>
          <w:p>
            <w:pPr>
              <w:shd w:val="clear" w:color="auto" w:fill="C7DAF1" w:themeFill="text2"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rPr>
                    <w:t>及时关注公司产品市场的情况，收集信息及时调整，保持公司产品的竞争力</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color w:val="000000"/>
                      <w:szCs w:val="18"/>
                    </w:rPr>
                    <w:t>客户满意度≥90分</w:t>
                  </w:r>
                </w:p>
              </w:tc>
              <w:tc>
                <w:tcPr>
                  <w:tcW w:w="3136" w:type="dxa"/>
                  <w:shd w:val="clear" w:color="auto" w:fill="auto"/>
                  <w:vAlign w:val="center"/>
                </w:tcPr>
                <w:p>
                  <w:pPr>
                    <w:shd w:val="clear" w:color="auto" w:fill="C7DAF1" w:themeFill="text2" w:themeFillTint="32"/>
                    <w:rPr>
                      <w:rFonts w:ascii="Times New Roman" w:hAnsi="Times New Roman" w:eastAsia="宋体" w:cs="Times New Roman"/>
                      <w:kern w:val="2"/>
                      <w:sz w:val="21"/>
                      <w:szCs w:val="24"/>
                      <w:lang w:val="en-GB" w:eastAsia="zh-CN" w:bidi="ar-SA"/>
                    </w:rPr>
                  </w:pPr>
                  <w:r>
                    <w:rPr>
                      <w:rFonts w:hint="eastAsia" w:ascii="宋体" w:hAnsi="宋体"/>
                      <w:szCs w:val="21"/>
                    </w:rPr>
                    <w:t>客户满意度平均分数</w:t>
                  </w:r>
                </w:p>
              </w:tc>
              <w:tc>
                <w:tcPr>
                  <w:tcW w:w="1350" w:type="dxa"/>
                  <w:shd w:val="clear" w:color="auto" w:fill="auto"/>
                  <w:vAlign w:val="center"/>
                </w:tcPr>
                <w:p>
                  <w:pPr>
                    <w:shd w:val="clear" w:color="auto" w:fill="C7DAF1" w:themeFill="text2" w:themeFillTint="32"/>
                    <w:rPr>
                      <w:rFonts w:ascii="Times New Roman" w:hAnsi="Times New Roman" w:eastAsia="宋体" w:cs="Times New Roman"/>
                      <w:kern w:val="2"/>
                      <w:sz w:val="21"/>
                      <w:szCs w:val="24"/>
                      <w:lang w:val="en-GB" w:eastAsia="zh-CN" w:bidi="ar-SA"/>
                    </w:rPr>
                  </w:pPr>
                  <w:r>
                    <w:rPr>
                      <w:rFonts w:hint="eastAsia"/>
                    </w:rPr>
                    <w:t>市场部</w:t>
                  </w:r>
                </w:p>
              </w:tc>
              <w:tc>
                <w:tcPr>
                  <w:tcW w:w="1774" w:type="dxa"/>
                  <w:shd w:val="clear" w:color="auto" w:fill="auto"/>
                  <w:vAlign w:val="center"/>
                </w:tcPr>
                <w:p>
                  <w:pPr>
                    <w:shd w:val="clear" w:color="auto" w:fill="C7DAF1" w:themeFill="text2" w:themeFillTint="32"/>
                    <w:jc w:val="center"/>
                    <w:rPr>
                      <w:rFonts w:ascii="宋体" w:hAnsi="宋体" w:eastAsia="宋体" w:cs="Times New Roman"/>
                      <w:kern w:val="2"/>
                      <w:sz w:val="21"/>
                      <w:szCs w:val="24"/>
                      <w:lang w:val="en-GB" w:eastAsia="zh-CN" w:bidi="ar-SA"/>
                    </w:rPr>
                  </w:pPr>
                  <w:r>
                    <w:rPr>
                      <w:rFonts w:hint="eastAsia" w:ascii="宋体" w:hAnsi="宋体"/>
                    </w:rPr>
                    <w:t>98分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pStyle w:val="2"/>
                    <w:rPr>
                      <w:rFonts w:ascii="宋体" w:hAnsi="宋体" w:cs="宋体"/>
                      <w:bCs w:val="0"/>
                      <w:spacing w:val="0"/>
                      <w:szCs w:val="21"/>
                    </w:rPr>
                  </w:pPr>
                  <w:r>
                    <w:rPr>
                      <w:rFonts w:hint="eastAsia" w:ascii="宋体" w:hAnsi="宋体" w:cs="宋体"/>
                      <w:bCs w:val="0"/>
                      <w:spacing w:val="0"/>
                      <w:szCs w:val="21"/>
                    </w:rPr>
                    <w:t>项目一次交付合格率100%</w:t>
                  </w:r>
                </w:p>
                <w:p>
                  <w:pPr>
                    <w:shd w:val="clear" w:color="auto" w:fill="C7DAF1" w:themeFill="text2" w:themeFillTint="32"/>
                    <w:rPr>
                      <w:rFonts w:ascii="Times New Roman" w:hAnsi="Times New Roman" w:eastAsia="宋体" w:cs="Times New Roman"/>
                      <w:kern w:val="2"/>
                      <w:sz w:val="21"/>
                      <w:szCs w:val="24"/>
                      <w:lang w:val="en-US" w:eastAsia="zh-CN" w:bidi="ar-SA"/>
                    </w:rPr>
                  </w:pPr>
                </w:p>
              </w:tc>
              <w:tc>
                <w:tcPr>
                  <w:tcW w:w="3136"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ascii="宋体" w:hAnsi="宋体"/>
                    </w:rPr>
                    <w:t>项目交验合格数/项目总数*100%</w:t>
                  </w:r>
                </w:p>
              </w:tc>
              <w:tc>
                <w:tcPr>
                  <w:tcW w:w="1350"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ascii="宋体" w:hAnsi="宋体"/>
                    </w:rPr>
                    <w:t>技术部</w:t>
                  </w:r>
                </w:p>
              </w:tc>
              <w:tc>
                <w:tcPr>
                  <w:tcW w:w="1774" w:type="dxa"/>
                  <w:shd w:val="clear" w:color="auto" w:fill="auto"/>
                  <w:vAlign w:val="center"/>
                </w:tcPr>
                <w:p>
                  <w:pPr>
                    <w:shd w:val="clear" w:color="auto" w:fill="C7DAF1" w:themeFill="text2" w:themeFillTint="32"/>
                    <w:jc w:val="center"/>
                    <w:rPr>
                      <w:rFonts w:ascii="宋体" w:hAnsi="宋体" w:eastAsia="宋体" w:cs="Times New Roman"/>
                      <w:kern w:val="2"/>
                      <w:sz w:val="21"/>
                      <w:szCs w:val="24"/>
                      <w:lang w:val="en-US" w:eastAsia="zh-CN" w:bidi="ar-SA"/>
                    </w:rPr>
                  </w:pPr>
                  <w:r>
                    <w:rPr>
                      <w:rFonts w:hint="eastAsia"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宋体" w:hAnsi="宋体" w:eastAsia="宋体" w:cs="宋体"/>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vAlign w:val="top"/>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700 </w:t>
            </w:r>
            <w:r>
              <w:rPr>
                <w:rFonts w:hint="eastAsia"/>
              </w:rPr>
              <w:t>平方米；生产车间</w:t>
            </w:r>
            <w:r>
              <w:rPr>
                <w:rFonts w:hint="eastAsia"/>
                <w:u w:val="single"/>
              </w:rPr>
              <w:t xml:space="preserve">  </w:t>
            </w:r>
            <w:r>
              <w:rPr>
                <w:rFonts w:hint="eastAsia"/>
              </w:rPr>
              <w:t>个；库房</w:t>
            </w:r>
            <w:r>
              <w:rPr>
                <w:rFonts w:hint="eastAsia"/>
                <w:u w:val="single"/>
              </w:rPr>
              <w:t xml:space="preserve">  1  </w:t>
            </w:r>
            <w:r>
              <w:rPr>
                <w:rFonts w:hint="eastAsia"/>
              </w:rPr>
              <w:t>个；实验室</w:t>
            </w:r>
            <w:r>
              <w:rPr>
                <w:rFonts w:hint="eastAsia"/>
                <w:u w:val="single"/>
              </w:rPr>
              <w:t xml:space="preserve">   </w:t>
            </w:r>
            <w:r>
              <w:rPr>
                <w:rFonts w:hint="eastAsia"/>
              </w:rPr>
              <w:t>个；</w:t>
            </w:r>
          </w:p>
          <w:p>
            <w:pPr>
              <w:shd w:val="clear" w:color="auto" w:fill="C7DAF1" w:themeFill="text2" w:themeFillTint="32"/>
              <w:rPr>
                <w:rFonts w:ascii="宋体" w:hAnsi="宋体" w:cs="宋体"/>
                <w:kern w:val="0"/>
                <w:szCs w:val="21"/>
                <w:u w:val="single"/>
              </w:rPr>
            </w:pPr>
            <w:r>
              <w:rPr>
                <w:rFonts w:hint="eastAsia"/>
              </w:rPr>
              <w:t>主要生产设备有：</w:t>
            </w:r>
            <w:r>
              <w:rPr>
                <w:rFonts w:ascii="宋体" w:hAnsi="宋体" w:cs="宋体"/>
                <w:kern w:val="0"/>
                <w:szCs w:val="21"/>
                <w:u w:val="single"/>
              </w:rPr>
              <w:t>电脑、打印机</w:t>
            </w:r>
            <w:r>
              <w:rPr>
                <w:rFonts w:hint="eastAsia" w:ascii="宋体" w:hAnsi="宋体" w:cs="宋体"/>
                <w:kern w:val="0"/>
                <w:szCs w:val="21"/>
                <w:u w:val="single"/>
              </w:rPr>
              <w:t>、复印机</w:t>
            </w:r>
            <w:r>
              <w:rPr>
                <w:rFonts w:ascii="宋体" w:hAnsi="宋体" w:cs="宋体"/>
                <w:kern w:val="0"/>
                <w:szCs w:val="21"/>
                <w:u w:val="single"/>
              </w:rPr>
              <w:t>和</w:t>
            </w:r>
            <w:r>
              <w:rPr>
                <w:rFonts w:hint="eastAsia" w:ascii="宋体" w:hAnsi="宋体" w:cs="宋体"/>
                <w:kern w:val="0"/>
                <w:szCs w:val="21"/>
                <w:u w:val="single"/>
              </w:rPr>
              <w:t>无人机，剥线钳等和GNSS接收机、全站仪等检测设备。</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rPr>
              <w:t>■</w:t>
            </w:r>
            <w:r>
              <w:rPr>
                <w:rFonts w:hint="eastAsia"/>
              </w:rPr>
              <w:t xml:space="preserve">不适用  </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rFonts w:ascii="Times New Roman" w:hAnsi="Times New Roman" w:eastAsia="宋体" w:cs="Times New Roman"/>
                <w:kern w:val="2"/>
                <w:sz w:val="21"/>
                <w:szCs w:val="24"/>
                <w:u w:val="single"/>
                <w:lang w:val="en-US" w:eastAsia="zh-CN" w:bidi="ar-SA"/>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 xml:space="preserve">计量器具   </w:t>
            </w:r>
            <w:r>
              <w:rPr>
                <w:rFonts w:hint="eastAsia" w:ascii="Wingdings" w:hAnsi="Wingdings"/>
                <w:lang w:eastAsia="zh-CN"/>
              </w:rPr>
              <w:t>□</w:t>
            </w:r>
            <w:r>
              <w:rPr>
                <w:rFonts w:hint="eastAsia"/>
              </w:rPr>
              <w:t xml:space="preserve">服务流程检查表  </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rPr>
              <w:t>■</w:t>
            </w:r>
            <w:r>
              <w:rPr>
                <w:rFonts w:hint="eastAsia"/>
              </w:rPr>
              <w:t xml:space="preserve">外校 </w:t>
            </w:r>
          </w:p>
          <w:p>
            <w:pPr>
              <w:shd w:val="clear" w:color="auto" w:fill="C7DAF1" w:themeFill="text2" w:themeFillTint="32"/>
              <w:rPr>
                <w:highlight w:val="green"/>
                <w:u w:val="single"/>
              </w:rPr>
            </w:pPr>
            <w:r>
              <w:rPr>
                <w:rFonts w:hint="eastAsia"/>
              </w:rPr>
              <w:t>国家强检的计量器具有：GNSS接收机、全站仪检测</w:t>
            </w:r>
          </w:p>
          <w:p>
            <w:pPr>
              <w:shd w:val="clear" w:color="auto" w:fill="C7DAF1" w:themeFill="text2" w:themeFillTint="32"/>
              <w:rPr>
                <w:rFonts w:ascii="Times New Roman" w:hAnsi="Times New Roman" w:eastAsia="宋体" w:cs="Times New Roman"/>
                <w:kern w:val="2"/>
                <w:sz w:val="21"/>
                <w:szCs w:val="24"/>
                <w:u w:val="single"/>
                <w:lang w:val="en-US" w:eastAsia="zh-CN" w:bidi="ar-SA"/>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rPr>
              <w:t>□</w:t>
            </w:r>
            <w:r>
              <w:rPr>
                <w:rFonts w:hint="eastAsia"/>
              </w:rPr>
              <w:t xml:space="preserve">加工工艺 </w:t>
            </w:r>
            <w:r>
              <w:rPr>
                <w:rFonts w:hint="eastAsia" w:ascii="Wingdings" w:hAnsi="Wingdings"/>
              </w:rPr>
              <w:t>■</w:t>
            </w:r>
            <w:r>
              <w:rPr>
                <w:rFonts w:hint="eastAsia"/>
              </w:rPr>
              <w:t xml:space="preserve">生产经验 ■管理软件 □市场预测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 xml:space="preserve">外部知识: </w:t>
            </w:r>
            <w:r>
              <w:rPr>
                <w:rFonts w:hint="eastAsia" w:ascii="Wingdings" w:hAnsi="Wingdings"/>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lang w:eastAsia="zh-CN"/>
              </w:rPr>
              <w:t>□</w:t>
            </w:r>
            <w:r>
              <w:rPr>
                <w:rFonts w:hint="eastAsia"/>
              </w:rPr>
              <w:t xml:space="preserve">换岗 ■培训  </w:t>
            </w:r>
            <w:r>
              <w:rPr>
                <w:rFonts w:hint="eastAsia" w:ascii="Wingdings" w:hAnsi="Wingdings"/>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■标语  ■展板   </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rPr>
              <w:t>■</w:t>
            </w:r>
            <w:r>
              <w:rPr>
                <w:rFonts w:hint="eastAsia"/>
              </w:rPr>
              <w:t xml:space="preserve">标语 ■展板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rFonts w:ascii="Times New Roman" w:hAnsi="Times New Roman" w:eastAsia="宋体" w:cs="Times New Roman"/>
                <w:kern w:val="2"/>
                <w:sz w:val="21"/>
                <w:szCs w:val="24"/>
                <w:highlight w:val="yellow"/>
                <w:lang w:val="en-US" w:eastAsia="zh-CN" w:bidi="ar-SA"/>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rPr>
              <w:t>■</w:t>
            </w:r>
            <w:r>
              <w:rPr>
                <w:rFonts w:hint="eastAsia"/>
              </w:rPr>
              <w:t xml:space="preserve">外来标准 </w:t>
            </w:r>
            <w:r>
              <w:rPr>
                <w:rFonts w:hint="eastAsia" w:ascii="Wingdings" w:hAnsi="Wingdings"/>
                <w:lang w:eastAsia="zh-CN"/>
              </w:rPr>
              <w:t>□</w:t>
            </w:r>
            <w:r>
              <w:rPr>
                <w:rFonts w:hint="eastAsia"/>
              </w:rPr>
              <w:t xml:space="preserve">企业标准 ■顾客要求  </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u w:val="single"/>
              </w:rPr>
            </w:pPr>
            <w:r>
              <w:rPr>
                <w:rFonts w:hint="eastAsia"/>
              </w:rPr>
              <w:t>审核期间内设计和开发新产品/项目名称：四川中民燃气工程管理项目</w:t>
            </w:r>
            <w:r>
              <w:rPr>
                <w:rFonts w:hint="eastAsia"/>
                <w:u w:val="single"/>
              </w:rPr>
              <w:t xml:space="preserve">  </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提供给外部供方的信息</w:t>
            </w:r>
            <w:r>
              <w:rPr>
                <w:rFonts w:hint="eastAsia" w:ascii="Wingdings" w:hAnsi="Wingdings"/>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vAlign w:val="top"/>
                </w:tcPr>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ascii="宋体" w:hAnsi="宋体" w:cs="宋体"/>
                      <w:color w:val="000000"/>
                      <w:kern w:val="0"/>
                      <w:szCs w:val="21"/>
                    </w:rPr>
                    <w:t>计算机应用软件的设计开发；</w:t>
                  </w:r>
                  <w:r>
                    <w:rPr>
                      <w:rFonts w:hint="eastAsia" w:ascii="宋体" w:hAnsi="宋体" w:cs="宋体"/>
                      <w:color w:val="000000"/>
                      <w:kern w:val="0"/>
                      <w:szCs w:val="21"/>
                    </w:rPr>
                    <w:t>地理信息系统工程（地理信息数据采集、数据处理、数据库建设）</w:t>
                  </w:r>
                  <w:r>
                    <w:rPr>
                      <w:rFonts w:ascii="宋体" w:hAnsi="宋体" w:cs="宋体"/>
                      <w:color w:val="000000"/>
                      <w:kern w:val="0"/>
                      <w:szCs w:val="21"/>
                    </w:rPr>
                    <w:t>；工程测量；测绘航空摄影；计算机信息系统集</w:t>
                  </w:r>
                  <w:r>
                    <w:rPr>
                      <w:rFonts w:hint="eastAsia" w:ascii="宋体" w:hAnsi="宋体" w:cs="宋体"/>
                      <w:color w:val="000000"/>
                      <w:kern w:val="0"/>
                      <w:szCs w:val="21"/>
                    </w:rPr>
                    <w:t>成。</w:t>
                  </w:r>
                </w:p>
              </w:tc>
              <w:tc>
                <w:tcPr>
                  <w:tcW w:w="3665" w:type="dxa"/>
                  <w:vAlign w:val="top"/>
                </w:tcPr>
                <w:p>
                  <w:pPr>
                    <w:shd w:val="clear" w:color="auto" w:fill="C7DAF1" w:themeFill="text2" w:themeFillTint="32"/>
                    <w:jc w:val="left"/>
                    <w:rPr>
                      <w:rFonts w:ascii="Times New Roman" w:hAnsi="Times New Roman" w:eastAsia="宋体" w:cs="Times New Roman"/>
                      <w:kern w:val="2"/>
                      <w:sz w:val="20"/>
                      <w:szCs w:val="24"/>
                      <w:lang w:val="en-US" w:eastAsia="zh-CN" w:bidi="ar-SA"/>
                    </w:rPr>
                  </w:pPr>
                  <w:r>
                    <w:rPr>
                      <w:rFonts w:hint="eastAsia"/>
                      <w:sz w:val="20"/>
                    </w:rPr>
                    <w:t>设计过程、隐蔽工程过程、服务过程</w:t>
                  </w:r>
                </w:p>
              </w:tc>
              <w:tc>
                <w:tcPr>
                  <w:tcW w:w="3265" w:type="dxa"/>
                  <w:vAlign w:val="top"/>
                </w:tcPr>
                <w:p>
                  <w:pPr>
                    <w:shd w:val="clear" w:color="auto" w:fill="C7DAF1" w:themeFill="text2" w:themeFillTint="32"/>
                    <w:jc w:val="left"/>
                    <w:rPr>
                      <w:rFonts w:ascii="Times New Roman" w:hAnsi="Times New Roman" w:eastAsia="宋体" w:cs="Times New Roman"/>
                      <w:kern w:val="2"/>
                      <w:sz w:val="20"/>
                      <w:szCs w:val="24"/>
                      <w:lang w:val="en-US" w:eastAsia="zh-CN" w:bidi="ar-SA"/>
                    </w:rPr>
                  </w:pPr>
                  <w:r>
                    <w:rPr>
                      <w:rFonts w:hint="eastAsia"/>
                      <w:sz w:val="20"/>
                    </w:rPr>
                    <w:t>研发流程、设计方案、技术交底、记录和报告规范性等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sz w:val="20"/>
                <w:u w:val="single"/>
              </w:rPr>
              <w:t>设计过程、隐蔽工程过程、服务过程</w:t>
            </w:r>
          </w:p>
          <w:p>
            <w:pPr>
              <w:shd w:val="clear" w:color="auto" w:fill="C7DAF1" w:themeFill="text2" w:themeFillTint="32"/>
              <w:jc w:val="left"/>
            </w:pPr>
            <w:r>
              <w:rPr>
                <w:rFonts w:hint="eastAsia" w:ascii="Wingdings" w:hAnsi="Wingdings"/>
              </w:rPr>
              <w:t>■</w:t>
            </w:r>
            <w:r>
              <w:rPr>
                <w:rFonts w:hint="eastAsia"/>
              </w:rPr>
              <w:t xml:space="preserve">进行了有效的确认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顾客或外部供方财产控制：</w:t>
            </w:r>
            <w:r>
              <w:rPr>
                <w:rFonts w:hint="eastAsia" w:ascii="Wingdings" w:hAnsi="Wingdings"/>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产品防护：</w:t>
            </w:r>
            <w:r>
              <w:rPr>
                <w:rFonts w:hint="eastAsia" w:ascii="Wingdings" w:hAnsi="Wingdings"/>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rPr>
              <w:t>■</w:t>
            </w:r>
            <w:r>
              <w:rPr>
                <w:rFonts w:hint="eastAsia"/>
              </w:rPr>
              <w:t>其他：返工</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交付后活动：</w:t>
            </w:r>
            <w:r>
              <w:rPr>
                <w:rFonts w:hint="eastAsia" w:ascii="Wingdings" w:hAnsi="Wingdings"/>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变更控制：</w:t>
            </w:r>
            <w:r>
              <w:rPr>
                <w:rFonts w:hint="eastAsia" w:ascii="Wingdings" w:hAnsi="Wingdings"/>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产品检验/服务放行：</w:t>
            </w:r>
            <w:r>
              <w:rPr>
                <w:rFonts w:hint="eastAsia" w:ascii="Wingdings" w:hAnsi="Wingdings"/>
                <w:lang w:eastAsia="zh-CN"/>
              </w:rPr>
              <w:t>□</w:t>
            </w:r>
            <w:r>
              <w:rPr>
                <w:rFonts w:hint="eastAsia" w:ascii="Wingdings" w:hAnsi="Wingdings"/>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不合格品控制：</w:t>
            </w:r>
            <w:r>
              <w:rPr>
                <w:rFonts w:hint="eastAsia" w:ascii="Wingdings" w:hAnsi="Wingdings"/>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vAlign w:val="top"/>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2022年5月24日-25日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最高管理者已按策划的时间间隔，在202</w:t>
            </w:r>
            <w:r>
              <w:rPr>
                <w:rFonts w:hint="eastAsia"/>
                <w:lang w:val="en-US" w:eastAsia="zh-CN"/>
              </w:rPr>
              <w:t>2年6月17日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Wingdings" w:hAnsi="Wingdings"/>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vAlign w:val="center"/>
          </w:tcPr>
          <w:p>
            <w:pPr>
              <w:shd w:val="clear" w:color="auto" w:fill="C7DAF1" w:themeFill="text2" w:themeFillTint="32"/>
              <w:rPr>
                <w:lang w:eastAsia="ja-JP"/>
              </w:rPr>
            </w:pPr>
            <w:r>
              <w:rPr>
                <w:rFonts w:hint="eastAsia"/>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rPr>
              <w:t>1</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ascii="宋体" w:hAnsi="宋体" w:eastAsia="宋体" w:cs="宋体"/>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vAlign w:val="top"/>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 xml:space="preserve">■法律法规 ■技术 ■竞争 ■市场 □文化 □社会 ■经济环境 </w:t>
                  </w:r>
                </w:p>
                <w:p>
                  <w:pPr>
                    <w:shd w:val="clear" w:color="auto" w:fill="EBF1DE" w:themeFill="accent3" w:themeFillTint="32"/>
                  </w:pPr>
                  <w:r>
                    <w:rPr>
                      <w:rFonts w:hint="eastAsia"/>
                    </w:rPr>
                    <w:t>□政治 ■监管  ■财务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 xml:space="preserve">■价值观  □文化  □知识 ■绩效 ■工艺 ■设备 ■人员能力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rFonts w:ascii="Times New Roman" w:hAnsi="Times New Roman" w:eastAsia="宋体" w:cs="Times New Roman"/>
                <w:kern w:val="2"/>
                <w:sz w:val="21"/>
                <w:szCs w:val="24"/>
                <w:highlight w:val="cy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■采购 ■人力资源■营销和市场  ■生产 ■检验 ■仓库管理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 xml:space="preserve">■节约能源  ■节约资源 ■达标排放 ■消防控制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vAlign w:val="top"/>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最高管理者制定了文件化的管理体系方针：</w:t>
            </w:r>
            <w:r>
              <w:rPr>
                <w:rFonts w:hint="eastAsia"/>
                <w:u w:val="single"/>
              </w:rPr>
              <w:t>以稳定品质、完善服务、持续改进、满足顾客需求；</w:t>
            </w:r>
          </w:p>
          <w:p>
            <w:pPr>
              <w:shd w:val="clear" w:color="auto" w:fill="EBF1DE" w:themeFill="accent3" w:themeFillTint="32"/>
              <w:rPr>
                <w:u w:val="single"/>
              </w:rPr>
            </w:pPr>
            <w:r>
              <w:rPr>
                <w:rFonts w:hint="eastAsia"/>
                <w:u w:val="single"/>
              </w:rPr>
              <w:t>以安全生产、保护环境、守法诚信、体现社会责任。</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EMS的主管部门是——行政部</w:t>
            </w:r>
          </w:p>
          <w:p>
            <w:pPr>
              <w:shd w:val="clear" w:color="auto" w:fill="EBF1DE" w:themeFill="accent3"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vAlign w:val="top"/>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asciiTheme="minorEastAsia" w:hAnsiTheme="minorEastAsia" w:eastAsiaTheme="minorEastAsia"/>
                      <w:szCs w:val="21"/>
                    </w:rPr>
                    <w:t>潜在火灾</w:t>
                  </w:r>
                </w:p>
              </w:tc>
              <w:tc>
                <w:tcPr>
                  <w:tcW w:w="3965" w:type="dxa"/>
                </w:tcPr>
                <w:p>
                  <w:pPr>
                    <w:shd w:val="clear" w:color="auto" w:fill="EBF1DE" w:themeFill="accent3" w:themeFillTint="32"/>
                  </w:pPr>
                  <w:r>
                    <w:rPr>
                      <w:rFonts w:hint="eastAsia" w:asciiTheme="minorEastAsia" w:hAnsiTheme="minorEastAsia" w:eastAsiaTheme="minorEastAsia"/>
                      <w:szCs w:val="21"/>
                    </w:rPr>
                    <w:t>通过管理方案和预案措施、应急演练进行管理</w:t>
                  </w:r>
                </w:p>
              </w:tc>
              <w:tc>
                <w:tcPr>
                  <w:tcW w:w="1717"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固废排放</w:t>
                  </w:r>
                </w:p>
              </w:tc>
              <w:tc>
                <w:tcPr>
                  <w:tcW w:w="3965" w:type="dxa"/>
                </w:tcPr>
                <w:p>
                  <w:pPr>
                    <w:shd w:val="clear" w:color="auto" w:fill="EBF1DE" w:themeFill="accent3" w:themeFillTint="32"/>
                  </w:pPr>
                  <w:r>
                    <w:rPr>
                      <w:rFonts w:hint="eastAsia" w:asciiTheme="minorEastAsia" w:hAnsiTheme="minorEastAsia" w:eastAsiaTheme="minorEastAsia"/>
                      <w:szCs w:val="21"/>
                    </w:rPr>
                    <w:t>采取分类收集、管理方案进行管理</w:t>
                  </w:r>
                </w:p>
              </w:tc>
              <w:tc>
                <w:tcPr>
                  <w:tcW w:w="1717"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噪声排放</w:t>
                  </w:r>
                </w:p>
              </w:tc>
              <w:tc>
                <w:tcPr>
                  <w:tcW w:w="3965" w:type="dxa"/>
                </w:tcPr>
                <w:p>
                  <w:pPr>
                    <w:shd w:val="clear" w:color="auto" w:fill="EBF1DE" w:themeFill="accent3" w:themeFillTint="32"/>
                  </w:pPr>
                  <w:r>
                    <w:rPr>
                      <w:rFonts w:hint="eastAsia" w:asciiTheme="minorEastAsia" w:hAnsiTheme="minorEastAsia" w:eastAsiaTheme="minorEastAsia"/>
                      <w:szCs w:val="21"/>
                    </w:rPr>
                    <w:t>采取分类收集、管理方案进行管理</w:t>
                  </w:r>
                </w:p>
              </w:tc>
              <w:tc>
                <w:tcPr>
                  <w:tcW w:w="1717"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ascii="Times New Roman" w:hAnsi="Times New Roman" w:eastAsia="宋体" w:cs="Times New Roman"/>
                <w:kern w:val="2"/>
                <w:sz w:val="21"/>
                <w:szCs w:val="24"/>
                <w:highlight w:val="cyan"/>
                <w:lang w:val="en-US" w:eastAsia="zh-CN" w:bidi="ar-SA"/>
              </w:rPr>
            </w:pPr>
            <w:r>
              <w:rPr>
                <w:rFonts w:hint="eastAsia"/>
              </w:rPr>
              <w:t>□能源消耗  □资源消耗 □废水排放  □废气排放 □粉尘排放  □危废排放 ■噪声排放  □危化品泄露 □压力容器爆炸  ■火灾  ■其他：固废排放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Theme="minorEastAsia" w:hAnsiTheme="minorEastAsia" w:eastAsiaTheme="minorEastAsia"/>
                      <w:szCs w:val="21"/>
                    </w:rPr>
                    <w:t>固体废弃物100%处理</w:t>
                  </w:r>
                </w:p>
              </w:tc>
              <w:tc>
                <w:tcPr>
                  <w:tcW w:w="3136" w:type="dxa"/>
                  <w:shd w:val="clear" w:color="auto" w:fill="auto"/>
                  <w:vAlign w:val="center"/>
                </w:tcPr>
                <w:p>
                  <w:pPr>
                    <w:shd w:val="clear" w:color="auto" w:fill="EBF1DE" w:themeFill="accent3" w:themeFillTint="32"/>
                    <w:rPr>
                      <w:lang w:val="en-GB"/>
                    </w:rPr>
                  </w:pPr>
                  <w:r>
                    <w:rPr>
                      <w:rFonts w:hint="eastAsia" w:asciiTheme="minorEastAsia" w:hAnsiTheme="minorEastAsia" w:eastAsiaTheme="minorEastAsia"/>
                      <w:szCs w:val="21"/>
                    </w:rPr>
                    <w:t>采取分类收集、管理方案进行管理</w:t>
                  </w:r>
                </w:p>
              </w:tc>
              <w:tc>
                <w:tcPr>
                  <w:tcW w:w="1350" w:type="dxa"/>
                  <w:shd w:val="clear" w:color="auto" w:fill="auto"/>
                  <w:vAlign w:val="center"/>
                </w:tcPr>
                <w:p>
                  <w:pPr>
                    <w:shd w:val="clear" w:color="auto" w:fill="EBF1DE" w:themeFill="accent3" w:themeFillTint="32"/>
                  </w:pPr>
                  <w:r>
                    <w:rPr>
                      <w:rFonts w:hint="eastAsia"/>
                    </w:rPr>
                    <w:t>各部门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rPr>
                    <w:t>合规处理率100%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cs="宋体"/>
                      <w:color w:val="000000"/>
                      <w:szCs w:val="21"/>
                    </w:rPr>
                    <w:t>火灾事故为零</w:t>
                  </w:r>
                </w:p>
              </w:tc>
              <w:tc>
                <w:tcPr>
                  <w:tcW w:w="3136" w:type="dxa"/>
                  <w:shd w:val="clear" w:color="auto" w:fill="auto"/>
                  <w:vAlign w:val="center"/>
                </w:tcPr>
                <w:p>
                  <w:pPr>
                    <w:shd w:val="clear" w:color="auto" w:fill="EBF1DE" w:themeFill="accent3" w:themeFillTint="32"/>
                    <w:rPr>
                      <w:rFonts w:ascii="宋体" w:hAnsi="宋体"/>
                    </w:rPr>
                  </w:pPr>
                  <w:r>
                    <w:rPr>
                      <w:rFonts w:hint="eastAsia" w:asciiTheme="minorEastAsia" w:hAnsiTheme="minorEastAsia" w:eastAsiaTheme="minorEastAsia"/>
                      <w:szCs w:val="21"/>
                    </w:rPr>
                    <w:t>通过管理方案和预案措施、应急演练进行管理</w:t>
                  </w:r>
                </w:p>
              </w:tc>
              <w:tc>
                <w:tcPr>
                  <w:tcW w:w="1350" w:type="dxa"/>
                  <w:shd w:val="clear" w:color="auto" w:fill="auto"/>
                  <w:vAlign w:val="center"/>
                </w:tcPr>
                <w:p>
                  <w:pPr>
                    <w:shd w:val="clear" w:color="auto" w:fill="EBF1DE" w:themeFill="accent3" w:themeFillTint="32"/>
                  </w:pPr>
                  <w:r>
                    <w:rPr>
                      <w:rFonts w:hint="eastAsia"/>
                    </w:rPr>
                    <w:t>行政部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700平方米</w:t>
            </w:r>
            <w:r>
              <w:rPr>
                <w:rFonts w:hint="eastAsia"/>
              </w:rPr>
              <w:t>；生产车间  个；库房</w:t>
            </w:r>
            <w:r>
              <w:rPr>
                <w:rFonts w:hint="eastAsia"/>
                <w:u w:val="single"/>
              </w:rPr>
              <w:t xml:space="preserve">  1  个</w:t>
            </w:r>
            <w:r>
              <w:rPr>
                <w:rFonts w:hint="eastAsia"/>
              </w:rPr>
              <w:t>；实验室   个；</w:t>
            </w:r>
          </w:p>
          <w:p>
            <w:pPr>
              <w:shd w:val="clear" w:color="auto" w:fill="EBF1DE" w:themeFill="accent3" w:themeFillTint="32"/>
              <w:rPr>
                <w:rFonts w:ascii="Wingdings" w:hAnsi="Wingdings"/>
              </w:rPr>
            </w:pPr>
            <w:r>
              <w:rPr>
                <w:rFonts w:hint="eastAsia" w:ascii="Wingdings" w:hAnsi="Wingdings"/>
              </w:rPr>
              <w:t>主要生产设备有：电脑、打印机、复印机和无人机，剥线钳等和接收机、全站仪等检测设备。</w:t>
            </w:r>
          </w:p>
          <w:p>
            <w:pPr>
              <w:shd w:val="clear" w:color="auto" w:fill="EBF1DE" w:themeFill="accent3" w:themeFillTint="32"/>
              <w:rPr>
                <w:rFonts w:ascii="Wingdings" w:hAnsi="Wingdings"/>
              </w:rPr>
            </w:pPr>
            <w:r>
              <w:rPr>
                <w:rFonts w:hint="eastAsia" w:ascii="Wingdings" w:hAnsi="Wingdings"/>
              </w:rPr>
              <w:t>特种设备：</w:t>
            </w:r>
            <w:r>
              <w:rPr>
                <w:rFonts w:hint="eastAsia" w:ascii="Wingdings" w:hAnsi="Wingdings"/>
                <w:lang w:eastAsia="zh-CN"/>
              </w:rPr>
              <w:t>□</w:t>
            </w:r>
            <w:r>
              <w:rPr>
                <w:rFonts w:hint="eastAsia" w:ascii="Wingdings" w:hAnsi="Wingdings"/>
              </w:rPr>
              <w:t>叉车</w:t>
            </w:r>
            <w:r>
              <w:rPr>
                <w:rFonts w:ascii="Wingdings" w:hAnsi="Wingdings"/>
              </w:rPr>
              <w:t></w:t>
            </w:r>
            <w:r>
              <w:rPr>
                <w:rFonts w:hint="eastAsia" w:ascii="Wingdings" w:hAnsi="Wingdings"/>
                <w:lang w:eastAsia="zh-CN"/>
              </w:rPr>
              <w:t>□</w:t>
            </w:r>
            <w:r>
              <w:rPr>
                <w:rFonts w:hint="eastAsia" w:ascii="Wingdings" w:hAnsi="Wingdings"/>
              </w:rPr>
              <w:t>行车</w:t>
            </w:r>
            <w:r>
              <w:rPr>
                <w:rFonts w:ascii="Wingdings" w:hAnsi="Wingdings"/>
              </w:rPr>
              <w:t></w:t>
            </w:r>
            <w:r>
              <w:rPr>
                <w:rFonts w:hint="eastAsia" w:ascii="Wingdings" w:hAnsi="Wingdings"/>
                <w:lang w:eastAsia="zh-CN"/>
              </w:rPr>
              <w:t>□</w:t>
            </w:r>
            <w:r>
              <w:rPr>
                <w:rFonts w:hint="eastAsia" w:ascii="Wingdings" w:hAnsi="Wingdings"/>
              </w:rPr>
              <w:t>锅炉</w:t>
            </w:r>
            <w:r>
              <w:rPr>
                <w:rFonts w:ascii="Wingdings" w:hAnsi="Wingdings"/>
              </w:rPr>
              <w:t></w:t>
            </w:r>
            <w:r>
              <w:rPr>
                <w:rFonts w:hint="eastAsia" w:ascii="Wingdings" w:hAnsi="Wingdings"/>
                <w:lang w:eastAsia="zh-CN"/>
              </w:rPr>
              <w:t>□</w:t>
            </w:r>
            <w:r>
              <w:rPr>
                <w:rFonts w:hint="eastAsia" w:ascii="Wingdings" w:hAnsi="Wingdings"/>
              </w:rPr>
              <w:t>电梯</w:t>
            </w:r>
            <w:r>
              <w:rPr>
                <w:rFonts w:ascii="Wingdings" w:hAnsi="Wingdings"/>
              </w:rPr>
              <w:t></w:t>
            </w:r>
            <w:r>
              <w:rPr>
                <w:rFonts w:hint="eastAsia" w:ascii="Wingdings" w:hAnsi="Wingdings"/>
                <w:lang w:eastAsia="zh-CN"/>
              </w:rPr>
              <w:t>□</w:t>
            </w:r>
            <w:r>
              <w:rPr>
                <w:rFonts w:hint="eastAsia" w:ascii="Wingdings" w:hAnsi="Wingdings"/>
              </w:rPr>
              <w:t>压力容器</w:t>
            </w:r>
            <w:r>
              <w:rPr>
                <w:rFonts w:ascii="Wingdings" w:hAnsi="Wingdings"/>
              </w:rPr>
              <w:t></w:t>
            </w:r>
            <w:r>
              <w:rPr>
                <w:rFonts w:hint="eastAsia" w:ascii="Wingdings" w:hAnsi="Wingdings"/>
                <w:lang w:eastAsia="zh-CN"/>
              </w:rPr>
              <w:t>□</w:t>
            </w:r>
            <w:r>
              <w:rPr>
                <w:rFonts w:hint="eastAsia" w:ascii="Wingdings" w:hAnsi="Wingdings"/>
              </w:rPr>
              <w:t>压力管道</w:t>
            </w:r>
            <w:r>
              <w:rPr>
                <w:rFonts w:ascii="Wingdings" w:hAnsi="Wingdings"/>
              </w:rPr>
              <w:t></w:t>
            </w:r>
            <w:r>
              <w:rPr>
                <w:rFonts w:hint="eastAsia" w:ascii="Wingdings" w:hAnsi="Wingdings"/>
              </w:rPr>
              <w:t>■不适用</w:t>
            </w:r>
            <w:r>
              <w:rPr>
                <w:rFonts w:ascii="Wingdings" w:hAnsi="Wingdings"/>
              </w:rPr>
              <w:t></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shd w:val="clear" w:color="auto" w:fill="EBF1DE" w:themeFill="accent3" w:themeFillTint="32"/>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pPr>
              <w:shd w:val="clear" w:color="auto" w:fill="EBF1DE" w:themeFill="accent3" w:themeFillTint="32"/>
            </w:pP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rFonts w:ascii="Times New Roman" w:hAnsi="Times New Roman" w:eastAsia="宋体" w:cs="Times New Roman"/>
                <w:kern w:val="2"/>
                <w:sz w:val="21"/>
                <w:szCs w:val="24"/>
                <w:u w:val="single"/>
                <w:lang w:val="en-US" w:eastAsia="zh-CN" w:bidi="ar-SA"/>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无                          （列举1~4种）</w:t>
            </w:r>
          </w:p>
          <w:p>
            <w:pPr>
              <w:shd w:val="clear" w:color="auto" w:fill="EBF1DE" w:themeFill="accent3" w:themeFillTint="32"/>
              <w:rPr>
                <w:rFonts w:ascii="Times New Roman" w:hAnsi="Times New Roman" w:eastAsia="宋体" w:cs="Times New Roman"/>
                <w:kern w:val="2"/>
                <w:sz w:val="21"/>
                <w:szCs w:val="24"/>
                <w:u w:val="single"/>
                <w:lang w:val="en-US" w:eastAsia="zh-CN" w:bidi="ar-SA"/>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■招聘 </w:t>
            </w:r>
            <w:r>
              <w:rPr>
                <w:rFonts w:hint="eastAsia"/>
                <w:lang w:eastAsia="zh-CN"/>
              </w:rPr>
              <w:t>□</w:t>
            </w:r>
            <w:r>
              <w:rPr>
                <w:rFonts w:hint="eastAsia"/>
              </w:rPr>
              <w:t xml:space="preserve">换岗 ■培训  ■考核   </w:t>
            </w:r>
            <w:r>
              <w:rPr>
                <w:rFonts w:hint="eastAsia"/>
                <w:lang w:eastAsia="zh-CN"/>
              </w:rPr>
              <w:t>□</w:t>
            </w:r>
            <w:r>
              <w:rPr>
                <w:rFonts w:hint="eastAsia"/>
              </w:rPr>
              <w:t xml:space="preserve">辅导  </w:t>
            </w:r>
            <w:r>
              <w:rPr>
                <w:rFonts w:hint="eastAsia"/>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 xml:space="preserve">内部沟通方式：■文件发放 ■会议 ■标语  ■展板   </w:t>
            </w:r>
            <w:r>
              <w:rPr>
                <w:rFonts w:hint="eastAsia"/>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rPr>
              <w:t>■</w:t>
            </w:r>
            <w:r>
              <w:rPr>
                <w:rFonts w:hint="eastAsia"/>
              </w:rPr>
              <w:t xml:space="preserve">标语 ■展板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rPr>
              <w:t>■</w:t>
            </w:r>
            <w:r>
              <w:rPr>
                <w:rFonts w:hint="eastAsia"/>
              </w:rPr>
              <w:t>法律法规获取充分，□法律法规获取有遗漏，缺少：</w:t>
            </w:r>
            <w:r>
              <w:rPr>
                <w:rFonts w:hint="eastAsia"/>
                <w:u w:val="single"/>
              </w:rPr>
              <w:t xml:space="preserve">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vAlign w:val="top"/>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rFonts w:ascii="Times New Roman" w:hAnsi="Times New Roman" w:eastAsia="宋体" w:cs="Times New Roman"/>
                <w:kern w:val="2"/>
                <w:sz w:val="21"/>
                <w:szCs w:val="24"/>
                <w:highlight w:val="yellow"/>
                <w:lang w:val="en-US" w:eastAsia="zh-CN" w:bidi="ar-SA"/>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审核期间内，设计和开发新产品/项目名称：四川中民燃气工程管理项目，对该设计和开发的项目对环境因素进行了识别和评价，并制订了控制措施。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Wingdings" w:hAnsi="Wingdings"/>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组织的生产和服务提供流程图（见第三条款），企业环境因素控制情况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r>
                    <w:rPr>
                      <w:rFonts w:hint="eastAsia" w:asciiTheme="minorEastAsia" w:hAnsiTheme="minorEastAsia" w:eastAsiaTheme="minorEastAsia"/>
                      <w:szCs w:val="21"/>
                    </w:rPr>
                    <w:t>采取分类收集、管理方案进行管理</w:t>
                  </w:r>
                </w:p>
              </w:tc>
              <w:tc>
                <w:tcPr>
                  <w:tcW w:w="3265" w:type="dxa"/>
                </w:tcPr>
                <w:p>
                  <w:pPr>
                    <w:shd w:val="clear" w:color="auto" w:fill="EBF1DE" w:themeFill="accent3" w:themeFillTint="32"/>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asciiTheme="minorEastAsia" w:hAnsiTheme="minorEastAsia" w:eastAsiaTheme="minorEastAsia"/>
                      <w:szCs w:val="21"/>
                    </w:rPr>
                    <w:t>采取分类收集、管理方案进行管理</w:t>
                  </w:r>
                </w:p>
              </w:tc>
              <w:tc>
                <w:tcPr>
                  <w:tcW w:w="3265" w:type="dxa"/>
                </w:tcPr>
                <w:p>
                  <w:pPr>
                    <w:shd w:val="clear" w:color="auto" w:fill="EBF1DE" w:themeFill="accent3" w:themeFillTint="32"/>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asciiTheme="minorEastAsia" w:hAnsiTheme="minorEastAsia" w:eastAsiaTheme="minorEastAsia"/>
                      <w:szCs w:val="21"/>
                    </w:rPr>
                    <w:t>通过管理方案和预案措施、应急演练进行管理</w:t>
                  </w:r>
                </w:p>
              </w:tc>
              <w:tc>
                <w:tcPr>
                  <w:tcW w:w="3265" w:type="dxa"/>
                </w:tcPr>
                <w:p>
                  <w:pPr>
                    <w:shd w:val="clear" w:color="auto" w:fill="EBF1DE" w:themeFill="accent3" w:themeFillTint="32"/>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对生产和服务提供过程的环境因素控制</w:t>
            </w:r>
            <w:r>
              <w:rPr>
                <w:rFonts w:hint="eastAsia" w:ascii="Wingdings" w:hAnsi="Wingdings"/>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jc w:val="left"/>
            </w:pPr>
            <w:r>
              <w:rPr>
                <w:rFonts w:hint="eastAsia"/>
              </w:rPr>
              <w:t>特种设备管理：</w:t>
            </w:r>
            <w:r>
              <w:rPr>
                <w:rFonts w:hint="eastAsia"/>
                <w:lang w:eastAsia="zh-CN"/>
              </w:rPr>
              <w:t>□</w:t>
            </w:r>
            <w:r>
              <w:rPr>
                <w:rFonts w:hint="eastAsia"/>
              </w:rPr>
              <w:t xml:space="preserve">进行了定期检验  </w:t>
            </w:r>
            <w:r>
              <w:rPr>
                <w:rFonts w:hint="eastAsia"/>
                <w:lang w:eastAsia="zh-CN"/>
              </w:rPr>
              <w:t>□</w:t>
            </w:r>
            <w:r>
              <w:rPr>
                <w:rFonts w:hint="eastAsia"/>
              </w:rPr>
              <w:t xml:space="preserve">未进行定期检验的有：                 </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特种设备检测报告，如：      （举1例）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交付后活动：</w:t>
            </w:r>
            <w:r>
              <w:rPr>
                <w:rFonts w:hint="eastAsia" w:ascii="Wingdings" w:hAnsi="Wingdings"/>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 xml:space="preserve">已发生的更改包括：■重要原材料 </w:t>
            </w:r>
            <w:r>
              <w:rPr>
                <w:rFonts w:hint="eastAsia"/>
                <w:lang w:eastAsia="zh-CN"/>
              </w:rPr>
              <w:t>□</w:t>
            </w:r>
            <w:r>
              <w:rPr>
                <w:rFonts w:hint="eastAsia"/>
              </w:rPr>
              <w:t xml:space="preserve">设备 </w:t>
            </w:r>
            <w:r>
              <w:rPr>
                <w:rFonts w:hint="eastAsia"/>
                <w:lang w:eastAsia="zh-CN"/>
              </w:rPr>
              <w:t>□</w:t>
            </w:r>
            <w:r>
              <w:rPr>
                <w:rFonts w:hint="eastAsia"/>
              </w:rPr>
              <w:t xml:space="preserve">检测设备 ■图纸 ■工艺 </w:t>
            </w:r>
            <w:r>
              <w:rPr>
                <w:rFonts w:hint="eastAsia"/>
                <w:lang w:eastAsia="zh-CN"/>
              </w:rPr>
              <w:t>□</w:t>
            </w:r>
            <w:r>
              <w:rPr>
                <w:rFonts w:hint="eastAsia"/>
              </w:rPr>
              <w:t xml:space="preserve">加工场所 </w:t>
            </w:r>
            <w:r>
              <w:rPr>
                <w:rFonts w:hint="eastAsia"/>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 xml:space="preserve">变更控制：■符合要求 </w:t>
            </w:r>
            <w:r>
              <w:rPr>
                <w:rFonts w:hint="eastAsia"/>
                <w:lang w:eastAsia="zh-CN"/>
              </w:rPr>
              <w:t>□</w:t>
            </w:r>
            <w:r>
              <w:rPr>
                <w:rFonts w:hint="eastAsia"/>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r>
              <w:rPr>
                <w:rFonts w:hint="eastAsia" w:cs="宋体"/>
                <w:szCs w:val="21"/>
              </w:rPr>
              <w:t>《</w:t>
            </w:r>
            <w:r>
              <w:rPr>
                <w:rFonts w:hint="eastAsia" w:ascii="宋体" w:hAnsi="宋体" w:cs="宋体"/>
                <w:szCs w:val="21"/>
              </w:rPr>
              <w:t>消防火灾应急疏散预案</w:t>
            </w:r>
            <w:r>
              <w:rPr>
                <w:rFonts w:hint="eastAsia" w:cs="宋体"/>
                <w:szCs w:val="21"/>
              </w:rPr>
              <w:t>》</w:t>
            </w:r>
          </w:p>
          <w:p>
            <w:pPr>
              <w:shd w:val="clear" w:color="auto" w:fill="EBF1DE" w:themeFill="accent3" w:themeFillTint="32"/>
            </w:pPr>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环保设备故障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shd w:val="clear" w:color="auto" w:fill="EBF1DE" w:themeFill="accent3" w:themeFillTint="32"/>
            </w:pPr>
            <w:r>
              <w:rPr>
                <w:rFonts w:hint="eastAsia"/>
              </w:rPr>
              <w:t xml:space="preserve">审核周期内发生过紧急情况：■未发生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u w:val="single"/>
              </w:rPr>
              <w:t>202</w:t>
            </w:r>
            <w:r>
              <w:rPr>
                <w:rFonts w:hint="eastAsia"/>
                <w:u w:val="single"/>
                <w:lang w:val="en-US" w:eastAsia="zh-CN"/>
              </w:rPr>
              <w:t>2</w:t>
            </w:r>
            <w:r>
              <w:rPr>
                <w:rFonts w:hint="eastAsia"/>
                <w:u w:val="single"/>
              </w:rPr>
              <w:t>年</w:t>
            </w:r>
            <w:r>
              <w:rPr>
                <w:rFonts w:hint="eastAsia"/>
                <w:u w:val="single"/>
                <w:lang w:val="en-US" w:eastAsia="zh-CN"/>
              </w:rPr>
              <w:t>4</w:t>
            </w:r>
            <w:r>
              <w:rPr>
                <w:rFonts w:hint="eastAsia"/>
                <w:u w:val="single"/>
              </w:rPr>
              <w:t>月</w:t>
            </w:r>
            <w:r>
              <w:rPr>
                <w:rFonts w:hint="eastAsia"/>
                <w:u w:val="single"/>
                <w:lang w:val="en-US" w:eastAsia="zh-CN"/>
              </w:rPr>
              <w:t>27</w:t>
            </w:r>
            <w:r>
              <w:rPr>
                <w:rFonts w:hint="eastAsia"/>
                <w:u w:val="single"/>
              </w:rPr>
              <w:t>日</w:t>
            </w:r>
            <w:r>
              <w:rPr>
                <w:rFonts w:hint="eastAsia"/>
              </w:rPr>
              <w:t>进行了火灾消</w:t>
            </w:r>
            <w:r>
              <w:rPr>
                <w:rFonts w:hint="eastAsia" w:ascii="宋体" w:hAnsi="宋体" w:cs="宋体"/>
                <w:szCs w:val="21"/>
                <w:u w:val="single"/>
              </w:rPr>
              <w:t>防</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 xml:space="preserve">应急准备和响应控制：■符合要求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vAlign w:val="top"/>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highlight w:val="green"/>
              </w:rPr>
            </w:pPr>
            <w:r>
              <w:rPr>
                <w:rFonts w:hint="eastAsia"/>
              </w:rPr>
              <w:t>■定期（每年） ：</w:t>
            </w:r>
            <w:r>
              <w:rPr>
                <w:rFonts w:hint="eastAsia"/>
                <w:u w:val="single"/>
              </w:rPr>
              <w:t>202</w:t>
            </w:r>
            <w:r>
              <w:rPr>
                <w:rFonts w:hint="eastAsia"/>
                <w:u w:val="single"/>
                <w:lang w:val="en-US" w:eastAsia="zh-CN"/>
              </w:rPr>
              <w:t>2</w:t>
            </w:r>
            <w:r>
              <w:rPr>
                <w:rFonts w:hint="eastAsia"/>
                <w:u w:val="single"/>
              </w:rPr>
              <w:t>年5月2</w:t>
            </w:r>
            <w:r>
              <w:rPr>
                <w:rFonts w:hint="eastAsia"/>
                <w:u w:val="single"/>
                <w:lang w:val="en-US" w:eastAsia="zh-CN"/>
              </w:rPr>
              <w:t>6</w:t>
            </w:r>
            <w:r>
              <w:rPr>
                <w:rFonts w:hint="eastAsia"/>
                <w:u w:val="single"/>
              </w:rPr>
              <w:t>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2022年5月24日-25日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2022年6月17日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rPr>
              <w:t xml:space="preserve">■不合格产品/服务 </w:t>
            </w:r>
            <w:r>
              <w:rPr>
                <w:rFonts w:hint="eastAsia"/>
                <w:lang w:eastAsia="zh-CN"/>
              </w:rPr>
              <w:t>□</w:t>
            </w:r>
            <w:r>
              <w:rPr>
                <w:rFonts w:hint="eastAsia"/>
              </w:rPr>
              <w:t xml:space="preserve">自我验证的结果  ■顾客投诉  ■顾客满意调查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 xml:space="preserve">■内审不符合项   </w:t>
            </w:r>
            <w:r>
              <w:rPr>
                <w:rFonts w:hint="eastAsia"/>
                <w:lang w:eastAsia="zh-CN"/>
              </w:rPr>
              <w:t>□</w:t>
            </w:r>
            <w:r>
              <w:rPr>
                <w:rFonts w:hint="eastAsia"/>
              </w:rPr>
              <w:t xml:space="preserve">外审不符合项  ■管理评审   </w:t>
            </w:r>
            <w:r>
              <w:rPr>
                <w:rFonts w:hint="eastAsia"/>
                <w:lang w:eastAsia="zh-CN"/>
              </w:rPr>
              <w:t>□</w:t>
            </w:r>
            <w:r>
              <w:rPr>
                <w:rFonts w:hint="eastAsia"/>
              </w:rPr>
              <w:t xml:space="preserve">目标统计分析结果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1</w:t>
            </w:r>
          </w:p>
        </w:tc>
        <w:tc>
          <w:tcPr>
            <w:tcW w:w="780"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1</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1</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1</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1</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1</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1</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1</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1</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1</w:t>
            </w:r>
          </w:p>
        </w:tc>
        <w:tc>
          <w:tcPr>
            <w:tcW w:w="780"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1</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1</w:t>
            </w:r>
          </w:p>
        </w:tc>
        <w:tc>
          <w:tcPr>
            <w:tcW w:w="780" w:type="dxa"/>
            <w:shd w:val="clear" w:color="auto" w:fill="EBF1DE" w:themeFill="accent3" w:themeFillTint="32"/>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3</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1</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1</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1</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1</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1</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vAlign w:val="top"/>
          </w:tcPr>
          <w:p>
            <w:pPr>
              <w:rPr>
                <w:rFonts w:ascii="Times New Roman" w:hAnsi="Times New Roman" w:eastAsia="宋体" w:cs="Times New Roman"/>
                <w:kern w:val="2"/>
                <w:sz w:val="21"/>
                <w:szCs w:val="24"/>
                <w:lang w:val="en-US" w:eastAsia="zh-CN" w:bidi="ar-SA"/>
              </w:rPr>
            </w:pPr>
            <w:r>
              <w:rPr>
                <w:rFonts w:hint="eastAsia"/>
              </w:rPr>
              <w:t xml:space="preserve"> □OHSMS体系建立以来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vAlign w:val="top"/>
          </w:tcPr>
          <w:p>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r>
                    <w:rPr>
                      <w:rFonts w:hint="eastAsia"/>
                    </w:rPr>
                    <w:t>内部环境</w:t>
                  </w:r>
                </w:p>
              </w:tc>
              <w:tc>
                <w:tcPr>
                  <w:tcW w:w="7375" w:type="dxa"/>
                </w:tcPr>
                <w:p>
                  <w:r>
                    <w:rPr>
                      <w:rFonts w:hint="eastAsia"/>
                    </w:rPr>
                    <w:t xml:space="preserve">□认知 ■价值观  □文化  □知识 ■绩效 ■工艺 ■设备 ■人员能力 </w:t>
                  </w:r>
                </w:p>
                <w:p>
                  <w:r>
                    <w:rPr>
                      <w:rFonts w:hint="eastAsia"/>
                    </w:rPr>
                    <w:t xml:space="preserve">■员工关系  □其他 </w:t>
                  </w:r>
                </w:p>
              </w:tc>
            </w:tr>
          </w:tbl>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rPr>
                <w:highlight w:val="cyan"/>
              </w:rPr>
            </w:pPr>
            <w:r>
              <w:rPr>
                <w:rFonts w:hint="eastAsia"/>
              </w:rPr>
              <w:t>确定了与职业健康安全管理体系有关的相关方及需求和希望；监视和评审了相关相关信息。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rFonts w:ascii="Times New Roman" w:hAnsi="Times New Roman" w:eastAsia="宋体" w:cs="Times New Roman"/>
                <w:kern w:val="2"/>
                <w:sz w:val="21"/>
                <w:szCs w:val="24"/>
                <w:highlight w:val="cy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组织应明确相关职业健康安全管理体系的范围；（详见第一条款审核范围）</w:t>
            </w:r>
          </w:p>
          <w:p>
            <w:pPr>
              <w:rPr>
                <w:rFonts w:ascii="Times New Roman" w:hAnsi="Times New Roman" w:eastAsia="宋体" w:cs="Times New Roman"/>
                <w:kern w:val="2"/>
                <w:sz w:val="21"/>
                <w:szCs w:val="24"/>
                <w:lang w:val="en-US" w:eastAsia="zh-CN" w:bidi="ar-SA"/>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□人员培训 □其他</w:t>
            </w:r>
          </w:p>
          <w:p>
            <w:pPr>
              <w:rPr>
                <w:rFonts w:ascii="Times New Roman" w:hAnsi="Times New Roman" w:eastAsia="宋体" w:cs="Times New Roman"/>
                <w:kern w:val="2"/>
                <w:sz w:val="21"/>
                <w:szCs w:val="24"/>
                <w:lang w:val="en-US" w:eastAsia="zh-CN" w:bidi="ar-SA"/>
              </w:rPr>
            </w:pPr>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vAlign w:val="top"/>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pPr>
              <w:rPr>
                <w:rFonts w:ascii="Times New Roman" w:hAnsi="Times New Roman" w:eastAsia="宋体" w:cs="Times New Roman"/>
                <w:kern w:val="2"/>
                <w:sz w:val="21"/>
                <w:szCs w:val="24"/>
                <w:lang w:val="en-US" w:eastAsia="zh-CN" w:bidi="ar-SA"/>
              </w:rPr>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pPr>
              <w:rPr>
                <w:u w:val="single"/>
              </w:rPr>
            </w:pPr>
            <w:r>
              <w:rPr>
                <w:rFonts w:hint="eastAsia"/>
                <w:lang w:val="en-GB"/>
              </w:rPr>
              <w:t>最高管理者制定了文件化的职业健康安全管理体系方针：</w:t>
            </w:r>
            <w:r>
              <w:rPr>
                <w:rFonts w:hint="eastAsia"/>
                <w:u w:val="single"/>
              </w:rPr>
              <w:t>以稳定品质、完善服务、持续改进、满足顾客需求；以安全生产、保护环境、守法诚信、体现社会责任。</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pPr>
              <w:rPr>
                <w:rFonts w:ascii="Times New Roman" w:hAnsi="Times New Roman" w:eastAsia="宋体" w:cs="Times New Roman"/>
                <w:kern w:val="2"/>
                <w:sz w:val="21"/>
                <w:szCs w:val="24"/>
                <w:lang w:val="en-US" w:eastAsia="zh-CN" w:bidi="ar-SA"/>
              </w:rPr>
            </w:pPr>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最高管理者确定了组织架构及相关岗位的职责、权限，并进行了全员的沟通和理解；</w:t>
            </w:r>
          </w:p>
          <w:p>
            <w:r>
              <w:rPr>
                <w:rFonts w:hint="eastAsia"/>
              </w:rPr>
              <w:t>职业健康的主管部门是——行政部</w:t>
            </w:r>
          </w:p>
          <w:p>
            <w:r>
              <w:rPr>
                <w:rFonts w:hint="eastAsia"/>
              </w:rPr>
              <w:t>安全的主管部门是——技术部</w:t>
            </w:r>
          </w:p>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组织建立了参与和协商的机制，由所有相关层次和职能部门的员工和员工代表参与（包括协商）建立、策划、实施、评价和改进职业健康安全管理体系。</w:t>
            </w:r>
          </w:p>
          <w:p/>
          <w:p>
            <w:pPr>
              <w:rPr>
                <w:rFonts w:hint="eastAsia" w:ascii="Times New Roman" w:hAnsi="Times New Roman" w:eastAsia="宋体" w:cs="Times New Roman"/>
                <w:kern w:val="2"/>
                <w:sz w:val="21"/>
                <w:szCs w:val="24"/>
                <w:lang w:val="en-US" w:eastAsia="zh-CN" w:bidi="ar-SA"/>
              </w:rPr>
            </w:pPr>
            <w:r>
              <w:rPr>
                <w:rFonts w:hint="eastAsia"/>
              </w:rPr>
              <w:t>员工代表是——</w:t>
            </w:r>
            <w:r>
              <w:rPr>
                <w:rFonts w:hint="eastAsia"/>
                <w:lang w:val="en-US" w:eastAsia="zh-CN"/>
              </w:rPr>
              <w:t>曹杨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vAlign w:val="top"/>
          </w:tcPr>
          <w:p>
            <w:r>
              <w:rPr>
                <w:rFonts w:hint="eastAsia"/>
              </w:rPr>
              <w:t>在策划职业健康安全管理体系时，组织确定了需要应对的风险和机遇及应对这些风险和机遇的措施；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火灾</w:t>
                  </w:r>
                </w:p>
              </w:tc>
              <w:tc>
                <w:tcPr>
                  <w:tcW w:w="3965" w:type="dxa"/>
                </w:tcPr>
                <w:p>
                  <w:r>
                    <w:rPr>
                      <w:rFonts w:hint="eastAsia" w:asciiTheme="minorEastAsia" w:hAnsiTheme="minorEastAsia" w:eastAsiaTheme="minorEastAsia"/>
                      <w:szCs w:val="21"/>
                    </w:rPr>
                    <w:t>通过管理方案和预案措施、应急演练进行管理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ascii="宋体" w:hAnsi="宋体" w:cs="宋体"/>
                      <w:szCs w:val="21"/>
                    </w:rPr>
                    <w:t>触电</w:t>
                  </w:r>
                </w:p>
              </w:tc>
              <w:tc>
                <w:tcPr>
                  <w:tcW w:w="3965" w:type="dxa"/>
                </w:tcPr>
                <w:p>
                  <w:r>
                    <w:rPr>
                      <w:rFonts w:hint="eastAsia" w:asciiTheme="minorEastAsia" w:hAnsiTheme="minorEastAsia" w:eastAsiaTheme="minorEastAsia"/>
                      <w:szCs w:val="21"/>
                    </w:rPr>
                    <w:t>通过管理方案和预案措施进行管理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ascii="宋体" w:hAnsi="宋体" w:cs="宋体"/>
                      <w:szCs w:val="21"/>
                    </w:rPr>
                    <w:t>意外伤害</w:t>
                  </w:r>
                </w:p>
              </w:tc>
              <w:tc>
                <w:tcPr>
                  <w:tcW w:w="3965" w:type="dxa"/>
                </w:tcPr>
                <w:p>
                  <w:r>
                    <w:rPr>
                      <w:rFonts w:hint="eastAsia" w:asciiTheme="minorEastAsia" w:hAnsiTheme="minorEastAsia" w:eastAsiaTheme="minorEastAsia"/>
                      <w:szCs w:val="21"/>
                    </w:rPr>
                    <w:t>通过管理方案和预案措施进行管理</w:t>
                  </w:r>
                </w:p>
              </w:tc>
              <w:tc>
                <w:tcPr>
                  <w:tcW w:w="1717" w:type="dxa"/>
                </w:tcPr>
                <w:p>
                  <w:r>
                    <w:rPr>
                      <w:rFonts w:hint="eastAsia"/>
                    </w:rPr>
                    <w:t>有效</w:t>
                  </w:r>
                </w:p>
              </w:tc>
            </w:tr>
          </w:tbl>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ascii="Times New Roman" w:hAnsi="Times New Roman" w:eastAsia="宋体" w:cs="Times New Roman"/>
                <w:kern w:val="2"/>
                <w:sz w:val="21"/>
                <w:szCs w:val="24"/>
                <w:highlight w:val="cyan"/>
                <w:lang w:val="en-US" w:eastAsia="zh-CN" w:bidi="ar-SA"/>
              </w:rPr>
            </w:pPr>
            <w:r>
              <w:rPr>
                <w:rFonts w:hint="eastAsia"/>
              </w:rPr>
              <w:t>□机械伤害  ■触电 □化学伤害  □噪声 □粉尘  □危险作业 □高低温  □危化品泄露 □压力容器爆炸  ■火灾  ■其他：意外</w:t>
            </w:r>
            <w:r>
              <w:rPr>
                <w:rFonts w:hint="eastAsia" w:ascii="宋体" w:hAnsi="宋体" w:cs="宋体"/>
                <w:szCs w:val="21"/>
              </w:rPr>
              <w:t>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rFonts w:ascii="Times New Roman" w:hAnsi="Times New Roman" w:eastAsia="宋体" w:cs="Times New Roman"/>
                <w:kern w:val="2"/>
                <w:sz w:val="21"/>
                <w:szCs w:val="24"/>
                <w:highlight w:val="cyan"/>
                <w:lang w:val="en-US" w:eastAsia="zh-CN" w:bidi="ar-SA"/>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组织策划并采取措施应对职业健康安全风险和机会、法律法规和其他要求和准备和响应紧急情况；</w:t>
            </w:r>
          </w:p>
          <w:p>
            <w:r>
              <w:rPr>
                <w:rFonts w:hint="eastAsia"/>
              </w:rPr>
              <w:t>□安全装置  □除尘设备 ■漏电保护  ■穿戴劳保用品 □作业票管理  □挂牌上锁管理</w:t>
            </w:r>
          </w:p>
          <w:p>
            <w:pPr>
              <w:rPr>
                <w:rFonts w:ascii="Times New Roman" w:hAnsi="Times New Roman" w:eastAsia="宋体" w:cs="Times New Roman"/>
                <w:kern w:val="2"/>
                <w:sz w:val="21"/>
                <w:szCs w:val="24"/>
                <w:highlight w:val="cyan"/>
                <w:lang w:val="en-US" w:eastAsia="zh-CN" w:bidi="ar-SA"/>
              </w:rPr>
            </w:pPr>
            <w:r>
              <w:rPr>
                <w:rFonts w:hint="eastAsia"/>
              </w:rPr>
              <w:t>□危化品控制 □压力容器检测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cs="Arial"/>
                      <w:iCs/>
                      <w:szCs w:val="21"/>
                    </w:rPr>
                    <w:t>死亡事故发生率为</w:t>
                  </w:r>
                  <w:r>
                    <w:rPr>
                      <w:rFonts w:hint="eastAsia" w:ascii="宋体" w:hAnsi="宋体" w:cs="宋体"/>
                      <w:color w:val="000000"/>
                      <w:szCs w:val="21"/>
                    </w:rPr>
                    <w:t>零</w:t>
                  </w:r>
                </w:p>
              </w:tc>
              <w:tc>
                <w:tcPr>
                  <w:tcW w:w="3136" w:type="dxa"/>
                  <w:shd w:val="clear" w:color="auto" w:fill="auto"/>
                  <w:vAlign w:val="center"/>
                </w:tcPr>
                <w:p>
                  <w:pPr>
                    <w:rPr>
                      <w:lang w:val="en-GB"/>
                    </w:rPr>
                  </w:pPr>
                  <w:r>
                    <w:rPr>
                      <w:rFonts w:hint="eastAsia" w:asciiTheme="minorEastAsia" w:hAnsiTheme="minorEastAsia" w:eastAsiaTheme="minorEastAsia"/>
                      <w:szCs w:val="21"/>
                    </w:rPr>
                    <w:t>通过管理方案和预案措施进行管理</w:t>
                  </w:r>
                </w:p>
              </w:tc>
              <w:tc>
                <w:tcPr>
                  <w:tcW w:w="1350" w:type="dxa"/>
                  <w:shd w:val="clear" w:color="auto" w:fill="auto"/>
                  <w:vAlign w:val="center"/>
                </w:tcPr>
                <w:p>
                  <w:r>
                    <w:rPr>
                      <w:rFonts w:hint="eastAsia"/>
                    </w:rPr>
                    <w:t>技术部</w:t>
                  </w:r>
                </w:p>
              </w:tc>
              <w:tc>
                <w:tcPr>
                  <w:tcW w:w="1774" w:type="dxa"/>
                  <w:shd w:val="clear" w:color="auto" w:fill="auto"/>
                  <w:vAlign w:val="center"/>
                </w:tcPr>
                <w:p>
                  <w:pPr>
                    <w:jc w:val="center"/>
                    <w:rPr>
                      <w:rFonts w:ascii="宋体" w:hAnsi="宋体"/>
                    </w:rPr>
                  </w:pPr>
                  <w:r>
                    <w:rPr>
                      <w:rFonts w:hint="eastAsia" w:ascii="宋体" w:hAnsi="宋体"/>
                    </w:rPr>
                    <w:t>未发生伤亡事故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Theme="minorEastAsia" w:hAnsiTheme="minorEastAsia" w:eastAsiaTheme="minorEastAsia"/>
                      <w:szCs w:val="21"/>
                    </w:rPr>
                    <w:t>火灾事故发生率为</w:t>
                  </w:r>
                  <w:r>
                    <w:rPr>
                      <w:rFonts w:hint="eastAsia" w:ascii="宋体" w:hAnsi="宋体" w:cs="宋体"/>
                      <w:color w:val="000000"/>
                      <w:szCs w:val="21"/>
                    </w:rPr>
                    <w:t>零</w:t>
                  </w:r>
                </w:p>
              </w:tc>
              <w:tc>
                <w:tcPr>
                  <w:tcW w:w="3136" w:type="dxa"/>
                  <w:shd w:val="clear" w:color="auto" w:fill="auto"/>
                  <w:vAlign w:val="center"/>
                </w:tcPr>
                <w:p>
                  <w:pPr>
                    <w:rPr>
                      <w:rFonts w:ascii="宋体" w:hAnsi="宋体"/>
                    </w:rPr>
                  </w:pPr>
                  <w:r>
                    <w:rPr>
                      <w:rFonts w:hint="eastAsia" w:asciiTheme="minorEastAsia" w:hAnsiTheme="minorEastAsia" w:eastAsiaTheme="minorEastAsia"/>
                      <w:szCs w:val="21"/>
                    </w:rPr>
                    <w:t>通过管理方案和预案措施、应急演练进行管理</w:t>
                  </w:r>
                </w:p>
              </w:tc>
              <w:tc>
                <w:tcPr>
                  <w:tcW w:w="1350" w:type="dxa"/>
                  <w:shd w:val="clear" w:color="auto" w:fill="auto"/>
                  <w:vAlign w:val="center"/>
                </w:tcPr>
                <w:p>
                  <w:pPr>
                    <w:rPr>
                      <w:rFonts w:ascii="宋体" w:hAnsi="宋体"/>
                    </w:rPr>
                  </w:pPr>
                  <w:r>
                    <w:rPr>
                      <w:rFonts w:hint="eastAsia"/>
                    </w:rPr>
                    <w:t>行政部</w:t>
                  </w:r>
                </w:p>
              </w:tc>
              <w:tc>
                <w:tcPr>
                  <w:tcW w:w="1774" w:type="dxa"/>
                  <w:shd w:val="clear" w:color="auto" w:fill="auto"/>
                  <w:vAlign w:val="center"/>
                </w:tcPr>
                <w:p>
                  <w:pPr>
                    <w:jc w:val="center"/>
                    <w:rPr>
                      <w:rFonts w:ascii="宋体" w:hAnsi="宋体"/>
                    </w:rPr>
                  </w:pPr>
                  <w:r>
                    <w:rPr>
                      <w:rFonts w:hint="eastAsia" w:ascii="宋体" w:hAnsi="宋体"/>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pPr>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vAlign w:val="top"/>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pPr>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pPr>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组织应确定、提供并维护所需的基础设施情况：</w:t>
            </w:r>
          </w:p>
          <w:p>
            <w:r>
              <w:rPr>
                <w:rFonts w:hint="eastAsia"/>
              </w:rPr>
              <w:t>主要生产设备有：电脑、打印机和保洁工具（垃圾桶、扫帚、拖把）、安保工具(对讲机、手电筒等)、维修设备（电锤、手枪钻、疏通器）和万用表检测设备。</w:t>
            </w:r>
          </w:p>
          <w:p>
            <w:r>
              <w:rPr>
                <w:rFonts w:hint="eastAsia"/>
              </w:rPr>
              <w:t>主要安全装置有：</w:t>
            </w:r>
          </w:p>
          <w:p>
            <w:r>
              <w:rPr>
                <w:rFonts w:hint="eastAsia" w:ascii="Wingdings" w:hAnsi="Wingdings"/>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rFonts w:ascii="Times New Roman" w:hAnsi="Times New Roman" w:eastAsia="宋体" w:cs="Times New Roman"/>
                <w:kern w:val="2"/>
                <w:sz w:val="21"/>
                <w:szCs w:val="24"/>
                <w:u w:val="single"/>
                <w:lang w:val="en-US" w:eastAsia="zh-CN" w:bidi="ar-SA"/>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rPr>
              <w:t>■</w:t>
            </w:r>
            <w:r>
              <w:rPr>
                <w:rFonts w:hint="eastAsia"/>
              </w:rPr>
              <w:t>不适用</w:t>
            </w:r>
          </w:p>
          <w:p>
            <w:pPr>
              <w:rPr>
                <w:rFonts w:ascii="Times New Roman" w:hAnsi="Times New Roman" w:eastAsia="宋体" w:cs="Times New Roman"/>
                <w:kern w:val="2"/>
                <w:sz w:val="21"/>
                <w:szCs w:val="24"/>
                <w:u w:val="single"/>
                <w:lang w:val="en-US" w:eastAsia="zh-CN" w:bidi="ar-SA"/>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组织已确定在其控制的工作人员所需具备的能力，并采取措施以获得所需的能力，并评价措施的有效性；</w:t>
            </w:r>
          </w:p>
          <w:p>
            <w:r>
              <w:rPr>
                <w:rFonts w:hint="eastAsia"/>
              </w:rPr>
              <w:t xml:space="preserve">通过 ■招聘 </w:t>
            </w:r>
            <w:r>
              <w:rPr>
                <w:rFonts w:hint="eastAsia"/>
                <w:lang w:eastAsia="zh-CN"/>
              </w:rPr>
              <w:t>□</w:t>
            </w:r>
            <w:r>
              <w:rPr>
                <w:rFonts w:hint="eastAsia"/>
              </w:rPr>
              <w:t xml:space="preserve">换岗 ■培训  ■考核   </w:t>
            </w:r>
            <w:r>
              <w:rPr>
                <w:rFonts w:hint="eastAsia"/>
                <w:lang w:eastAsia="zh-CN"/>
              </w:rPr>
              <w:t>□</w:t>
            </w:r>
            <w:r>
              <w:rPr>
                <w:rFonts w:hint="eastAsia"/>
              </w:rPr>
              <w:t xml:space="preserve">辅导  </w:t>
            </w:r>
            <w:r>
              <w:rPr>
                <w:rFonts w:hint="eastAsia"/>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ascii="Wingdings" w:hAnsi="Wingdings"/>
              </w:rPr>
              <w:t>电工</w:t>
            </w:r>
            <w:r>
              <w:rPr>
                <w:rFonts w:ascii="Wingdings" w:hAnsi="Wingdings"/>
              </w:rPr>
              <w:t></w:t>
            </w:r>
            <w:r>
              <w:rPr>
                <w:rFonts w:hint="eastAsia" w:ascii="Wingdings" w:hAnsi="Wingdings"/>
                <w:lang w:eastAsia="zh-CN"/>
              </w:rPr>
              <w:t>□</w:t>
            </w:r>
            <w:r>
              <w:rPr>
                <w:rFonts w:hint="eastAsia" w:ascii="Wingdings" w:hAnsi="Wingdings"/>
              </w:rPr>
              <w:t>焊工</w:t>
            </w:r>
            <w:r>
              <w:rPr>
                <w:rFonts w:ascii="Wingdings" w:hAnsi="Wingdings"/>
              </w:rPr>
              <w:t></w:t>
            </w:r>
            <w:r>
              <w:rPr>
                <w:rFonts w:hint="eastAsia" w:ascii="Wingdings" w:hAnsi="Wingdings"/>
                <w:lang w:eastAsia="zh-CN"/>
              </w:rPr>
              <w:t>□</w:t>
            </w:r>
            <w:r>
              <w:rPr>
                <w:rFonts w:hint="eastAsia" w:ascii="Wingdings" w:hAnsi="Wingdings"/>
              </w:rPr>
              <w:t>危化品作业</w:t>
            </w:r>
            <w:r>
              <w:rPr>
                <w:rFonts w:ascii="Wingdings" w:hAnsi="Wingdings"/>
              </w:rPr>
              <w:t></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lang w:eastAsia="zh-CN"/>
              </w:rPr>
              <w:t>□</w:t>
            </w:r>
            <w:r>
              <w:rPr>
                <w:rFonts w:hint="eastAsia"/>
              </w:rPr>
              <w:t xml:space="preserve">离职 </w:t>
            </w:r>
          </w:p>
          <w:p>
            <w:pPr>
              <w:rPr>
                <w:rFonts w:ascii="Times New Roman" w:hAnsi="Times New Roman" w:eastAsia="宋体" w:cs="Times New Roman"/>
                <w:kern w:val="2"/>
                <w:sz w:val="21"/>
                <w:szCs w:val="24"/>
                <w:lang w:val="en-US" w:eastAsia="zh-CN" w:bidi="ar-SA"/>
              </w:rPr>
            </w:pPr>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组织已确定与职业健康安全管理体系相关的内部和外部沟通。</w:t>
            </w:r>
          </w:p>
          <w:p/>
          <w:p>
            <w:r>
              <w:rPr>
                <w:rFonts w:hint="eastAsia"/>
              </w:rPr>
              <w:t xml:space="preserve">内部沟通方式：■文件发放 ■会议 ■标语  ■展板   </w:t>
            </w:r>
            <w:r>
              <w:rPr>
                <w:rFonts w:hint="eastAsia"/>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rPr>
              <w:t>■</w:t>
            </w:r>
            <w:r>
              <w:rPr>
                <w:rFonts w:hint="eastAsia"/>
              </w:rPr>
              <w:t xml:space="preserve">标语 ■展板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t>■法律法规获取充分，□法律法规获取有遗漏，缺少：</w:t>
            </w:r>
            <w:r>
              <w:rPr>
                <w:rFonts w:hint="eastAsia"/>
                <w:u w:val="single"/>
              </w:rPr>
              <w:t xml:space="preserve">                           </w:t>
            </w:r>
          </w:p>
          <w:p/>
          <w:p>
            <w:pPr>
              <w:rPr>
                <w:rFonts w:ascii="Times New Roman" w:hAnsi="Times New Roman" w:eastAsia="宋体" w:cs="Times New Roman"/>
                <w:kern w:val="2"/>
                <w:sz w:val="21"/>
                <w:szCs w:val="24"/>
                <w:lang w:val="en-US" w:eastAsia="zh-CN" w:bidi="ar-SA"/>
              </w:rPr>
            </w:pPr>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用低危害材料、工艺、运行或设备替代；</w:t>
            </w:r>
          </w:p>
          <w:p>
            <w:r>
              <w:rPr>
                <w:rFonts w:hint="eastAsia"/>
              </w:rPr>
              <w:t xml:space="preserve"> </w:t>
            </w:r>
            <w:r>
              <w:rPr>
                <w:rFonts w:hint="eastAsia" w:ascii="Wingdings" w:hAnsi="Wingdings"/>
              </w:rPr>
              <w:t>■</w:t>
            </w:r>
            <w:r>
              <w:rPr>
                <w:rFonts w:hint="eastAsia"/>
              </w:rPr>
              <w:t>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pPr>
              <w:rPr>
                <w:rFonts w:ascii="Times New Roman" w:hAnsi="Times New Roman" w:eastAsia="宋体" w:cs="Times New Roman"/>
                <w:kern w:val="2"/>
                <w:sz w:val="21"/>
                <w:szCs w:val="24"/>
                <w:lang w:val="en-US" w:eastAsia="zh-CN" w:bidi="ar-SA"/>
              </w:rPr>
            </w:pPr>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pPr>
              <w:rPr>
                <w:rFonts w:ascii="Times New Roman" w:hAnsi="Times New Roman" w:eastAsia="宋体" w:cs="Times New Roman"/>
                <w:kern w:val="2"/>
                <w:sz w:val="21"/>
                <w:szCs w:val="24"/>
                <w:lang w:val="en-US" w:eastAsia="zh-CN" w:bidi="ar-SA"/>
              </w:rPr>
            </w:pPr>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组织建立、实施和保持了适当的设计和开发过程，以确保后续的产品和服务的提供中满足职业健康安全相关的法律法规。（适用时）</w:t>
            </w:r>
          </w:p>
          <w:p>
            <w:pPr>
              <w:rPr>
                <w:u w:val="single"/>
              </w:rPr>
            </w:pPr>
            <w:r>
              <w:rPr>
                <w:rFonts w:hint="eastAsia"/>
              </w:rPr>
              <w:t>审核期间内，设计和开发新产品/项目名称：四川中民燃气工程管理项目</w:t>
            </w:r>
            <w:r>
              <w:rPr>
                <w:rFonts w:hint="eastAsia"/>
                <w:u w:val="single"/>
              </w:rPr>
              <w:t>。</w:t>
            </w:r>
          </w:p>
          <w:p>
            <w:r>
              <w:rPr>
                <w:rFonts w:hint="eastAsia"/>
              </w:rPr>
              <w:t>对该设计和开发的项目对职业健康安全风险进行了识别和评价，并制订了控制措施。</w:t>
            </w:r>
          </w:p>
          <w:p>
            <w:r>
              <w:rPr>
                <w:rFonts w:hint="eastAsia"/>
              </w:rPr>
              <w:t>设计和开发的环境因素控制：</w:t>
            </w:r>
          </w:p>
          <w:p>
            <w:pPr>
              <w:rPr>
                <w:rFonts w:ascii="Times New Roman" w:hAnsi="Times New Roman" w:eastAsia="宋体" w:cs="Times New Roman"/>
                <w:kern w:val="2"/>
                <w:sz w:val="21"/>
                <w:szCs w:val="24"/>
                <w:lang w:val="en-US" w:eastAsia="zh-CN" w:bidi="ar-SA"/>
              </w:rPr>
            </w:pPr>
            <w:r>
              <w:rPr>
                <w:rFonts w:hint="eastAsia" w:ascii="Wingdings" w:hAnsi="Wingdings"/>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rPr>
                <w:rFonts w:ascii="Times New Roman" w:hAnsi="Times New Roman" w:eastAsia="宋体" w:cs="Times New Roman"/>
                <w:kern w:val="2"/>
                <w:sz w:val="21"/>
                <w:szCs w:val="24"/>
                <w:lang w:val="en-US" w:eastAsia="zh-CN" w:bidi="ar-SA"/>
              </w:rPr>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组织的生产和服务提供流程图（见第三条款），企业危险源和职业健康安全风险控制情况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 □挂牌上锁管理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t>■漏电保护 □绝缘用具检测</w:t>
                  </w:r>
                </w:p>
              </w:tc>
              <w:tc>
                <w:tcPr>
                  <w:tcW w:w="2205"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  □穿戴劳保用品（防尘面罩）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  ■穿戴劳保用品</w:t>
                  </w:r>
                </w:p>
              </w:tc>
              <w:tc>
                <w:tcPr>
                  <w:tcW w:w="2205"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  □空间隔离  ■防暑降温用品</w:t>
                  </w:r>
                </w:p>
              </w:tc>
              <w:tc>
                <w:tcPr>
                  <w:tcW w:w="2205"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rPr>
                <w:rFonts w:ascii="Times New Roman" w:hAnsi="Times New Roman" w:eastAsia="宋体" w:cs="Times New Roman"/>
                <w:kern w:val="2"/>
                <w:sz w:val="21"/>
                <w:szCs w:val="24"/>
                <w:lang w:val="en-US" w:eastAsia="zh-CN" w:bidi="ar-SA"/>
              </w:rPr>
            </w:pPr>
            <w:r>
              <w:rPr>
                <w:rFonts w:hint="eastAsia" w:ascii="Wingdings" w:hAnsi="Wingdings"/>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 xml:space="preserve">进行了定期检查  </w:t>
            </w:r>
            <w:r>
              <w:rPr>
                <w:rFonts w:hint="eastAsia" w:ascii="Wingdings" w:hAnsi="Wingdings"/>
                <w:lang w:eastAsia="zh-CN"/>
              </w:rPr>
              <w:t>□</w:t>
            </w:r>
            <w:r>
              <w:rPr>
                <w:rFonts w:hint="eastAsia"/>
              </w:rPr>
              <w:t xml:space="preserve">未进行定期检查的有： </w:t>
            </w:r>
            <w:r>
              <w:rPr>
                <w:rFonts w:hint="eastAsia"/>
                <w:u w:val="single"/>
              </w:rPr>
              <w:t xml:space="preserve">                </w:t>
            </w:r>
          </w:p>
          <w:p>
            <w:pPr>
              <w:jc w:val="left"/>
            </w:pPr>
            <w:r>
              <w:rPr>
                <w:rFonts w:hint="eastAsia"/>
              </w:rPr>
              <w:t>特种设备管理：</w:t>
            </w:r>
            <w:r>
              <w:rPr>
                <w:rFonts w:hint="eastAsia"/>
                <w:lang w:eastAsia="zh-CN"/>
              </w:rPr>
              <w:t>□</w:t>
            </w:r>
            <w:r>
              <w:rPr>
                <w:rFonts w:hint="eastAsia"/>
              </w:rPr>
              <w:t xml:space="preserve">进行了定期检验  </w:t>
            </w:r>
            <w:r>
              <w:rPr>
                <w:rFonts w:hint="eastAsia"/>
                <w:lang w:eastAsia="zh-CN"/>
              </w:rPr>
              <w:t>□</w:t>
            </w:r>
            <w:r>
              <w:rPr>
                <w:rFonts w:hint="eastAsia"/>
              </w:rPr>
              <w:t xml:space="preserve">未进行定期检验的有：                 </w:t>
            </w:r>
          </w:p>
          <w:p>
            <w:pPr>
              <w:jc w:val="left"/>
              <w:rPr>
                <w:rFonts w:ascii="Times New Roman" w:hAnsi="Times New Roman" w:eastAsia="宋体" w:cs="Times New Roman"/>
                <w:kern w:val="2"/>
                <w:sz w:val="21"/>
                <w:szCs w:val="24"/>
                <w:lang w:val="en-US" w:eastAsia="zh-CN" w:bidi="ar-SA"/>
              </w:rPr>
            </w:pPr>
            <w:r>
              <w:rPr>
                <w:rFonts w:hint="eastAsia"/>
              </w:rPr>
              <w:t>特种设备检测报告，如：      （举1例）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rPr>
                <w:rFonts w:ascii="Times New Roman" w:hAnsi="Times New Roman" w:eastAsia="宋体" w:cs="Times New Roman"/>
                <w:kern w:val="2"/>
                <w:sz w:val="21"/>
                <w:szCs w:val="24"/>
                <w:lang w:val="en-US" w:eastAsia="zh-CN" w:bidi="ar-SA"/>
              </w:rPr>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 xml:space="preserve">组织应在生产和服务提供期间对危化品的采购、运输、使用、储存的危险源进行控制，以确保符合MSDS和法规要求。 </w:t>
            </w:r>
          </w:p>
          <w:p>
            <w:pPr>
              <w:jc w:val="left"/>
              <w:rPr>
                <w:rFonts w:ascii="Times New Roman" w:hAnsi="Times New Roman" w:eastAsia="宋体" w:cs="Times New Roman"/>
                <w:kern w:val="2"/>
                <w:sz w:val="21"/>
                <w:szCs w:val="24"/>
                <w:lang w:val="en-US" w:eastAsia="zh-CN" w:bidi="ar-SA"/>
              </w:rPr>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 xml:space="preserve">组织对产品和服务交付后活动的要求。 ■废物回收 ■最终处置 </w:t>
            </w:r>
            <w:r>
              <w:rPr>
                <w:rFonts w:hint="eastAsia"/>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 xml:space="preserve">交付后活动：■符合要求 </w:t>
            </w:r>
            <w:r>
              <w:rPr>
                <w:rFonts w:hint="eastAsia"/>
                <w:lang w:eastAsia="zh-CN"/>
              </w:rPr>
              <w:t>□</w:t>
            </w:r>
            <w:r>
              <w:rPr>
                <w:rFonts w:hint="eastAsia"/>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r>
              <w:rPr>
                <w:rFonts w:hint="eastAsia"/>
              </w:rPr>
              <w:t xml:space="preserve"> </w:t>
            </w:r>
          </w:p>
          <w:p>
            <w:r>
              <w:rPr>
                <w:rFonts w:hint="eastAsia"/>
              </w:rPr>
              <w:t>于</w:t>
            </w:r>
            <w:r>
              <w:rPr>
                <w:rFonts w:hint="eastAsia"/>
                <w:u w:val="single"/>
              </w:rPr>
              <w:t>202</w:t>
            </w:r>
            <w:r>
              <w:rPr>
                <w:rFonts w:hint="eastAsia"/>
                <w:u w:val="single"/>
                <w:lang w:val="en-US" w:eastAsia="zh-CN"/>
              </w:rPr>
              <w:t>2</w:t>
            </w:r>
            <w:r>
              <w:rPr>
                <w:rFonts w:hint="eastAsia"/>
                <w:u w:val="single"/>
              </w:rPr>
              <w:t>年</w:t>
            </w:r>
            <w:r>
              <w:rPr>
                <w:rFonts w:hint="eastAsia"/>
                <w:u w:val="single"/>
                <w:lang w:val="en-US" w:eastAsia="zh-CN"/>
              </w:rPr>
              <w:t>4</w:t>
            </w:r>
            <w:r>
              <w:rPr>
                <w:rFonts w:hint="eastAsia"/>
                <w:u w:val="single"/>
              </w:rPr>
              <w:t>月</w:t>
            </w:r>
            <w:r>
              <w:rPr>
                <w:rFonts w:hint="eastAsia"/>
                <w:u w:val="single"/>
                <w:lang w:val="en-US" w:eastAsia="zh-CN"/>
              </w:rPr>
              <w:t>27</w:t>
            </w:r>
            <w:r>
              <w:rPr>
                <w:rFonts w:hint="eastAsia"/>
                <w:u w:val="single"/>
              </w:rPr>
              <w:t>日</w:t>
            </w:r>
            <w:r>
              <w:rPr>
                <w:rFonts w:hint="eastAsia"/>
              </w:rPr>
              <w:t xml:space="preserve">进行了火灾消防的演练；并总结了预案的可行性和有效性。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pPr>
              <w:rPr>
                <w:rFonts w:ascii="Times New Roman" w:hAnsi="Times New Roman" w:eastAsia="宋体" w:cs="Times New Roman"/>
                <w:kern w:val="2"/>
                <w:sz w:val="21"/>
                <w:szCs w:val="24"/>
                <w:lang w:val="en-US" w:eastAsia="zh-CN" w:bidi="ar-SA"/>
              </w:rPr>
            </w:pPr>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vAlign w:val="top"/>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rPr>
              <w:t>■定期（每年） ：</w:t>
            </w:r>
            <w:r>
              <w:rPr>
                <w:rFonts w:hint="eastAsia"/>
                <w:u w:val="single"/>
              </w:rPr>
              <w:t>202</w:t>
            </w:r>
            <w:r>
              <w:rPr>
                <w:rFonts w:hint="eastAsia"/>
                <w:u w:val="single"/>
                <w:lang w:val="en-US" w:eastAsia="zh-CN"/>
              </w:rPr>
              <w:t>2</w:t>
            </w:r>
            <w:r>
              <w:rPr>
                <w:rFonts w:hint="eastAsia"/>
                <w:u w:val="single"/>
              </w:rPr>
              <w:t>年5月2</w:t>
            </w:r>
            <w:r>
              <w:rPr>
                <w:rFonts w:hint="eastAsia"/>
                <w:u w:val="single"/>
                <w:lang w:val="en-US" w:eastAsia="zh-CN"/>
              </w:rPr>
              <w:t>6</w:t>
            </w:r>
            <w:r>
              <w:rPr>
                <w:rFonts w:hint="eastAsia"/>
                <w:u w:val="single"/>
              </w:rPr>
              <w:t>日</w:t>
            </w:r>
          </w:p>
          <w:p>
            <w:r>
              <w:rPr>
                <w:rFonts w:hint="eastAsia"/>
                <w:lang w:eastAsia="zh-CN"/>
              </w:rPr>
              <w:t>□</w:t>
            </w:r>
            <w:r>
              <w:rPr>
                <w:rFonts w:hint="eastAsia"/>
              </w:rPr>
              <w:t>特殊情况（法规变化）：       年   月   日</w:t>
            </w:r>
          </w:p>
          <w:p>
            <w:pPr>
              <w:rPr>
                <w:rFonts w:ascii="Times New Roman" w:hAnsi="Times New Roman" w:eastAsia="宋体" w:cs="Times New Roman"/>
                <w:kern w:val="2"/>
                <w:sz w:val="21"/>
                <w:szCs w:val="24"/>
                <w:lang w:val="en-US" w:eastAsia="zh-CN" w:bidi="ar-SA"/>
              </w:rPr>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202</w:t>
            </w:r>
            <w:r>
              <w:rPr>
                <w:rFonts w:hint="eastAsia"/>
                <w:u w:val="single"/>
                <w:lang w:val="en-US" w:eastAsia="zh-CN"/>
              </w:rPr>
              <w:t>2</w:t>
            </w:r>
            <w:r>
              <w:rPr>
                <w:rFonts w:hint="eastAsia"/>
                <w:u w:val="single"/>
              </w:rPr>
              <w:t xml:space="preserve">  年 5月2</w:t>
            </w:r>
            <w:r>
              <w:rPr>
                <w:rFonts w:hint="eastAsia"/>
                <w:u w:val="single"/>
                <w:lang w:val="en-US" w:eastAsia="zh-CN"/>
              </w:rPr>
              <w:t>4</w:t>
            </w:r>
            <w:r>
              <w:rPr>
                <w:rFonts w:hint="eastAsia"/>
                <w:u w:val="single"/>
              </w:rPr>
              <w:t>日-2</w:t>
            </w:r>
            <w:r>
              <w:rPr>
                <w:rFonts w:hint="eastAsia"/>
                <w:u w:val="single"/>
                <w:lang w:val="en-US" w:eastAsia="zh-CN"/>
              </w:rPr>
              <w:t>5</w:t>
            </w:r>
            <w:r>
              <w:rPr>
                <w:rFonts w:hint="eastAsia"/>
                <w:u w:val="single"/>
              </w:rPr>
              <w:t>日</w:t>
            </w:r>
            <w:r>
              <w:rPr>
                <w:rFonts w:hint="eastAsia"/>
              </w:rPr>
              <w:t>实施了职业健康安全管理体系内部审核，对职业健康安全管理体系的符合性和有效性进行了审核。内审发现的 1 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pPr>
              <w:rPr>
                <w:rFonts w:ascii="Times New Roman" w:hAnsi="Times New Roman" w:eastAsia="宋体" w:cs="Times New Roman"/>
                <w:kern w:val="2"/>
                <w:sz w:val="21"/>
                <w:szCs w:val="24"/>
                <w:lang w:val="en-US" w:eastAsia="zh-CN" w:bidi="ar-SA"/>
              </w:rPr>
            </w:pPr>
            <w:r>
              <w:rPr>
                <w:rFonts w:hint="eastAsia"/>
              </w:rPr>
              <w:t>组织将内部审核的结果的信息沟通给：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2022年6月17日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lang w:eastAsia="zh-CN"/>
              </w:rPr>
              <w:t>□</w:t>
            </w:r>
            <w:r>
              <w:rPr>
                <w:rFonts w:hint="eastAsia"/>
              </w:rPr>
              <w:t>其他</w:t>
            </w:r>
          </w:p>
          <w:p/>
          <w:p>
            <w:pPr>
              <w:rPr>
                <w:rFonts w:ascii="Times New Roman" w:hAnsi="Times New Roman" w:eastAsia="宋体" w:cs="Times New Roman"/>
                <w:kern w:val="2"/>
                <w:sz w:val="21"/>
                <w:szCs w:val="24"/>
                <w:lang w:val="en-US" w:eastAsia="zh-CN" w:bidi="ar-SA"/>
              </w:rPr>
            </w:pPr>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10"/>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3</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4" w:name="_GoBack"/>
            <w:bookmarkEnd w:id="34"/>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8" w:type="dxa"/>
            <w:shd w:val="clear" w:color="auto" w:fill="F2DCDC" w:themeFill="accent2" w:themeFillTint="32"/>
            <w:vAlign w:val="center"/>
          </w:tcPr>
          <w:p>
            <w:pPr>
              <w:rPr>
                <w:lang w:eastAsia="ja-JP"/>
              </w:rPr>
            </w:pPr>
            <w:r>
              <w:rPr>
                <w:rFonts w:hint="eastAsia"/>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7"/>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QyZmQ4MWM5YTdlOTM3ZWEzMDQwZGU2MjkwZTUyZWYifQ=="/>
  </w:docVars>
  <w:rsids>
    <w:rsidRoot w:val="00000000"/>
    <w:rsid w:val="3587295F"/>
    <w:rsid w:val="3EB566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4"/>
    <w:qFormat/>
    <w:uiPriority w:val="0"/>
    <w:pPr>
      <w:spacing w:after="120"/>
    </w:pPr>
  </w:style>
  <w:style w:type="paragraph" w:styleId="4">
    <w:name w:val="Body Text 2"/>
    <w:basedOn w:val="1"/>
    <w:qFormat/>
    <w:uiPriority w:val="0"/>
    <w:pPr>
      <w:spacing w:line="480" w:lineRule="auto"/>
    </w:p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18770</Words>
  <Characters>19970</Characters>
  <Lines>150</Lines>
  <Paragraphs>42</Paragraphs>
  <TotalTime>0</TotalTime>
  <ScaleCrop>false</ScaleCrop>
  <LinksUpToDate>false</LinksUpToDate>
  <CharactersWithSpaces>20091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2022-08-23T06:54:54Z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2052-11.1.0.12302</vt:lpwstr>
  </property>
</Properties>
</file>