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0585-2022-EnMS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江苏米格电气集团股份有限公司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91320282MA1MQ0KT5J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□带标  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3" w:name="_GoBack"/>
            <w:bookmarkEnd w:id="23"/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101-2013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65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江苏米格电气集团股份有限公司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rFonts w:hint="eastAsia"/>
                <w:sz w:val="22"/>
                <w:szCs w:val="22"/>
                <w:lang w:val="en-US" w:eastAsia="zh-CN"/>
              </w:rPr>
              <w:t>资质范围</w:t>
            </w:r>
            <w:r>
              <w:rPr>
                <w:sz w:val="22"/>
                <w:szCs w:val="22"/>
              </w:rPr>
              <w:t>内高低压开关、配电终端及成套设备的研发和组装所涉及场所的相关能源管理活动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宜兴市新街街道绿园路489号57幢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江苏省宜兴市岳南路88号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Jiangsu Mi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G</w:t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Electric Group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Building 57, No. 489, Luyuan Road, Xinjie street, Yixing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energy management activities of places involved in the R &amp; D and assembly of high and low voltage switches, power distribution terminals and complete equipment within the scope of qualification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 w:val="0"/>
                <w:bCs w:val="0"/>
                <w:sz w:val="22"/>
                <w:szCs w:val="16"/>
                <w:highlight w:val="none"/>
              </w:rPr>
              <w:t>No. 88, Yuenan Road, Yixing City, Jiangsu Province</w:t>
            </w:r>
            <w:r>
              <w:rPr>
                <w:rFonts w:hint="eastAsia" w:cs="Arial"/>
                <w:b w:val="0"/>
                <w:bCs w:val="0"/>
                <w:sz w:val="22"/>
                <w:szCs w:val="16"/>
                <w:highlight w:val="none"/>
                <w:lang w:val="en-US" w:eastAsia="zh-CN"/>
              </w:rPr>
              <w:t>, P</w:t>
            </w:r>
            <w:r>
              <w:rPr>
                <w:rFonts w:hint="eastAsia" w:cs="Arial"/>
                <w:b w:val="0"/>
                <w:bCs w:val="0"/>
                <w:sz w:val="22"/>
                <w:szCs w:val="16"/>
                <w:highlight w:val="none"/>
              </w:rPr>
              <w:t>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江苏米格电气集团股份有限公司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江苏省宜兴市岳南路88号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101-2013 能源管理体系 电子信息企业认证要求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31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审核类型及时间</w:t>
            </w:r>
          </w:p>
        </w:tc>
        <w:tc>
          <w:tcPr>
            <w:tcW w:w="3731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能源数据</w:t>
            </w:r>
          </w:p>
        </w:tc>
        <w:tc>
          <w:tcPr>
            <w:tcW w:w="3839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08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31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39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江苏米格电气集团股份有限公司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经营地址：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江苏省宜兴市岳南路88号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区域内的资质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范围内高低压开关、配电终端及成套设备的研发和组装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（车间、高低压配电室、空压机、空调系统等）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：采购部、财务部、营销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、技术服务中心、质量部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22243台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38962万元</w:t>
            </w: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59.363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2.67kgce/台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单位产值综合能耗：1.52kgce/万元</w:t>
            </w: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地方政府未下达节能量要求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31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39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31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39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31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39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lowerLetter"/>
      <w:pStyle w:val="1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DUxYjc5ZDkyNzNiN2VlNzljMDNjNzNiYmE0YzQifQ=="/>
  </w:docVars>
  <w:rsids>
    <w:rsidRoot w:val="00000000"/>
    <w:rsid w:val="00E16FE2"/>
    <w:rsid w:val="01251BCC"/>
    <w:rsid w:val="03EA43FF"/>
    <w:rsid w:val="07911761"/>
    <w:rsid w:val="0AB1211B"/>
    <w:rsid w:val="0C6F1945"/>
    <w:rsid w:val="13963C5C"/>
    <w:rsid w:val="150A66AF"/>
    <w:rsid w:val="1ED41ADC"/>
    <w:rsid w:val="1F825442"/>
    <w:rsid w:val="211A6CDC"/>
    <w:rsid w:val="23807B6F"/>
    <w:rsid w:val="26834513"/>
    <w:rsid w:val="27402404"/>
    <w:rsid w:val="2D1A7254"/>
    <w:rsid w:val="2EA026B6"/>
    <w:rsid w:val="328F6193"/>
    <w:rsid w:val="33114C55"/>
    <w:rsid w:val="3422536C"/>
    <w:rsid w:val="34784F8C"/>
    <w:rsid w:val="35FA3A8C"/>
    <w:rsid w:val="369E4A52"/>
    <w:rsid w:val="36DD557A"/>
    <w:rsid w:val="37DC5518"/>
    <w:rsid w:val="43FE4D82"/>
    <w:rsid w:val="45C218AE"/>
    <w:rsid w:val="4BB63823"/>
    <w:rsid w:val="4CDD7C2A"/>
    <w:rsid w:val="50016325"/>
    <w:rsid w:val="51BD2EC4"/>
    <w:rsid w:val="53B01B53"/>
    <w:rsid w:val="559D08AE"/>
    <w:rsid w:val="584E5E80"/>
    <w:rsid w:val="60695F4D"/>
    <w:rsid w:val="62260C60"/>
    <w:rsid w:val="6796339F"/>
    <w:rsid w:val="6CD44759"/>
    <w:rsid w:val="727716CC"/>
    <w:rsid w:val="735D35D9"/>
    <w:rsid w:val="7431035B"/>
    <w:rsid w:val="77CE6B26"/>
    <w:rsid w:val="7B3D5BB4"/>
    <w:rsid w:val="7DC61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17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2022-08-24T02:38:00Z</cp:lastPrinted>
  <dcterms:modified xsi:type="dcterms:W3CDTF">2022-08-25T04:59:26Z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