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0583-2022-EnMS</w:t>
      </w:r>
      <w:bookmarkEnd w:id="0"/>
    </w:p>
    <w:p>
      <w:pPr>
        <w:jc w:val="left"/>
        <w:rPr>
          <w:rFonts w:hint="eastAsia"/>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江苏宜格智能科技有限公司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sym w:font="Wingdings 2" w:char="0052"/>
      </w:r>
      <w:r>
        <w:rPr>
          <w:rFonts w:hint="eastAsia"/>
          <w:sz w:val="28"/>
          <w:szCs w:val="28"/>
        </w:rPr>
        <w:t>能源管理体系（EnMS）</w:t>
      </w:r>
    </w:p>
    <w:p>
      <w:pPr>
        <w:jc w:val="left"/>
        <w:rPr>
          <w:sz w:val="28"/>
          <w:szCs w:val="28"/>
        </w:rPr>
      </w:pPr>
    </w:p>
    <w:p>
      <w:pPr>
        <w:pStyle w:val="2"/>
      </w:pPr>
    </w:p>
    <w:p>
      <w:pPr>
        <w:pStyle w:val="2"/>
      </w:pPr>
    </w:p>
    <w:p>
      <w:pPr>
        <w:pStyle w:val="2"/>
      </w:pPr>
    </w:p>
    <w:p>
      <w:pPr>
        <w:pStyle w:val="2"/>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江苏宜格智能科技有限公司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宜兴市张渚镇新东路388号</w:t>
            </w:r>
            <w:bookmarkEnd w:id="6"/>
          </w:p>
        </w:tc>
        <w:tc>
          <w:tcPr>
            <w:tcW w:w="1242" w:type="dxa"/>
            <w:vMerge w:val="restart"/>
            <w:vAlign w:val="center"/>
          </w:tcPr>
          <w:p>
            <w:r>
              <w:rPr>
                <w:rFonts w:hint="eastAsia"/>
              </w:rPr>
              <w:t>邮编</w:t>
            </w:r>
          </w:p>
        </w:tc>
        <w:tc>
          <w:tcPr>
            <w:tcW w:w="1771" w:type="dxa"/>
          </w:tcPr>
          <w:p>
            <w:bookmarkStart w:id="7" w:name="注册邮编"/>
            <w:r>
              <w:t>214231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江苏省宜兴市岳南路88号</w:t>
            </w:r>
            <w:bookmarkEnd w:id="8"/>
          </w:p>
        </w:tc>
        <w:tc>
          <w:tcPr>
            <w:tcW w:w="1242" w:type="dxa"/>
            <w:vMerge w:val="continue"/>
            <w:vAlign w:val="center"/>
          </w:tcPr>
          <w:p/>
        </w:tc>
        <w:tc>
          <w:tcPr>
            <w:tcW w:w="1771" w:type="dxa"/>
          </w:tcPr>
          <w:p>
            <w:bookmarkStart w:id="9" w:name="办公邮编"/>
            <w:r>
              <w:t>214200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范倩娴</w:t>
            </w:r>
            <w:bookmarkEnd w:id="10"/>
          </w:p>
        </w:tc>
        <w:tc>
          <w:tcPr>
            <w:tcW w:w="1313" w:type="dxa"/>
            <w:vAlign w:val="center"/>
          </w:tcPr>
          <w:p>
            <w:r>
              <w:rPr>
                <w:rFonts w:hint="eastAsia"/>
              </w:rPr>
              <w:t>电话.</w:t>
            </w:r>
          </w:p>
        </w:tc>
        <w:tc>
          <w:tcPr>
            <w:tcW w:w="2180" w:type="dxa"/>
            <w:vAlign w:val="center"/>
          </w:tcPr>
          <w:p>
            <w:bookmarkStart w:id="11" w:name="联系人电话"/>
            <w:r>
              <w:t>13915378783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储盘峰</w:t>
            </w:r>
            <w:bookmarkEnd w:id="13"/>
          </w:p>
        </w:tc>
        <w:tc>
          <w:tcPr>
            <w:tcW w:w="1313" w:type="dxa"/>
            <w:vAlign w:val="center"/>
          </w:tcPr>
          <w:p>
            <w:r>
              <w:rPr>
                <w:rFonts w:hint="eastAsia"/>
              </w:rPr>
              <w:t>管理者代表</w:t>
            </w:r>
          </w:p>
        </w:tc>
        <w:tc>
          <w:tcPr>
            <w:tcW w:w="2180" w:type="dxa"/>
          </w:tcPr>
          <w:p>
            <w:bookmarkStart w:id="14" w:name="管理者代表"/>
            <w:r>
              <w:t>范倩娴</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tabs>
                <w:tab w:val="left" w:pos="360"/>
              </w:tabs>
              <w:ind w:left="360" w:hanging="360"/>
              <w:rPr>
                <w:rFonts w:hint="eastAsia"/>
                <w:lang w:val="en-US" w:eastAsia="zh-CN"/>
              </w:rPr>
            </w:pPr>
            <w:r>
              <w:rPr>
                <w:rFonts w:hint="eastAsia"/>
                <w:lang w:val="en-US" w:eastAsia="zh-CN"/>
              </w:rPr>
              <w:t>业务流程（工程承包）：</w:t>
            </w:r>
          </w:p>
          <w:p>
            <w:pPr>
              <w:tabs>
                <w:tab w:val="left" w:pos="360"/>
              </w:tabs>
              <w:rPr>
                <w:rFonts w:hint="eastAsia"/>
                <w:lang w:val="en-US" w:eastAsia="zh-CN"/>
              </w:rPr>
            </w:pPr>
            <w:r>
              <w:rPr>
                <w:rFonts w:hint="eastAsia"/>
                <w:lang w:val="en-US" w:eastAsia="zh-CN"/>
              </w:rPr>
              <w:t>测量、定位－支架及固定基座施工－沟槽开挖、管网安装及施工－电缆放线、接线及试验－接地施工及接地测试－箱逆变基础施工－设备安装－设备接线－调试－组织验收－不符合整改－竣工移交</w:t>
            </w:r>
          </w:p>
          <w:p>
            <w:pPr>
              <w:tabs>
                <w:tab w:val="left" w:pos="360"/>
              </w:tabs>
              <w:ind w:left="360" w:hanging="360"/>
              <w:rPr>
                <w:rFonts w:hint="eastAsia"/>
                <w:lang w:val="en-US" w:eastAsia="zh-CN"/>
              </w:rPr>
            </w:pPr>
            <w:r>
              <w:rPr>
                <w:rFonts w:hint="eastAsia"/>
                <w:lang w:val="en-US" w:eastAsia="zh-CN"/>
              </w:rPr>
              <w:t>业务流程（计算机软硬件的销售）：</w:t>
            </w:r>
          </w:p>
          <w:p>
            <w:r>
              <w:rPr>
                <w:rFonts w:hint="eastAsia"/>
                <w:lang w:val="en-US" w:eastAsia="zh-CN"/>
              </w:rPr>
              <w:t>顾客要求获取→顾客要求评审→签订销售合同→销售活动策划→采购→产品质量验证→产品交付顾客→售后服务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2022年08月2</w:t>
            </w:r>
            <w:r>
              <w:rPr>
                <w:rFonts w:hint="eastAsia"/>
                <w:lang w:val="en-US" w:eastAsia="zh-CN"/>
              </w:rPr>
              <w:t>8</w:t>
            </w:r>
            <w:r>
              <w:rPr>
                <w:rFonts w:hint="eastAsia"/>
              </w:rPr>
              <w:t>日 下午至2022年08月2</w:t>
            </w:r>
            <w:r>
              <w:rPr>
                <w:rFonts w:hint="eastAsia"/>
                <w:lang w:val="en-US" w:eastAsia="zh-CN"/>
              </w:rPr>
              <w:t>9</w:t>
            </w:r>
            <w:r>
              <w:rPr>
                <w:rFonts w:hint="eastAsia"/>
              </w:rPr>
              <w:t>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rPr>
              <w:sym w:font="Wingdings 2" w:char="0052"/>
            </w:r>
            <w:r>
              <w:rPr>
                <w:rFonts w:hint="eastAsia"/>
              </w:rPr>
              <w:t>GB/T 23331-2020/</w:t>
            </w:r>
            <w:r>
              <w:rPr>
                <w:rFonts w:hint="eastAsia"/>
                <w:lang w:val="de-DE"/>
              </w:rPr>
              <w:t>ISO50001：2018标准</w:t>
            </w:r>
          </w:p>
          <w:p>
            <w:r>
              <w:rPr>
                <w:rFonts w:hint="eastAsia"/>
                <w:lang w:val="de-DE"/>
              </w:rPr>
              <w:sym w:font="Wingdings 2" w:char="0052"/>
            </w:r>
            <w:r>
              <w:rPr>
                <w:rFonts w:hint="eastAsia"/>
                <w:lang w:val="de-DE"/>
              </w:rPr>
              <w:t>RB/T</w:t>
            </w:r>
            <w:r>
              <w:rPr>
                <w:rFonts w:hint="eastAsia"/>
                <w:lang w:val="en-US" w:eastAsia="zh-CN"/>
              </w:rPr>
              <w:t>124-2018</w:t>
            </w:r>
            <w:r>
              <w:rPr>
                <w:rFonts w:hint="eastAsia"/>
                <w:lang w:val="de-DE"/>
              </w:rPr>
              <w:t xml:space="preserve">       </w:t>
            </w:r>
            <w:r>
              <w:rPr>
                <w:rFonts w:hint="eastAsia"/>
              </w:rPr>
              <w:t>(</w:t>
            </w:r>
            <w:r>
              <w:rPr>
                <w:rFonts w:hint="eastAsia"/>
                <w:lang w:val="de-DE"/>
              </w:rPr>
              <w:t>行业认证标准</w:t>
            </w:r>
            <w:r>
              <w:rPr>
                <w:rFonts w:hint="eastAsia"/>
              </w:rPr>
              <w:t>)</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rPr>
                <w:rFonts w:hint="default" w:eastAsia="宋体"/>
                <w:lang w:val="en-US" w:eastAsia="zh-CN"/>
              </w:rPr>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注：因疫情原因2022年8月29日变更为现场结合远程审核（审核计划已变更）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初审二阶段</w:t>
            </w:r>
            <w:bookmarkStart w:id="25" w:name="监督勾选"/>
            <w:r>
              <w:rPr>
                <w:rFonts w:hint="eastAsia"/>
              </w:rPr>
              <w:t>□</w:t>
            </w:r>
            <w:bookmarkEnd w:id="25"/>
            <w:r>
              <w:rPr>
                <w:rFonts w:hint="eastAsia"/>
              </w:rPr>
              <w:t>监督第</w:t>
            </w:r>
            <w:bookmarkStart w:id="26" w:name="监督次数"/>
            <w:bookmarkEnd w:id="26"/>
            <w:r>
              <w:rPr>
                <w:rFonts w:hint="eastAsia" w:ascii="宋体" w:hAnsi="宋体" w:cs="宋体"/>
                <w:color w:val="000000"/>
                <w:kern w:val="0"/>
                <w:szCs w:val="21"/>
                <w:lang w:val="en-US" w:eastAsia="zh-CN"/>
              </w:rPr>
              <w:t>远程</w:t>
            </w:r>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r>
              <w:t>江苏省宜兴市岳南路88号</w:t>
            </w:r>
          </w:p>
          <w:p>
            <w:r>
              <w:rPr>
                <w:rFonts w:hint="eastAsia"/>
                <w:lang w:val="en-US" w:eastAsia="zh-CN"/>
              </w:rPr>
              <w:t>29日审核地址：河北省石家庄市（远程）/</w:t>
            </w:r>
            <w:r>
              <w:t>江苏省宜兴市岳南路88号</w:t>
            </w:r>
          </w:p>
          <w:p>
            <w:pPr>
              <w:pStyle w:val="2"/>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资质范围内电子与智能化工程施工专业承包、计算机软硬件的销售所涉及的能源管理活动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2.10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tc>
        <w:tc>
          <w:tcPr>
            <w:tcW w:w="1883" w:type="dxa"/>
            <w:vAlign w:val="center"/>
          </w:tcPr>
          <w:p>
            <w:r>
              <w:rPr>
                <w:rFonts w:hint="eastAsia"/>
                <w:b/>
                <w:bCs/>
              </w:rPr>
              <w:t>能源管理体系运行已超过6个月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690"/>
        <w:gridCol w:w="1354"/>
        <w:gridCol w:w="1173"/>
        <w:gridCol w:w="2609"/>
        <w:gridCol w:w="175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690" w:type="dxa"/>
            <w:shd w:val="clear" w:color="auto" w:fill="F3F3F3"/>
            <w:tcMar>
              <w:left w:w="57" w:type="dxa"/>
              <w:right w:w="57" w:type="dxa"/>
            </w:tcMar>
          </w:tcPr>
          <w:p>
            <w:r>
              <w:rPr>
                <w:rFonts w:hint="eastAsia"/>
              </w:rPr>
              <w:t>组织名称及注册场所地址</w:t>
            </w:r>
          </w:p>
        </w:tc>
        <w:tc>
          <w:tcPr>
            <w:tcW w:w="1354" w:type="dxa"/>
            <w:shd w:val="clear" w:color="auto" w:fill="F3F3F3"/>
            <w:tcMar>
              <w:left w:w="57" w:type="dxa"/>
              <w:right w:w="57" w:type="dxa"/>
            </w:tcMar>
          </w:tcPr>
          <w:p>
            <w:r>
              <w:rPr>
                <w:rFonts w:hint="eastAsia"/>
              </w:rPr>
              <w:t>经营场所的地址</w:t>
            </w:r>
          </w:p>
          <w:p>
            <w:r>
              <w:rPr>
                <w:rFonts w:hint="eastAsia"/>
              </w:rPr>
              <w:t>（多现场和临时现场）</w:t>
            </w:r>
          </w:p>
        </w:tc>
        <w:tc>
          <w:tcPr>
            <w:tcW w:w="1173" w:type="dxa"/>
            <w:shd w:val="clear" w:color="auto" w:fill="F3F3F3"/>
            <w:tcMar>
              <w:left w:w="57" w:type="dxa"/>
              <w:right w:w="57" w:type="dxa"/>
            </w:tcMar>
          </w:tcPr>
          <w:p>
            <w:r>
              <w:rPr>
                <w:rFonts w:hint="eastAsia"/>
              </w:rPr>
              <w:t>员工人数</w:t>
            </w:r>
          </w:p>
        </w:tc>
        <w:tc>
          <w:tcPr>
            <w:tcW w:w="2609"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75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690" w:type="dxa"/>
            <w:vAlign w:val="top"/>
          </w:tcPr>
          <w:p>
            <w:pPr>
              <w:spacing w:before="40" w:after="40"/>
              <w:rPr>
                <w:rFonts w:hint="eastAsia" w:ascii="Times New Roman" w:hAnsi="Times New Roman" w:eastAsia="宋体" w:cs="Times New Roman"/>
                <w:b w:val="0"/>
                <w:bCs/>
                <w:kern w:val="2"/>
                <w:sz w:val="21"/>
                <w:szCs w:val="21"/>
                <w:lang w:val="de-DE" w:eastAsia="ja-JP" w:bidi="ar-SA"/>
              </w:rPr>
            </w:pPr>
            <w:r>
              <w:rPr>
                <w:rFonts w:ascii="宋体"/>
                <w:b w:val="0"/>
                <w:bCs/>
                <w:color w:val="000000"/>
                <w:szCs w:val="21"/>
              </w:rPr>
              <w:t>江苏宜格智能科技有限公司</w:t>
            </w:r>
            <w:r>
              <w:rPr>
                <w:rFonts w:hint="eastAsia" w:ascii="宋体"/>
                <w:b w:val="0"/>
                <w:bCs/>
                <w:color w:val="000000"/>
                <w:szCs w:val="21"/>
                <w:lang w:val="en-US" w:eastAsia="zh-CN"/>
              </w:rPr>
              <w:t>/</w:t>
            </w:r>
            <w:r>
              <w:rPr>
                <w:rFonts w:ascii="宋体"/>
                <w:b w:val="0"/>
                <w:bCs/>
                <w:color w:val="000000"/>
                <w:szCs w:val="21"/>
              </w:rPr>
              <w:t>宜兴市张渚镇新东路388号</w:t>
            </w:r>
          </w:p>
        </w:tc>
        <w:tc>
          <w:tcPr>
            <w:tcW w:w="1354" w:type="dxa"/>
            <w:vAlign w:val="top"/>
          </w:tcPr>
          <w:p>
            <w:pPr>
              <w:spacing w:before="40" w:after="40"/>
              <w:rPr>
                <w:rFonts w:ascii="Times New Roman" w:hAnsi="Times New Roman" w:eastAsia="黑体" w:cs="Times New Roman"/>
                <w:b w:val="0"/>
                <w:bCs/>
                <w:kern w:val="2"/>
                <w:sz w:val="21"/>
                <w:szCs w:val="21"/>
                <w:lang w:val="de-DE" w:eastAsia="ja-JP" w:bidi="ar-SA"/>
              </w:rPr>
            </w:pPr>
            <w:r>
              <w:rPr>
                <w:rFonts w:ascii="宋体"/>
                <w:b w:val="0"/>
                <w:bCs/>
                <w:color w:val="000000"/>
                <w:szCs w:val="21"/>
              </w:rPr>
              <w:t>江苏省宜兴市岳南路88号</w:t>
            </w:r>
          </w:p>
        </w:tc>
        <w:tc>
          <w:tcPr>
            <w:tcW w:w="1173" w:type="dxa"/>
            <w:vAlign w:val="center"/>
          </w:tcPr>
          <w:p>
            <w:pPr>
              <w:spacing w:before="40" w:after="40"/>
              <w:rPr>
                <w:rFonts w:hint="default" w:ascii="Times New Roman" w:hAnsi="Times New Roman" w:eastAsia="黑体" w:cs="Times New Roman"/>
                <w:b w:val="0"/>
                <w:bCs/>
                <w:kern w:val="2"/>
                <w:sz w:val="21"/>
                <w:szCs w:val="21"/>
                <w:lang w:val="en-US" w:eastAsia="ja-JP" w:bidi="ar-SA"/>
              </w:rPr>
            </w:pPr>
            <w:r>
              <w:rPr>
                <w:rFonts w:hint="eastAsia" w:eastAsia="黑体"/>
                <w:b w:val="0"/>
                <w:bCs/>
                <w:szCs w:val="21"/>
                <w:lang w:val="en-US" w:eastAsia="zh-CN"/>
              </w:rPr>
              <w:t>25人（能源体系25人）</w:t>
            </w:r>
          </w:p>
        </w:tc>
        <w:tc>
          <w:tcPr>
            <w:tcW w:w="2609" w:type="dxa"/>
            <w:vAlign w:val="center"/>
          </w:tcPr>
          <w:p>
            <w:pPr>
              <w:pStyle w:val="20"/>
              <w:rPr>
                <w:rFonts w:ascii="Times New Roman" w:hAnsi="Times New Roman" w:eastAsia="黑体" w:cs="Arial"/>
                <w:b w:val="0"/>
                <w:bCs/>
                <w:kern w:val="2"/>
                <w:sz w:val="21"/>
                <w:szCs w:val="21"/>
                <w:lang w:val="en-US" w:eastAsia="ja-JP" w:bidi="ar-SA"/>
              </w:rPr>
            </w:pPr>
            <w:r>
              <w:rPr>
                <w:rFonts w:ascii="宋体" w:hAnsi="Times New Roman" w:eastAsia="宋体" w:cs="Times New Roman"/>
                <w:b w:val="0"/>
                <w:bCs/>
                <w:color w:val="000000"/>
                <w:kern w:val="2"/>
                <w:sz w:val="21"/>
                <w:szCs w:val="21"/>
                <w:lang w:val="en-US" w:eastAsia="zh-CN" w:bidi="ar-SA"/>
              </w:rPr>
              <w:t>资质范围内电子与智能化工程施工专业承包、计算机软硬件的销售所涉及的能源管理活动</w:t>
            </w:r>
          </w:p>
        </w:tc>
        <w:tc>
          <w:tcPr>
            <w:tcW w:w="1751" w:type="dxa"/>
            <w:vAlign w:val="center"/>
          </w:tcPr>
          <w:p>
            <w:pPr>
              <w:spacing w:before="40" w:after="40"/>
              <w:rPr>
                <w:rFonts w:hint="eastAsia" w:eastAsia="黑体"/>
                <w:b w:val="0"/>
                <w:bCs/>
                <w:szCs w:val="21"/>
                <w:lang w:val="en-US" w:eastAsia="zh-CN"/>
              </w:rPr>
            </w:pPr>
            <w:r>
              <w:rPr>
                <w:rFonts w:hint="eastAsia" w:eastAsia="黑体"/>
                <w:b w:val="0"/>
                <w:bCs/>
                <w:szCs w:val="21"/>
                <w:lang w:val="en-US" w:eastAsia="zh-CN"/>
              </w:rPr>
              <w:t>GB/T23331-2020</w:t>
            </w:r>
          </w:p>
          <w:p>
            <w:pPr>
              <w:spacing w:before="40" w:after="40"/>
              <w:rPr>
                <w:rFonts w:hint="default" w:ascii="Times New Roman" w:hAnsi="Times New Roman" w:eastAsia="黑体" w:cs="Times New Roman"/>
                <w:b w:val="0"/>
                <w:bCs/>
                <w:kern w:val="2"/>
                <w:sz w:val="21"/>
                <w:szCs w:val="21"/>
                <w:lang w:val="en-US" w:eastAsia="ja-JP" w:bidi="ar-SA"/>
              </w:rPr>
            </w:pPr>
            <w:r>
              <w:rPr>
                <w:rFonts w:hint="eastAsia" w:eastAsia="黑体"/>
                <w:b w:val="0"/>
                <w:bCs/>
                <w:szCs w:val="21"/>
                <w:lang w:val="en-US" w:eastAsia="zh-CN"/>
              </w:rPr>
              <w:t>RB/T124-2018</w:t>
            </w:r>
          </w:p>
        </w:tc>
        <w:tc>
          <w:tcPr>
            <w:tcW w:w="668" w:type="dxa"/>
            <w:shd w:val="clear" w:color="auto" w:fill="FFFFFF"/>
            <w:vAlign w:val="top"/>
          </w:tcPr>
          <w:sdt>
            <w:sdtPr>
              <w:rPr>
                <w:rFonts w:hint="eastAsia" w:ascii="宋体" w:hAnsi="宋体" w:eastAsia="宋体" w:cs="宋体"/>
                <w:b w:val="0"/>
                <w:bCs/>
                <w:szCs w:val="21"/>
              </w:rPr>
              <w:id w:val="271604670"/>
            </w:sdtPr>
            <w:sdtEndPr>
              <w:rPr>
                <w:rFonts w:hint="eastAsia" w:ascii="宋体" w:hAnsi="宋体" w:eastAsia="黑体" w:cs="宋体"/>
                <w:b w:val="0"/>
                <w:bCs/>
                <w:szCs w:val="21"/>
              </w:rPr>
            </w:sdtEndPr>
            <w:sdtContent>
              <w:p>
                <w:pPr>
                  <w:rPr>
                    <w:rFonts w:hint="eastAsia" w:ascii="宋体" w:hAnsi="宋体" w:eastAsia="黑体" w:cs="宋体"/>
                    <w:b w:val="0"/>
                    <w:bCs/>
                    <w:szCs w:val="21"/>
                  </w:rPr>
                </w:pPr>
                <w:r>
                  <w:rPr>
                    <w:rFonts w:eastAsia="黑体"/>
                    <w:b w:val="0"/>
                    <w:bCs/>
                    <w:szCs w:val="21"/>
                  </w:rPr>
                  <w:t>■</w:t>
                </w:r>
              </w:p>
            </w:sdtContent>
          </w:sdt>
          <w:p>
            <w:pPr>
              <w:rPr>
                <w:rFonts w:ascii="Times New Roman" w:hAnsi="Times New Roman" w:eastAsia="黑体" w:cs="Times New Roman"/>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690" w:type="dxa"/>
            <w:vAlign w:val="center"/>
          </w:tcPr>
          <w:p>
            <w:pPr>
              <w:rPr>
                <w:lang w:eastAsia="ja-JP"/>
              </w:rPr>
            </w:pPr>
          </w:p>
        </w:tc>
        <w:tc>
          <w:tcPr>
            <w:tcW w:w="1354" w:type="dxa"/>
            <w:vAlign w:val="center"/>
          </w:tcPr>
          <w:p>
            <w:pPr>
              <w:rPr>
                <w:lang w:eastAsia="ja-JP"/>
              </w:rPr>
            </w:pPr>
          </w:p>
        </w:tc>
        <w:tc>
          <w:tcPr>
            <w:tcW w:w="1173" w:type="dxa"/>
            <w:vAlign w:val="center"/>
          </w:tcPr>
          <w:p>
            <w:pPr>
              <w:rPr>
                <w:lang w:eastAsia="ja-JP"/>
              </w:rPr>
            </w:pPr>
          </w:p>
        </w:tc>
        <w:tc>
          <w:tcPr>
            <w:tcW w:w="2609" w:type="dxa"/>
            <w:vAlign w:val="center"/>
          </w:tcPr>
          <w:p>
            <w:pPr>
              <w:rPr>
                <w:lang w:eastAsia="ja-JP"/>
              </w:rPr>
            </w:pPr>
          </w:p>
        </w:tc>
        <w:tc>
          <w:tcPr>
            <w:tcW w:w="17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1690" w:type="dxa"/>
            <w:vAlign w:val="center"/>
          </w:tcPr>
          <w:p>
            <w:pPr>
              <w:rPr>
                <w:lang w:eastAsia="ja-JP"/>
              </w:rPr>
            </w:pPr>
          </w:p>
        </w:tc>
        <w:tc>
          <w:tcPr>
            <w:tcW w:w="1354" w:type="dxa"/>
            <w:vAlign w:val="center"/>
          </w:tcPr>
          <w:p>
            <w:pPr>
              <w:rPr>
                <w:lang w:eastAsia="ja-JP"/>
              </w:rPr>
            </w:pPr>
          </w:p>
        </w:tc>
        <w:tc>
          <w:tcPr>
            <w:tcW w:w="1173" w:type="dxa"/>
            <w:vAlign w:val="center"/>
          </w:tcPr>
          <w:p>
            <w:pPr>
              <w:rPr>
                <w:lang w:eastAsia="ja-JP"/>
              </w:rPr>
            </w:pPr>
          </w:p>
        </w:tc>
        <w:tc>
          <w:tcPr>
            <w:tcW w:w="2609" w:type="dxa"/>
            <w:vAlign w:val="center"/>
          </w:tcPr>
          <w:p>
            <w:pPr>
              <w:rPr>
                <w:lang w:eastAsia="ja-JP"/>
              </w:rPr>
            </w:pPr>
          </w:p>
        </w:tc>
        <w:tc>
          <w:tcPr>
            <w:tcW w:w="17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1690" w:type="dxa"/>
            <w:vAlign w:val="center"/>
          </w:tcPr>
          <w:p>
            <w:pPr>
              <w:rPr>
                <w:lang w:eastAsia="ja-JP"/>
              </w:rPr>
            </w:pPr>
          </w:p>
        </w:tc>
        <w:tc>
          <w:tcPr>
            <w:tcW w:w="1354" w:type="dxa"/>
            <w:vAlign w:val="center"/>
          </w:tcPr>
          <w:p>
            <w:pPr>
              <w:rPr>
                <w:lang w:eastAsia="ja-JP"/>
              </w:rPr>
            </w:pPr>
          </w:p>
        </w:tc>
        <w:tc>
          <w:tcPr>
            <w:tcW w:w="1173" w:type="dxa"/>
            <w:vAlign w:val="center"/>
          </w:tcPr>
          <w:p>
            <w:pPr>
              <w:rPr>
                <w:lang w:eastAsia="ja-JP"/>
              </w:rPr>
            </w:pPr>
          </w:p>
        </w:tc>
        <w:tc>
          <w:tcPr>
            <w:tcW w:w="2609" w:type="dxa"/>
            <w:vAlign w:val="center"/>
          </w:tcPr>
          <w:p>
            <w:pPr>
              <w:rPr>
                <w:lang w:eastAsia="ja-JP"/>
              </w:rPr>
            </w:pPr>
          </w:p>
        </w:tc>
        <w:tc>
          <w:tcPr>
            <w:tcW w:w="17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1690" w:type="dxa"/>
            <w:vAlign w:val="center"/>
          </w:tcPr>
          <w:p>
            <w:pPr>
              <w:rPr>
                <w:lang w:eastAsia="ja-JP"/>
              </w:rPr>
            </w:pPr>
          </w:p>
        </w:tc>
        <w:tc>
          <w:tcPr>
            <w:tcW w:w="1354" w:type="dxa"/>
            <w:vAlign w:val="center"/>
          </w:tcPr>
          <w:p>
            <w:pPr>
              <w:rPr>
                <w:lang w:eastAsia="ja-JP"/>
              </w:rPr>
            </w:pPr>
          </w:p>
        </w:tc>
        <w:tc>
          <w:tcPr>
            <w:tcW w:w="1173" w:type="dxa"/>
            <w:vAlign w:val="center"/>
          </w:tcPr>
          <w:p>
            <w:pPr>
              <w:rPr>
                <w:lang w:eastAsia="ja-JP"/>
              </w:rPr>
            </w:pPr>
          </w:p>
        </w:tc>
        <w:tc>
          <w:tcPr>
            <w:tcW w:w="2609" w:type="dxa"/>
            <w:vAlign w:val="center"/>
          </w:tcPr>
          <w:p>
            <w:pPr>
              <w:rPr>
                <w:lang w:eastAsia="ja-JP"/>
              </w:rPr>
            </w:pPr>
          </w:p>
        </w:tc>
        <w:tc>
          <w:tcPr>
            <w:tcW w:w="175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rPr>
          <w:rFonts w:hint="default" w:eastAsiaTheme="minorEastAsia"/>
          <w:lang w:val="en-US" w:eastAsia="zh-CN"/>
        </w:rPr>
      </w:pPr>
      <w:r>
        <w:rPr>
          <w:rFonts w:hint="eastAsia"/>
        </w:rPr>
        <w:t>四、</w:t>
      </w:r>
      <w:r>
        <w:t>对偏离审核计划情况</w:t>
      </w:r>
      <w:r>
        <w:rPr>
          <w:rFonts w:hint="eastAsia"/>
        </w:rPr>
        <w:t>及理由</w:t>
      </w:r>
      <w:r>
        <w:t>，包括对审核风险及影响审核结论的不确定性的客观陈述。</w:t>
      </w:r>
      <w:r>
        <w:rPr>
          <w:rFonts w:hint="eastAsia"/>
          <w:lang w:val="en-US" w:eastAsia="zh-CN"/>
        </w:rPr>
        <w:t>见审核计划偏离情况说明。</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A3"/>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sym w:font="Wingdings 2" w:char="0052"/>
            </w:r>
            <w:r>
              <w:rPr>
                <w:rFonts w:hint="eastAsia"/>
              </w:rPr>
              <w:t>审核计划有修改，但不会影响审核结论。</w:t>
            </w:r>
          </w:p>
          <w:p>
            <w:pPr>
              <w:rPr>
                <w:rFonts w:hint="eastAsia" w:eastAsia="宋体"/>
                <w:lang w:val="en-US" w:eastAsia="zh-CN"/>
              </w:rPr>
            </w:pPr>
            <w:r>
              <w:rPr>
                <w:rFonts w:hint="eastAsia"/>
              </w:rPr>
              <w:t>修改的内容和原因是：</w:t>
            </w:r>
            <w:r>
              <w:rPr>
                <w:rFonts w:hint="eastAsia"/>
                <w:lang w:val="en-US" w:eastAsia="zh-CN"/>
              </w:rPr>
              <w:t>疫情</w:t>
            </w:r>
          </w:p>
        </w:tc>
        <w:tc>
          <w:tcPr>
            <w:tcW w:w="5761" w:type="dxa"/>
          </w:tcPr>
          <w:p>
            <w:pPr>
              <w:rPr>
                <w:rFonts w:hint="eastAsia"/>
              </w:rPr>
            </w:pPr>
            <w:r>
              <w:rPr>
                <w:rFonts w:hint="eastAsia"/>
              </w:rPr>
              <w:t>□人员调整□多场所调整</w:t>
            </w:r>
            <w:r>
              <w:rPr>
                <w:rFonts w:hint="eastAsia"/>
                <w:lang w:val="en-US" w:eastAsia="zh-CN"/>
              </w:rPr>
              <w:t xml:space="preserve">  </w:t>
            </w:r>
            <w:r>
              <w:rPr>
                <w:rFonts w:hint="eastAsia"/>
              </w:rPr>
              <w:sym w:font="Wingdings 2" w:char="0052"/>
            </w:r>
            <w:r>
              <w:rPr>
                <w:rFonts w:hint="eastAsia"/>
                <w:lang w:val="en-US" w:eastAsia="zh-CN"/>
              </w:rPr>
              <w:t>部分审核员审核</w:t>
            </w:r>
            <w:r>
              <w:rPr>
                <w:rFonts w:hint="eastAsia"/>
              </w:rPr>
              <w:t>场所临时调整</w:t>
            </w:r>
          </w:p>
          <w:p>
            <w:r>
              <w:rPr>
                <w:rFonts w:hint="eastAsia"/>
              </w:rPr>
              <w:t>□缩小认证范围□其他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组长</w:t>
            </w:r>
          </w:p>
        </w:tc>
        <w:tc>
          <w:tcPr>
            <w:tcW w:w="711" w:type="dxa"/>
            <w:vAlign w:val="center"/>
          </w:tcPr>
          <w:p>
            <w:r>
              <w:t>女</w:t>
            </w:r>
          </w:p>
        </w:tc>
        <w:tc>
          <w:tcPr>
            <w:tcW w:w="3870" w:type="dxa"/>
            <w:vAlign w:val="center"/>
          </w:tcPr>
          <w:p>
            <w:r>
              <w:t>2020-N1EnMS-3021820</w:t>
            </w:r>
          </w:p>
        </w:tc>
        <w:tc>
          <w:tcPr>
            <w:tcW w:w="2179" w:type="dxa"/>
            <w:vAlign w:val="center"/>
          </w:tcPr>
          <w:p>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张静</w:t>
            </w:r>
          </w:p>
        </w:tc>
        <w:tc>
          <w:tcPr>
            <w:tcW w:w="1089" w:type="dxa"/>
            <w:vAlign w:val="center"/>
          </w:tcPr>
          <w:p>
            <w:r>
              <w:t>组员</w:t>
            </w:r>
          </w:p>
        </w:tc>
        <w:tc>
          <w:tcPr>
            <w:tcW w:w="711" w:type="dxa"/>
            <w:vAlign w:val="center"/>
          </w:tcPr>
          <w:p>
            <w:r>
              <w:t>女</w:t>
            </w:r>
          </w:p>
        </w:tc>
        <w:tc>
          <w:tcPr>
            <w:tcW w:w="3870" w:type="dxa"/>
            <w:vAlign w:val="center"/>
          </w:tcPr>
          <w:p>
            <w:r>
              <w:t>2021-N1EnMS-1011923</w:t>
            </w:r>
          </w:p>
        </w:tc>
        <w:tc>
          <w:tcPr>
            <w:tcW w:w="2179" w:type="dxa"/>
            <w:vAlign w:val="center"/>
          </w:tcPr>
          <w:p>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r>
        <w:rPr>
          <w:rFonts w:hint="eastAsia"/>
        </w:rPr>
        <w:sym w:font="Wingdings 2" w:char="0052"/>
      </w:r>
      <w:r>
        <w:rPr>
          <w:rFonts w:hint="eastAsia"/>
        </w:rPr>
        <w:t>EnMS□FSMS□HACCP的附件）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default"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52"/>
            </w:r>
            <w:r>
              <w:rPr>
                <w:rFonts w:hint="eastAsia"/>
              </w:rPr>
              <w:t>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rFonts w:hint="default" w:eastAsia="宋体"/>
                <w:color w:val="0000FF"/>
                <w:lang w:val="en-US" w:eastAsia="zh-CN"/>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r>
              <w:rPr>
                <w:rFonts w:hint="eastAsia" w:ascii="宋体" w:hAnsi="宋体"/>
                <w:b/>
                <w:color w:val="0000FF"/>
                <w:spacing w:val="-10"/>
                <w:szCs w:val="21"/>
                <w:lang w:eastAsia="zh-CN"/>
              </w:rPr>
              <w:t>——</w:t>
            </w:r>
            <w:r>
              <w:rPr>
                <w:rFonts w:hint="eastAsia" w:ascii="宋体" w:hAnsi="宋体"/>
                <w:b/>
                <w:color w:val="0000FF"/>
                <w:spacing w:val="-10"/>
                <w:szCs w:val="21"/>
                <w:lang w:val="en-US" w:eastAsia="zh-CN"/>
              </w:rPr>
              <w:t>29日因疫情原因，A审核员临时变更为远程审核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sz w:val="21"/>
                <w:szCs w:val="21"/>
                <w:lang w:eastAsia="zh-CN"/>
              </w:rPr>
              <w:drawing>
                <wp:anchor distT="0" distB="0" distL="114300" distR="114300" simplePos="0" relativeHeight="251664384" behindDoc="0" locked="0" layoutInCell="1" allowOverlap="1">
                  <wp:simplePos x="0" y="0"/>
                  <wp:positionH relativeFrom="column">
                    <wp:posOffset>106045</wp:posOffset>
                  </wp:positionH>
                  <wp:positionV relativeFrom="paragraph">
                    <wp:posOffset>46990</wp:posOffset>
                  </wp:positionV>
                  <wp:extent cx="982345" cy="319405"/>
                  <wp:effectExtent l="0" t="0" r="0" b="10795"/>
                  <wp:wrapSquare wrapText="bothSides"/>
                  <wp:docPr id="5" name="图片 5"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李丽英电子签"/>
                          <pic:cNvPicPr>
                            <a:picLocks noChangeAspect="1"/>
                          </pic:cNvPicPr>
                        </pic:nvPicPr>
                        <pic:blipFill>
                          <a:blip r:embed="rId6"/>
                          <a:stretch>
                            <a:fillRect/>
                          </a:stretch>
                        </pic:blipFill>
                        <pic:spPr>
                          <a:xfrm>
                            <a:off x="0" y="0"/>
                            <a:ext cx="982345" cy="31940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2022.8.29</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rPr>
                      <w:rFonts w:hint="eastAsia"/>
                    </w:rPr>
                    <w:t>活动、产品和服务</w:t>
                  </w:r>
                  <w:r>
                    <w:rPr>
                      <w:rFonts w:hint="eastAsia"/>
                    </w:rPr>
                    <w:sym w:font="Wingdings 2" w:char="0052"/>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节约资源□满足限额要求</w:t>
            </w:r>
            <w:r>
              <w:rPr>
                <w:rFonts w:hint="eastAsia"/>
              </w:rPr>
              <w:sym w:font="Wingdings 2" w:char="0052"/>
            </w:r>
            <w:r>
              <w:rPr>
                <w:rFonts w:hint="eastAsia"/>
              </w:rPr>
              <w:t>主要用能设备管理</w:t>
            </w:r>
            <w:r>
              <w:rPr>
                <w:rFonts w:hint="eastAsia"/>
              </w:rPr>
              <w:sym w:font="Wingdings 2" w:char="00A3"/>
            </w:r>
            <w:r>
              <w:rPr>
                <w:rFonts w:hint="eastAsia"/>
              </w:rPr>
              <w:t>能耗测量</w:t>
            </w:r>
          </w:p>
          <w:p>
            <w:pPr>
              <w:shd w:val="clear" w:color="auto" w:fill="EBF1DE" w:themeFill="accent3" w:themeFillTint="32"/>
              <w:spacing w:before="40" w:after="40"/>
            </w:pP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生产/服务过程</w:t>
            </w:r>
            <w:r>
              <w:rPr>
                <w:rFonts w:hint="eastAsia"/>
              </w:rPr>
              <w:sym w:font="Wingdings 2" w:char="00A3"/>
            </w:r>
            <w:r>
              <w:rPr>
                <w:rFonts w:hint="eastAsia"/>
              </w:rPr>
              <w:t>能效监测</w:t>
            </w:r>
            <w:r>
              <w:rPr>
                <w:rFonts w:hint="eastAsia"/>
              </w:rPr>
              <w:sym w:font="Wingdings 2" w:char="00A3"/>
            </w:r>
            <w:r>
              <w:rPr>
                <w:rFonts w:hint="eastAsia"/>
              </w:rPr>
              <w:t>设备维修</w:t>
            </w:r>
            <w:r>
              <w:rPr>
                <w:rFonts w:hint="eastAsia"/>
              </w:rPr>
              <w:sym w:font="Wingdings 2" w:char="0052"/>
            </w:r>
            <w:r>
              <w:rPr>
                <w:rFonts w:hint="eastAsia"/>
              </w:rPr>
              <w:t>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
                <w:bCs/>
                <w:color w:val="000000"/>
                <w:szCs w:val="18"/>
              </w:rPr>
            </w:pPr>
            <w:r>
              <w:rPr>
                <w:rFonts w:hint="eastAsia"/>
              </w:rPr>
              <w:t>最高管理者制定了文件化的管理体系方针：</w:t>
            </w:r>
            <w:r>
              <w:rPr>
                <w:rFonts w:hint="eastAsia" w:eastAsia="宋体"/>
                <w:b/>
                <w:bCs/>
                <w:color w:val="000000"/>
                <w:szCs w:val="18"/>
              </w:rPr>
              <w:t>严格贯彻节能法律法规，履行节能降耗相关要求；</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eastAsia="宋体"/>
                <w:b/>
                <w:bCs/>
                <w:color w:val="000000"/>
                <w:szCs w:val="18"/>
              </w:rPr>
              <w:t>提供资源促进节能进步，持续改进能源管理绩效；形成节能降耗长效机制，构建节约环保绿色企业。</w:t>
            </w:r>
          </w:p>
          <w:p>
            <w:pPr>
              <w:shd w:val="clear" w:color="auto" w:fill="EBF1DE" w:themeFill="accent3" w:themeFillTint="32"/>
              <w:rPr>
                <w:u w:val="single"/>
              </w:rPr>
            </w:pP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EnMS的主管部门是——</w:t>
            </w:r>
            <w:r>
              <w:rPr>
                <w:rFonts w:hint="eastAsia"/>
              </w:rPr>
              <w:sym w:font="Wingdings 2" w:char="0052"/>
            </w:r>
            <w:r>
              <w:rPr>
                <w:rFonts w:hint="eastAsia"/>
                <w:lang w:val="en-US" w:eastAsia="zh-CN"/>
              </w:rPr>
              <w:t xml:space="preserve">综合部    </w:t>
            </w:r>
            <w:r>
              <w:rPr>
                <w:rFonts w:hint="eastAsia"/>
              </w:rPr>
              <w:t>能源管理团队</w:t>
            </w:r>
            <w:r>
              <w:rPr>
                <w:rFonts w:hint="eastAsia"/>
                <w:lang w:eastAsia="zh-CN"/>
              </w:rPr>
              <w:t>——</w:t>
            </w:r>
            <w:r>
              <w:rPr>
                <w:rFonts w:hint="eastAsia"/>
              </w:rPr>
              <w:sym w:font="Wingdings 2" w:char="0052"/>
            </w:r>
            <w:r>
              <w:rPr>
                <w:rFonts w:hint="eastAsia"/>
                <w:lang w:val="en-US" w:eastAsia="zh-CN"/>
              </w:rPr>
              <w:t>综合部</w:t>
            </w:r>
          </w:p>
          <w:p>
            <w:pPr>
              <w:shd w:val="clear" w:color="auto" w:fill="EBF1DE" w:themeFill="accent3" w:themeFillTint="32"/>
              <w:rPr>
                <w:rFonts w:hint="default" w:eastAsia="宋体"/>
                <w:lang w:val="en-US" w:eastAsia="zh-CN"/>
              </w:rPr>
            </w:pPr>
            <w:r>
              <w:rPr>
                <w:rFonts w:hint="eastAsia"/>
              </w:rPr>
              <w:t>能源管理团队负责人是——</w:t>
            </w:r>
            <w:r>
              <w:rPr>
                <w:rFonts w:hint="eastAsia"/>
                <w:lang w:val="en-US" w:eastAsia="zh-CN"/>
              </w:rPr>
              <w:t>范倩娴</w:t>
            </w:r>
            <w:r>
              <w:rPr>
                <w:rFonts w:hint="eastAsia"/>
                <w:lang w:eastAsia="zh-CN"/>
              </w:rPr>
              <w:t>；</w:t>
            </w:r>
            <w:r>
              <w:rPr>
                <w:rFonts w:hint="eastAsia"/>
              </w:rPr>
              <w:t>管理者代表</w:t>
            </w:r>
            <w:r>
              <w:rPr>
                <w:rFonts w:hint="eastAsia"/>
                <w:lang w:eastAsia="zh-CN"/>
              </w:rPr>
              <w:t>——</w:t>
            </w:r>
            <w:r>
              <w:rPr>
                <w:rFonts w:hint="eastAsia"/>
                <w:lang w:val="en-US" w:eastAsia="zh-CN"/>
              </w:rPr>
              <w:t>范倩娴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能源法律法规及相关标准的变化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及时识别并评价合规性，制定相应的措施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主要耗能设备的使用</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目前无主要耗能设备</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能源使用包括(必要时，按每个场所来描述):（不必全选）</w:t>
            </w:r>
          </w:p>
          <w:p>
            <w:pPr>
              <w:shd w:val="clear" w:color="auto" w:fill="EBF1DE" w:themeFill="accent3" w:themeFillTint="32"/>
              <w:spacing w:before="40" w:after="40"/>
            </w:pPr>
            <w:r>
              <w:rPr>
                <w:rFonts w:hint="eastAsia"/>
              </w:rPr>
              <w:t>□蒸汽□天然气□燃料油□燃料气</w:t>
            </w:r>
            <w:r>
              <w:rPr>
                <w:rFonts w:hint="eastAsia"/>
              </w:rPr>
              <w:sym w:font="Wingdings 2" w:char="0052"/>
            </w:r>
            <w:r>
              <w:rPr>
                <w:rFonts w:hint="eastAsia"/>
              </w:rPr>
              <w:t>电力</w:t>
            </w:r>
            <w:r>
              <w:rPr>
                <w:rFonts w:hint="eastAsia"/>
              </w:rPr>
              <w:sym w:font="Wingdings 2" w:char="00A3"/>
            </w:r>
            <w:r>
              <w:rPr>
                <w:rFonts w:hint="eastAsia"/>
              </w:rPr>
              <w:t>氮气□风</w:t>
            </w:r>
            <w:r>
              <w:rPr>
                <w:rFonts w:hint="eastAsia"/>
              </w:rPr>
              <w:sym w:font="Wingdings 2" w:char="0052"/>
            </w:r>
            <w:r>
              <w:rPr>
                <w:rFonts w:hint="eastAsia"/>
              </w:rPr>
              <w:t>新鲜水□各种品质水</w:t>
            </w:r>
          </w:p>
          <w:p>
            <w:pPr>
              <w:jc w:val="left"/>
              <w:rPr>
                <w:rFonts w:hint="eastAsia"/>
                <w:lang w:val="en-US" w:eastAsia="zh-CN"/>
              </w:rPr>
            </w:pPr>
            <w:r>
              <w:rPr>
                <w:rFonts w:hint="eastAsia"/>
              </w:rPr>
              <w:sym w:font="Wingdings 2" w:char="00A3"/>
            </w:r>
            <w:r>
              <w:rPr>
                <w:rFonts w:hint="eastAsia"/>
              </w:rPr>
              <w:t>其他</w:t>
            </w:r>
            <w:r>
              <w:rPr>
                <w:rFonts w:hint="eastAsia"/>
                <w:lang w:eastAsia="zh-CN"/>
              </w:rPr>
              <w:t>——</w:t>
            </w:r>
            <w:r>
              <w:rPr>
                <w:rFonts w:hint="eastAsia"/>
                <w:lang w:val="en-US" w:eastAsia="zh-CN"/>
              </w:rPr>
              <w:t>混合气体等</w:t>
            </w:r>
          </w:p>
          <w:p>
            <w:pPr>
              <w:pStyle w:val="2"/>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rPr>
                <w:rFonts w:hint="eastAsia" w:eastAsia="宋体"/>
                <w:lang w:eastAsia="zh-CN"/>
              </w:rPr>
            </w:pPr>
            <w:r>
              <w:rPr>
                <w:rFonts w:hint="eastAsia" w:asciiTheme="majorEastAsia" w:hAnsiTheme="majorEastAsia" w:eastAsiaTheme="majorEastAsia"/>
              </w:rPr>
              <w:t>能源绩效参数包括但不限于：</w:t>
            </w:r>
            <w:r>
              <w:rPr>
                <w:rFonts w:hint="eastAsia"/>
              </w:rPr>
              <w:sym w:font="Wingdings 2" w:char="0052"/>
            </w:r>
            <w:r>
              <w:rPr>
                <w:rFonts w:hint="eastAsia"/>
              </w:rPr>
              <w:t>单位产</w:t>
            </w:r>
            <w:r>
              <w:rPr>
                <w:rFonts w:hint="eastAsia"/>
                <w:lang w:val="en-US" w:eastAsia="zh-CN"/>
              </w:rPr>
              <w:t>值</w:t>
            </w:r>
            <w:r>
              <w:rPr>
                <w:rFonts w:hint="eastAsia"/>
              </w:rPr>
              <w:t>综合能耗</w:t>
            </w:r>
            <w:r>
              <w:rPr>
                <w:rFonts w:hint="eastAsia"/>
              </w:rPr>
              <w:sym w:font="Wingdings 2" w:char="0052"/>
            </w:r>
            <w:r>
              <w:rPr>
                <w:rFonts w:hint="eastAsia"/>
              </w:rPr>
              <w:t>能源消费总量□单位产品蒸汽消耗□单位产品燃料气消耗□加热炉热效率</w:t>
            </w:r>
            <w:r>
              <w:rPr>
                <w:rFonts w:hint="eastAsia"/>
              </w:rPr>
              <w:sym w:font="Wingdings 2" w:char="0052"/>
            </w:r>
            <w:r>
              <w:rPr>
                <w:rFonts w:hint="eastAsia"/>
              </w:rPr>
              <w:t>其他</w:t>
            </w:r>
            <w:r>
              <w:rPr>
                <w:rFonts w:hint="eastAsia"/>
                <w:lang w:eastAsia="zh-CN"/>
              </w:rPr>
              <w:t>——</w:t>
            </w:r>
            <w:r>
              <w:rPr>
                <w:rFonts w:hint="eastAsia"/>
              </w:rPr>
              <w:t>单位</w:t>
            </w:r>
            <w:r>
              <w:rPr>
                <w:rFonts w:hint="eastAsia"/>
                <w:lang w:val="en-US" w:eastAsia="zh-CN"/>
              </w:rPr>
              <w:t>面积</w:t>
            </w:r>
            <w:r>
              <w:rPr>
                <w:rFonts w:hint="eastAsia"/>
              </w:rPr>
              <w:t>综合能耗</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rPr>
                <w:rFonts w:hint="eastAsia" w:eastAsia="宋体"/>
                <w:lang w:val="en-US" w:eastAsia="zh-CN"/>
              </w:rPr>
            </w:pPr>
            <w:r>
              <w:rPr>
                <w:rFonts w:hint="eastAsia"/>
              </w:rPr>
              <w:t>□节能评估报告编号/日期：</w:t>
            </w:r>
            <w:r>
              <w:rPr>
                <w:rFonts w:hint="eastAsia"/>
                <w:lang w:val="en-US" w:eastAsia="zh-CN"/>
              </w:rPr>
              <w:t>无</w:t>
            </w:r>
          </w:p>
          <w:p>
            <w:pPr>
              <w:shd w:val="clear" w:color="auto" w:fill="EBF1DE" w:themeFill="accent3" w:themeFillTint="32"/>
              <w:rPr>
                <w:rFonts w:hint="default" w:eastAsia="宋体"/>
                <w:lang w:val="en-US" w:eastAsia="zh-CN"/>
              </w:rPr>
            </w:pPr>
            <w:r>
              <w:rPr>
                <w:rFonts w:hint="eastAsia"/>
              </w:rPr>
              <w:sym w:font="Wingdings 2" w:char="0052"/>
            </w:r>
            <w:r>
              <w:rPr>
                <w:rFonts w:hint="eastAsia"/>
              </w:rPr>
              <w:t>能源评审报告编号/日期：</w:t>
            </w:r>
            <w:r>
              <w:rPr>
                <w:rFonts w:hint="eastAsia"/>
                <w:lang w:val="en-US" w:eastAsia="zh-CN"/>
              </w:rPr>
              <w:t>2022年7月5日</w:t>
            </w:r>
          </w:p>
          <w:p>
            <w:pPr>
              <w:shd w:val="clear" w:color="auto" w:fill="EBF1DE" w:themeFill="accent3" w:themeFillTint="32"/>
              <w:rPr>
                <w:rFonts w:hint="eastAsia"/>
                <w:lang w:val="en-US" w:eastAsia="zh-CN"/>
              </w:rPr>
            </w:pPr>
            <w:r>
              <w:rPr>
                <w:rFonts w:hint="eastAsia"/>
              </w:rPr>
              <w:t>□节能项目验收报告编号/日期：</w:t>
            </w:r>
            <w:r>
              <w:rPr>
                <w:rFonts w:hint="eastAsia"/>
                <w:lang w:val="en-US" w:eastAsia="zh-CN"/>
              </w:rPr>
              <w:t>无</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□限额标准□能源计量管理</w:t>
            </w:r>
            <w:r>
              <w:rPr>
                <w:rFonts w:hint="eastAsia"/>
              </w:rPr>
              <w:sym w:font="Wingdings 2" w:char="00A3"/>
            </w:r>
            <w:r>
              <w:rPr>
                <w:rFonts w:hint="eastAsia"/>
              </w:rPr>
              <w:t>使用节能设备□主要耗能设备识别及能效测试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5"/>
              <w:gridCol w:w="2391"/>
              <w:gridCol w:w="1841"/>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shd w:val="clear" w:color="auto" w:fill="auto"/>
                </w:tcPr>
                <w:p>
                  <w:pPr>
                    <w:shd w:val="clear" w:color="auto" w:fill="EBF1DE" w:themeFill="accent3" w:themeFillTint="32"/>
                    <w:rPr>
                      <w:rFonts w:hint="eastAsia" w:ascii="宋体" w:hAnsi="宋体" w:eastAsia="宋体"/>
                      <w:lang w:eastAsia="zh-CN"/>
                    </w:rPr>
                  </w:pPr>
                  <w:r>
                    <w:rPr>
                      <w:rFonts w:hint="eastAsia" w:ascii="宋体" w:hAnsi="宋体"/>
                    </w:rPr>
                    <w:t>节能目标</w:t>
                  </w:r>
                  <w:r>
                    <w:rPr>
                      <w:rFonts w:hint="eastAsia" w:ascii="宋体" w:hAnsi="宋体"/>
                      <w:lang w:eastAsia="zh-CN"/>
                    </w:rPr>
                    <w:t>（</w:t>
                  </w:r>
                  <w:r>
                    <w:rPr>
                      <w:rFonts w:hint="eastAsia" w:ascii="宋体" w:hAnsi="宋体"/>
                      <w:lang w:val="en-US" w:eastAsia="zh-CN"/>
                    </w:rPr>
                    <w:t>2022年</w:t>
                  </w:r>
                  <w:r>
                    <w:rPr>
                      <w:rFonts w:hint="eastAsia" w:ascii="宋体" w:hAnsi="宋体"/>
                      <w:lang w:eastAsia="zh-CN"/>
                    </w:rPr>
                    <w:t>）</w:t>
                  </w:r>
                </w:p>
              </w:tc>
              <w:tc>
                <w:tcPr>
                  <w:tcW w:w="2391"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841"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hint="eastAsia" w:ascii="宋体" w:hAnsi="宋体" w:eastAsia="宋体"/>
                      <w:lang w:eastAsia="zh-CN"/>
                    </w:rPr>
                  </w:pPr>
                  <w:r>
                    <w:rPr>
                      <w:rFonts w:hint="eastAsia" w:ascii="宋体" w:hAnsi="宋体"/>
                    </w:rPr>
                    <w:t>目标实际完成</w:t>
                  </w:r>
                  <w:r>
                    <w:rPr>
                      <w:rFonts w:hint="eastAsia" w:ascii="宋体" w:hAnsi="宋体"/>
                      <w:lang w:eastAsia="zh-CN"/>
                    </w:rPr>
                    <w:t>（</w:t>
                  </w:r>
                  <w:r>
                    <w:rPr>
                      <w:rFonts w:hint="eastAsia" w:ascii="宋体" w:hAnsi="宋体"/>
                      <w:lang w:val="en-US" w:eastAsia="zh-CN"/>
                    </w:rPr>
                    <w:t>2022年1-6月</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shd w:val="clear" w:color="auto" w:fill="auto"/>
                  <w:vAlign w:val="center"/>
                </w:tcPr>
                <w:p>
                  <w:pPr>
                    <w:jc w:val="left"/>
                    <w:rPr>
                      <w:rFonts w:hint="eastAsia" w:ascii="宋体" w:hAnsi="宋体" w:eastAsia="宋体" w:cs="Times New Roman"/>
                      <w:kern w:val="2"/>
                      <w:sz w:val="21"/>
                      <w:szCs w:val="21"/>
                      <w:lang w:val="en-US" w:eastAsia="zh-CN" w:bidi="ar-SA"/>
                    </w:rPr>
                  </w:pPr>
                  <w:r>
                    <w:rPr>
                      <w:rFonts w:hint="eastAsia" w:ascii="宋体" w:hAnsi="宋体"/>
                      <w:sz w:val="21"/>
                      <w:szCs w:val="21"/>
                    </w:rPr>
                    <w:t>综合能耗，</w:t>
                  </w:r>
                  <w:r>
                    <w:rPr>
                      <w:rFonts w:hint="eastAsia" w:ascii="宋体" w:hAnsi="宋体"/>
                      <w:sz w:val="21"/>
                      <w:szCs w:val="21"/>
                      <w:lang w:val="en-US" w:eastAsia="zh-CN"/>
                    </w:rPr>
                    <w:t>6400 kg</w:t>
                  </w:r>
                  <w:r>
                    <w:rPr>
                      <w:rFonts w:hint="eastAsia" w:ascii="宋体" w:hAnsi="宋体"/>
                      <w:sz w:val="21"/>
                      <w:szCs w:val="21"/>
                    </w:rPr>
                    <w:t>ce</w:t>
                  </w:r>
                </w:p>
              </w:tc>
              <w:tc>
                <w:tcPr>
                  <w:tcW w:w="2391"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GB" w:eastAsia="zh-CN" w:bidi="ar-SA"/>
                    </w:rPr>
                  </w:pPr>
                  <w:r>
                    <w:rPr>
                      <w:rFonts w:hint="eastAsia" w:ascii="Times New Roman" w:hAnsi="Times New Roman" w:eastAsia="宋体" w:cs="Times New Roman"/>
                      <w:kern w:val="2"/>
                      <w:sz w:val="21"/>
                      <w:szCs w:val="24"/>
                      <w:lang w:val="en-US" w:eastAsia="zh-CN" w:bidi="ar-SA"/>
                    </w:rPr>
                    <w:t>加强用能设备管理</w:t>
                  </w:r>
                </w:p>
              </w:tc>
              <w:tc>
                <w:tcPr>
                  <w:tcW w:w="1841"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综合部</w:t>
                  </w:r>
                </w:p>
              </w:tc>
              <w:tc>
                <w:tcPr>
                  <w:tcW w:w="1774" w:type="dxa"/>
                  <w:shd w:val="clear" w:color="auto" w:fill="auto"/>
                  <w:vAlign w:val="center"/>
                </w:tcPr>
                <w:p>
                  <w:pPr>
                    <w:jc w:val="center"/>
                    <w:rPr>
                      <w:rFonts w:hint="default" w:ascii="宋体" w:hAnsi="宋体" w:eastAsia="宋体" w:cs="Times New Roman"/>
                      <w:color w:val="auto"/>
                      <w:kern w:val="2"/>
                      <w:sz w:val="21"/>
                      <w:szCs w:val="21"/>
                      <w:lang w:val="en-GB" w:eastAsia="zh-CN" w:bidi="ar-SA"/>
                    </w:rPr>
                  </w:pPr>
                  <w:r>
                    <w:rPr>
                      <w:rFonts w:hint="eastAsia" w:ascii="宋体" w:hAnsi="宋体" w:eastAsia="宋体" w:cs="Times New Roman"/>
                      <w:color w:val="auto"/>
                      <w:sz w:val="21"/>
                      <w:szCs w:val="21"/>
                      <w:lang w:val="en-US" w:eastAsia="zh-CN"/>
                    </w:rPr>
                    <w:t>2424.84</w:t>
                  </w:r>
                  <w:r>
                    <w:rPr>
                      <w:rFonts w:hint="eastAsia" w:ascii="宋体" w:hAnsi="宋体"/>
                      <w:sz w:val="21"/>
                      <w:szCs w:val="21"/>
                      <w:lang w:val="en-US" w:eastAsia="zh-CN"/>
                    </w:rPr>
                    <w:t xml:space="preserve"> kg</w:t>
                  </w:r>
                  <w:r>
                    <w:rPr>
                      <w:rFonts w:hint="eastAsia" w:ascii="宋体" w:hAnsi="宋体"/>
                      <w:sz w:val="21"/>
                      <w:szCs w:val="21"/>
                    </w:rPr>
                    <w:t>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shd w:val="clear" w:color="auto" w:fill="auto"/>
                  <w:vAlign w:val="center"/>
                </w:tcPr>
                <w:p>
                  <w:pPr>
                    <w:jc w:val="left"/>
                    <w:rPr>
                      <w:rFonts w:hint="eastAsia" w:ascii="宋体" w:hAnsi="宋体" w:eastAsia="宋体" w:cs="Times New Roman"/>
                      <w:kern w:val="2"/>
                      <w:sz w:val="21"/>
                      <w:szCs w:val="21"/>
                      <w:lang w:val="en-US" w:eastAsia="zh-CN" w:bidi="ar-SA"/>
                    </w:rPr>
                  </w:pPr>
                  <w:r>
                    <w:rPr>
                      <w:rFonts w:hint="eastAsia" w:ascii="宋体" w:hAnsi="宋体"/>
                      <w:sz w:val="21"/>
                      <w:szCs w:val="21"/>
                    </w:rPr>
                    <w:t>单位</w:t>
                  </w:r>
                  <w:r>
                    <w:rPr>
                      <w:rFonts w:hint="eastAsia" w:ascii="宋体" w:hAnsi="宋体"/>
                      <w:sz w:val="21"/>
                      <w:szCs w:val="21"/>
                      <w:lang w:val="en-US" w:eastAsia="zh-CN"/>
                    </w:rPr>
                    <w:t>面积</w:t>
                  </w:r>
                  <w:r>
                    <w:rPr>
                      <w:rFonts w:hint="eastAsia" w:ascii="宋体" w:hAnsi="宋体"/>
                      <w:sz w:val="21"/>
                      <w:szCs w:val="21"/>
                    </w:rPr>
                    <w:t>综合能耗</w:t>
                  </w:r>
                  <w:r>
                    <w:rPr>
                      <w:rFonts w:hint="eastAsia" w:ascii="宋体" w:hAnsi="宋体"/>
                      <w:sz w:val="21"/>
                      <w:szCs w:val="21"/>
                      <w:lang w:val="en-US" w:eastAsia="zh-CN"/>
                    </w:rPr>
                    <w:t>8.0Kg</w:t>
                  </w:r>
                  <w:r>
                    <w:rPr>
                      <w:rFonts w:hint="eastAsia" w:ascii="宋体" w:hAnsi="宋体"/>
                      <w:sz w:val="21"/>
                      <w:szCs w:val="21"/>
                    </w:rPr>
                    <w:t>ce/</w:t>
                  </w:r>
                  <w:r>
                    <w:rPr>
                      <w:rFonts w:hint="eastAsia" w:ascii="宋体" w:hAnsi="宋体"/>
                      <w:sz w:val="21"/>
                      <w:szCs w:val="21"/>
                      <w:lang w:val="en-US" w:eastAsia="zh-CN"/>
                    </w:rPr>
                    <w:t>平方米</w:t>
                  </w:r>
                </w:p>
              </w:tc>
              <w:tc>
                <w:tcPr>
                  <w:tcW w:w="2391"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增加产量</w:t>
                  </w:r>
                </w:p>
              </w:tc>
              <w:tc>
                <w:tcPr>
                  <w:tcW w:w="1841"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综合部</w:t>
                  </w:r>
                </w:p>
              </w:tc>
              <w:tc>
                <w:tcPr>
                  <w:tcW w:w="1774" w:type="dxa"/>
                  <w:shd w:val="clear" w:color="auto" w:fill="auto"/>
                  <w:vAlign w:val="center"/>
                </w:tcPr>
                <w:p>
                  <w:pPr>
                    <w:jc w:val="cente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sz w:val="21"/>
                      <w:szCs w:val="21"/>
                      <w:lang w:val="en-US" w:eastAsia="zh-CN"/>
                    </w:rPr>
                    <w:t>3.03</w:t>
                  </w:r>
                  <w:r>
                    <w:rPr>
                      <w:rFonts w:hint="eastAsia" w:ascii="宋体" w:hAnsi="宋体" w:cs="Times New Roman"/>
                      <w:color w:val="auto"/>
                      <w:sz w:val="21"/>
                      <w:szCs w:val="21"/>
                      <w:lang w:val="en-US" w:eastAsia="zh-CN"/>
                    </w:rPr>
                    <w:t xml:space="preserve"> </w:t>
                  </w:r>
                  <w:r>
                    <w:rPr>
                      <w:rFonts w:hint="eastAsia" w:ascii="宋体" w:hAnsi="宋体"/>
                      <w:sz w:val="21"/>
                      <w:szCs w:val="21"/>
                      <w:lang w:val="en-US" w:eastAsia="zh-CN"/>
                    </w:rPr>
                    <w:t>Kg</w:t>
                  </w:r>
                  <w:r>
                    <w:rPr>
                      <w:rFonts w:hint="eastAsia" w:ascii="宋体" w:hAnsi="宋体"/>
                      <w:sz w:val="21"/>
                      <w:szCs w:val="21"/>
                    </w:rPr>
                    <w:t>ce/</w:t>
                  </w:r>
                  <w:r>
                    <w:rPr>
                      <w:rFonts w:hint="eastAsia" w:ascii="宋体" w:hAnsi="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shd w:val="clear" w:color="auto" w:fill="auto"/>
                  <w:vAlign w:val="center"/>
                </w:tcPr>
                <w:p>
                  <w:pPr>
                    <w:jc w:val="left"/>
                    <w:rPr>
                      <w:rFonts w:hint="eastAsia" w:ascii="宋体" w:hAnsi="宋体" w:eastAsia="宋体" w:cs="Times New Roman"/>
                      <w:kern w:val="2"/>
                      <w:sz w:val="21"/>
                      <w:szCs w:val="21"/>
                      <w:lang w:val="en-US" w:eastAsia="zh-CN" w:bidi="ar-SA"/>
                    </w:rPr>
                  </w:pPr>
                  <w:r>
                    <w:rPr>
                      <w:rFonts w:hint="eastAsia" w:ascii="宋体" w:hAnsi="宋体"/>
                      <w:sz w:val="21"/>
                      <w:szCs w:val="21"/>
                    </w:rPr>
                    <w:t>单位产值综合能耗</w:t>
                  </w:r>
                  <w:r>
                    <w:rPr>
                      <w:rFonts w:hint="eastAsia" w:ascii="宋体" w:hAnsi="宋体"/>
                      <w:sz w:val="21"/>
                      <w:szCs w:val="21"/>
                      <w:lang w:val="en-US" w:eastAsia="zh-CN"/>
                    </w:rPr>
                    <w:t>10.00</w:t>
                  </w:r>
                  <w:r>
                    <w:rPr>
                      <w:rFonts w:hint="eastAsia" w:ascii="宋体" w:hAnsi="宋体"/>
                      <w:sz w:val="21"/>
                      <w:szCs w:val="21"/>
                    </w:rPr>
                    <w:t>kgce/万元</w:t>
                  </w:r>
                </w:p>
              </w:tc>
              <w:tc>
                <w:tcPr>
                  <w:tcW w:w="2391"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增减产品附加值</w:t>
                  </w:r>
                </w:p>
              </w:tc>
              <w:tc>
                <w:tcPr>
                  <w:tcW w:w="1841"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综合部/财务部</w:t>
                  </w:r>
                </w:p>
              </w:tc>
              <w:tc>
                <w:tcPr>
                  <w:tcW w:w="1774" w:type="dxa"/>
                  <w:shd w:val="clear" w:color="auto" w:fill="auto"/>
                  <w:vAlign w:val="center"/>
                </w:tcPr>
                <w:p>
                  <w:pPr>
                    <w:jc w:val="cente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sz w:val="21"/>
                      <w:szCs w:val="21"/>
                      <w:lang w:val="en-US" w:eastAsia="zh-CN"/>
                    </w:rPr>
                    <w:t>2.97</w:t>
                  </w:r>
                  <w:r>
                    <w:rPr>
                      <w:rFonts w:hint="eastAsia" w:ascii="宋体" w:hAnsi="宋体" w:cs="Times New Roman"/>
                      <w:color w:val="auto"/>
                      <w:sz w:val="21"/>
                      <w:szCs w:val="21"/>
                      <w:lang w:val="en-US" w:eastAsia="zh-CN"/>
                    </w:rPr>
                    <w:t xml:space="preserve"> </w:t>
                  </w:r>
                  <w:r>
                    <w:rPr>
                      <w:rFonts w:hint="eastAsia" w:ascii="宋体" w:hAnsi="宋体"/>
                      <w:sz w:val="21"/>
                      <w:szCs w:val="21"/>
                    </w:rPr>
                    <w:t>kgce/万元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shd w:val="clear" w:color="auto" w:fill="auto"/>
                </w:tcPr>
                <w:p>
                  <w:pPr>
                    <w:shd w:val="clear" w:color="auto" w:fill="EBF1DE" w:themeFill="accent3" w:themeFillTint="32"/>
                  </w:pPr>
                </w:p>
              </w:tc>
              <w:tc>
                <w:tcPr>
                  <w:tcW w:w="2391" w:type="dxa"/>
                  <w:shd w:val="clear" w:color="auto" w:fill="auto"/>
                  <w:vAlign w:val="center"/>
                </w:tcPr>
                <w:p>
                  <w:pPr>
                    <w:shd w:val="clear" w:color="auto" w:fill="EBF1DE" w:themeFill="accent3" w:themeFillTint="32"/>
                    <w:rPr>
                      <w:rFonts w:ascii="宋体" w:hAnsi="宋体"/>
                    </w:rPr>
                  </w:pPr>
                </w:p>
              </w:tc>
              <w:tc>
                <w:tcPr>
                  <w:tcW w:w="1841"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jc w:val="center"/>
                    <w:rPr>
                      <w:rFonts w:hint="default" w:ascii="宋体" w:hAnsi="宋体"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shd w:val="clear" w:color="auto" w:fill="auto"/>
                </w:tcPr>
                <w:p>
                  <w:pPr>
                    <w:shd w:val="clear" w:color="auto" w:fill="EBF1DE" w:themeFill="accent3" w:themeFillTint="32"/>
                  </w:pPr>
                </w:p>
              </w:tc>
              <w:tc>
                <w:tcPr>
                  <w:tcW w:w="2391" w:type="dxa"/>
                  <w:shd w:val="clear" w:color="auto" w:fill="auto"/>
                  <w:vAlign w:val="center"/>
                </w:tcPr>
                <w:p>
                  <w:pPr>
                    <w:shd w:val="clear" w:color="auto" w:fill="EBF1DE" w:themeFill="accent3" w:themeFillTint="32"/>
                    <w:rPr>
                      <w:rFonts w:ascii="宋体" w:hAnsi="宋体"/>
                    </w:rPr>
                  </w:pPr>
                </w:p>
              </w:tc>
              <w:tc>
                <w:tcPr>
                  <w:tcW w:w="1841"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jc w:val="center"/>
                    <w:rPr>
                      <w:rFonts w:hint="default" w:ascii="宋体" w:hAnsi="宋体" w:eastAsia="宋体" w:cs="Times New Roman"/>
                      <w:color w:val="auto"/>
                      <w:kern w:val="2"/>
                      <w:sz w:val="21"/>
                      <w:szCs w:val="21"/>
                      <w:lang w:val="en-US" w:eastAsia="zh-CN" w:bidi="ar-SA"/>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sym w:font="Wingdings 2" w:char="0052"/>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lang w:val="en-US" w:eastAsia="zh-CN"/>
              </w:rPr>
              <w:t>办公</w:t>
            </w:r>
            <w:r>
              <w:rPr>
                <w:rFonts w:hint="eastAsia"/>
              </w:rPr>
              <w:t>面积</w:t>
            </w:r>
            <w:r>
              <w:rPr>
                <w:rFonts w:hint="eastAsia"/>
                <w:lang w:val="en-US" w:eastAsia="zh-CN"/>
              </w:rPr>
              <w:t>800</w:t>
            </w:r>
            <w:r>
              <w:rPr>
                <w:rFonts w:hint="eastAsia"/>
              </w:rPr>
              <w:t>平方米；生产车间</w:t>
            </w:r>
            <w:r>
              <w:rPr>
                <w:rFonts w:hint="eastAsia"/>
                <w:lang w:val="en-US" w:eastAsia="zh-CN"/>
              </w:rPr>
              <w:t>/</w:t>
            </w:r>
            <w:r>
              <w:rPr>
                <w:rFonts w:hint="eastAsia"/>
              </w:rPr>
              <w:t>个；</w:t>
            </w:r>
            <w:r>
              <w:rPr>
                <w:rFonts w:hint="eastAsia"/>
                <w:highlight w:val="none"/>
              </w:rPr>
              <w:t>库房</w:t>
            </w:r>
            <w:r>
              <w:rPr>
                <w:rFonts w:hint="eastAsia"/>
                <w:highlight w:val="none"/>
                <w:lang w:val="en-US" w:eastAsia="zh-CN"/>
              </w:rPr>
              <w:t>/</w:t>
            </w:r>
            <w:r>
              <w:rPr>
                <w:rFonts w:hint="eastAsia"/>
                <w:highlight w:val="none"/>
              </w:rPr>
              <w:t>个；实验室</w:t>
            </w:r>
            <w:r>
              <w:rPr>
                <w:rFonts w:hint="eastAsia"/>
                <w:highlight w:val="none"/>
                <w:lang w:val="en-US" w:eastAsia="zh-CN"/>
              </w:rPr>
              <w:t>/</w:t>
            </w:r>
            <w:r>
              <w:rPr>
                <w:rFonts w:hint="eastAsia"/>
                <w:highlight w:val="none"/>
              </w:rPr>
              <w:t>个</w:t>
            </w:r>
            <w:r>
              <w:rPr>
                <w:rFonts w:hint="eastAsia"/>
              </w:rPr>
              <w:t>；</w:t>
            </w:r>
          </w:p>
          <w:p>
            <w:pPr>
              <w:shd w:val="clear" w:color="auto" w:fill="EBF1DE" w:themeFill="accent3" w:themeFillTint="32"/>
              <w:rPr>
                <w:u w:val="single"/>
              </w:rPr>
            </w:pPr>
            <w:r>
              <w:rPr>
                <w:rFonts w:hint="eastAsia"/>
              </w:rPr>
              <w:t>主要生产设备有：</w:t>
            </w:r>
            <w:r>
              <w:rPr>
                <w:rFonts w:hint="eastAsia" w:eastAsia="宋体"/>
                <w:u w:val="single"/>
                <w:lang w:val="en-US" w:eastAsia="zh-CN"/>
              </w:rPr>
              <w:t>电脑、打印机、空调、扫描仪</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eastAsia="宋体"/>
                <w:u w:val="single"/>
                <w:lang w:val="en-US" w:eastAsia="zh-CN"/>
              </w:rPr>
              <w:t>电脑、打印机、空调、扫描仪</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sym w:font="Wingdings 2" w:char="00A3"/>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sym w:font="Wingdings 2" w:char="00A3"/>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sym w:font="Wingdings 2" w:char="00A3"/>
            </w:r>
            <w:r>
              <w:rPr>
                <w:rFonts w:hint="eastAsia"/>
              </w:rPr>
              <w:t>高压配电室</w:t>
            </w:r>
            <w:r>
              <w:rPr>
                <w:rFonts w:hint="eastAsia" w:ascii="Wingdings" w:hAnsi="Wingdings"/>
                <w:lang w:eastAsia="zh-CN"/>
              </w:rPr>
              <w:sym w:font="Wingdings 2" w:char="00A3"/>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sym w:font="Wingdings 2" w:char="00A3"/>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能源计量器具有：</w:t>
            </w:r>
            <w:r>
              <w:rPr>
                <w:rFonts w:hint="eastAsia"/>
                <w:u w:val="single"/>
                <w:lang w:val="en-US" w:eastAsia="zh-CN"/>
              </w:rPr>
              <w:t>电表、水表</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sym w:font="Wingdings 2" w:char="00A3"/>
            </w:r>
            <w:r>
              <w:rPr>
                <w:rFonts w:hint="eastAsia"/>
              </w:rPr>
              <w:t>未进行定期校准/检定的有：</w:t>
            </w:r>
            <w:r>
              <w:rPr>
                <w:rFonts w:hint="eastAsia"/>
                <w:lang w:val="en-US" w:eastAsia="zh-CN"/>
              </w:rPr>
              <w:t>由江苏米格电气集团有限公司负责安装和检定。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sym w:font="Wingdings 2" w:char="00A3"/>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组织为满足节能管理的要求，已对用能过程建立了相应的运行准则；按照运行准则实施过程控制。策划文件包括：</w:t>
            </w:r>
          </w:p>
          <w:p>
            <w:pPr>
              <w:shd w:val="clear" w:color="auto" w:fill="EBF1DE" w:themeFill="accent3" w:themeFillTint="32"/>
              <w:rPr>
                <w:rFonts w:hint="default" w:eastAsia="宋体"/>
                <w:lang w:val="en-US" w:eastAsia="zh-CN"/>
              </w:rPr>
            </w:pPr>
            <w:r>
              <w:rPr>
                <w:rFonts w:hint="eastAsia" w:ascii="Times New Roman" w:hAnsi="Times New Roman" w:eastAsia="宋体" w:cs="Times New Roman"/>
                <w:lang w:eastAsia="zh-CN"/>
              </w:rPr>
              <w:sym w:font="Wingdings 2" w:char="00A3"/>
            </w:r>
            <w:r>
              <w:rPr>
                <w:rFonts w:hint="eastAsia" w:ascii="Times New Roman" w:hAnsi="Times New Roman" w:eastAsia="宋体" w:cs="Times New Roman"/>
              </w:rPr>
              <w:t>操作规程</w:t>
            </w:r>
            <w:r>
              <w:rPr>
                <w:rFonts w:hint="eastAsia" w:ascii="Times New Roman" w:hAnsi="Times New Roman" w:eastAsia="宋体" w:cs="Times New Roman"/>
                <w:lang w:eastAsia="zh-CN"/>
              </w:rPr>
              <w:sym w:font="Wingdings 2" w:char="0052"/>
            </w:r>
            <w:r>
              <w:rPr>
                <w:rFonts w:hint="eastAsia" w:ascii="Times New Roman" w:hAnsi="Times New Roman" w:eastAsia="宋体" w:cs="Times New Roman"/>
              </w:rPr>
              <w:t>作业</w:t>
            </w:r>
            <w:r>
              <w:rPr>
                <w:rFonts w:hint="eastAsia" w:ascii="Times New Roman" w:hAnsi="Times New Roman" w:eastAsia="宋体" w:cs="Times New Roman"/>
                <w:lang w:val="en-US" w:eastAsia="zh-CN"/>
              </w:rPr>
              <w:t>指导书</w:t>
            </w:r>
            <w:r>
              <w:rPr>
                <w:rFonts w:hint="eastAsia" w:ascii="Times New Roman" w:hAnsi="Times New Roman" w:eastAsia="宋体" w:cs="Times New Roman"/>
                <w:lang w:eastAsia="zh-CN"/>
              </w:rPr>
              <w:t>□</w:t>
            </w:r>
            <w:r>
              <w:rPr>
                <w:rFonts w:hint="eastAsia" w:ascii="Times New Roman" w:hAnsi="Times New Roman" w:eastAsia="宋体" w:cs="Times New Roman"/>
              </w:rPr>
              <w:t>工艺卡片</w:t>
            </w:r>
            <w:r>
              <w:rPr>
                <w:rFonts w:hint="eastAsia" w:ascii="Times New Roman" w:hAnsi="Times New Roman" w:eastAsia="宋体" w:cs="Times New Roman"/>
                <w:lang w:eastAsia="zh-CN"/>
              </w:rPr>
              <w:sym w:font="Wingdings 2" w:char="0052"/>
            </w:r>
            <w:r>
              <w:rPr>
                <w:rFonts w:hint="eastAsia" w:ascii="Times New Roman" w:hAnsi="Times New Roman" w:eastAsia="宋体" w:cs="Times New Roman"/>
              </w:rPr>
              <w:t>接收准则</w:t>
            </w:r>
            <w:r>
              <w:rPr>
                <w:rFonts w:hint="eastAsia" w:ascii="Times New Roman" w:hAnsi="Times New Roman" w:eastAsia="宋体" w:cs="Times New Roman"/>
                <w:lang w:eastAsia="zh-CN"/>
              </w:rPr>
              <w:sym w:font="Wingdings 2" w:char="0052"/>
            </w:r>
            <w:r>
              <w:rPr>
                <w:rFonts w:hint="eastAsia" w:ascii="Times New Roman" w:hAnsi="Times New Roman" w:eastAsia="宋体" w:cs="Times New Roman"/>
              </w:rPr>
              <w:t>工艺流程图</w:t>
            </w:r>
            <w:r>
              <w:rPr>
                <w:rFonts w:hint="eastAsia" w:ascii="Times New Roman" w:hAnsi="Times New Roman" w:eastAsia="宋体" w:cs="Times New Roman"/>
                <w:lang w:eastAsia="zh-CN"/>
              </w:rPr>
              <w:sym w:font="Wingdings 2" w:char="00A3"/>
            </w:r>
            <w:r>
              <w:rPr>
                <w:rFonts w:hint="eastAsia" w:ascii="Times New Roman" w:hAnsi="Times New Roman" w:eastAsia="宋体" w:cs="Times New Roman"/>
              </w:rPr>
              <w:t>其他</w:t>
            </w:r>
            <w:r>
              <w:rPr>
                <w:rFonts w:hint="eastAsia" w:ascii="Times New Roman" w:hAnsi="Times New Roman" w:eastAsia="宋体"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ascii="Times New Roman" w:hAnsi="Times New Roman" w:eastAsia="宋体" w:cs="Times New Roman"/>
                <w:u w:val="single"/>
                <w:lang w:val="en-US" w:eastAsia="zh-CN"/>
              </w:rPr>
              <w:t>无</w:t>
            </w:r>
            <w:r>
              <w:rPr>
                <w:rFonts w:hint="eastAsia" w:ascii="Times New Roman" w:hAnsi="Times New Roman" w:eastAsia="宋体" w:cs="Times New Roman"/>
                <w:u w:val="single"/>
              </w:rPr>
              <w:t>（</w:t>
            </w:r>
            <w:r>
              <w:rPr>
                <w:rFonts w:hint="eastAsia"/>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rPr>
              <w:t>设计和开发的节能措施控制：</w:t>
            </w:r>
          </w:p>
          <w:p>
            <w:pPr>
              <w:shd w:val="clear" w:color="auto" w:fill="EBF1DE" w:themeFill="accent3" w:themeFillTint="32"/>
            </w:pP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能源采购</w:t>
            </w:r>
            <w:r>
              <w:rPr>
                <w:rFonts w:hint="eastAsia" w:ascii="Wingdings" w:hAnsi="Wingdings"/>
                <w:lang w:eastAsia="zh-CN"/>
              </w:rPr>
              <w:sym w:font="Wingdings 2" w:char="0052"/>
            </w:r>
            <w:r>
              <w:rPr>
                <w:rFonts w:hint="eastAsia"/>
              </w:rPr>
              <w:t>主要用能设备采购</w:t>
            </w:r>
            <w:r>
              <w:rPr>
                <w:rFonts w:hint="eastAsia" w:ascii="Wingdings" w:hAnsi="Wingdings"/>
                <w:lang w:eastAsia="zh-CN"/>
              </w:rPr>
              <w:sym w:font="Wingdings 2" w:char="00A3"/>
            </w:r>
            <w:r>
              <w:rPr>
                <w:rFonts w:hint="eastAsia"/>
              </w:rPr>
              <w:t>淘汰落后设备更新</w:t>
            </w:r>
            <w:r>
              <w:rPr>
                <w:rFonts w:hint="eastAsia" w:ascii="Wingdings" w:hAnsi="Wingdings"/>
                <w:lang w:eastAsia="zh-CN"/>
              </w:rPr>
              <w:sym w:font="Wingdings 2" w:char="00A3"/>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加强用电管理，严格考核制度</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sym w:font="Wingdings 2" w:char="00A3"/>
            </w:r>
            <w:r>
              <w:rPr>
                <w:rFonts w:hint="eastAsia"/>
              </w:rPr>
              <w:t>节能技术的实施</w:t>
            </w:r>
            <w:r>
              <w:rPr>
                <w:rFonts w:hint="eastAsia" w:ascii="Wingdings" w:hAnsi="Wingdings"/>
                <w:lang w:eastAsia="zh-CN"/>
              </w:rPr>
              <w:t>□</w:t>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组织识别了潜在紧急情况及应急准备时所带来的能源消耗影响；</w:t>
            </w:r>
            <w:r>
              <w:rPr>
                <w:rFonts w:hint="eastAsia"/>
                <w:lang w:val="en-US" w:eastAsia="zh-CN"/>
              </w:rPr>
              <w:t>该企业可随时实施童工，紧急情况带来的能源消耗影响可控。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4</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《能效测试报告》编号：</w:t>
            </w:r>
            <w:r>
              <w:rPr>
                <w:rFonts w:hint="eastAsia"/>
                <w:lang w:val="en-US" w:eastAsia="zh-CN"/>
              </w:rPr>
              <w:t>无主要耗能设备，暂时无需实施能效测试</w:t>
            </w:r>
            <w:r>
              <w:rPr>
                <w:rFonts w:hint="eastAsia"/>
              </w:rPr>
              <w:t>。</w:t>
            </w:r>
          </w:p>
          <w:p>
            <w:pPr>
              <w:shd w:val="clear" w:color="auto" w:fill="EBF1DE" w:themeFill="accent3" w:themeFillTint="32"/>
            </w:pPr>
            <w:r>
              <w:rPr>
                <w:rFonts w:hint="eastAsia"/>
              </w:rPr>
              <w:t>达标评价：</w:t>
            </w:r>
            <w:bookmarkStart w:id="31" w:name="_GoBack"/>
            <w:bookmarkEnd w:id="31"/>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11</w:t>
            </w:r>
            <w:r>
              <w:rPr>
                <w:rFonts w:hint="eastAsia"/>
              </w:rPr>
              <w:t>日实施了能源管理体系内部审核，对能源管理体系的符合性和有效性进行了审核。内审发现的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sym w:font="Wingdings 2" w:char="00A3"/>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25</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779" w:type="dxa"/>
            <w:shd w:val="clear" w:color="auto" w:fill="EBF1DE" w:themeFill="accent3" w:themeFillTint="32"/>
            <w:vAlign w:val="center"/>
          </w:tcPr>
          <w:p>
            <w:pPr>
              <w:shd w:val="clear" w:color="auto" w:fill="EBF1DE" w:themeFill="accent3" w:themeFillTint="32"/>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pPr>
            <w:r>
              <w:rPr>
                <w:rFonts w:hint="eastAsia"/>
              </w:rPr>
              <w:t>8.3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7760038"/>
    <w:rsid w:val="1612482B"/>
    <w:rsid w:val="706E1E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8</TotalTime>
  <ScaleCrop>false</ScaleCrop>
  <LinksUpToDate>false</LinksUpToDate>
  <CharactersWithSpaces>26902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2022-08-29T01:31:46Z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