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836"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20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sz w:val="21"/>
                <w:szCs w:val="21"/>
                <w:lang w:eastAsia="zh-CN"/>
              </w:rPr>
              <w:t>李梅娜</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陪同人员：</w:t>
            </w:r>
            <w:r>
              <w:rPr>
                <w:rFonts w:hint="default" w:ascii="Times New Roman" w:hAnsi="Times New Roman" w:eastAsia="宋体" w:cs="Times New Roman"/>
                <w:lang w:val="en-US" w:eastAsia="zh-CN"/>
              </w:rPr>
              <w:t>魏卫红</w:t>
            </w:r>
            <w:r>
              <w:rPr>
                <w:rFonts w:hint="default" w:ascii="Times New Roman" w:hAnsi="Times New Roman" w:eastAsia="宋体" w:cs="Times New Roman"/>
                <w:sz w:val="21"/>
                <w:szCs w:val="21"/>
                <w:lang w:val="en-US" w:eastAsia="zh-CN"/>
              </w:rPr>
              <w:t xml:space="preserve"> </w:t>
            </w:r>
          </w:p>
        </w:tc>
        <w:tc>
          <w:tcPr>
            <w:tcW w:w="874"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default" w:ascii="Times New Roman" w:hAnsi="Times New Roman" w:eastAsia="宋体" w:cs="Times New Roman"/>
                <w:sz w:val="21"/>
                <w:szCs w:val="21"/>
              </w:rPr>
            </w:pPr>
          </w:p>
        </w:tc>
        <w:tc>
          <w:tcPr>
            <w:tcW w:w="836" w:type="dxa"/>
            <w:vMerge w:val="continue"/>
            <w:vAlign w:val="center"/>
          </w:tcPr>
          <w:p>
            <w:pPr>
              <w:rPr>
                <w:rFonts w:hint="default" w:ascii="Times New Roman" w:hAnsi="Times New Roman" w:eastAsia="宋体" w:cs="Times New Roman"/>
                <w:sz w:val="21"/>
                <w:szCs w:val="21"/>
              </w:rPr>
            </w:pPr>
          </w:p>
        </w:tc>
        <w:tc>
          <w:tcPr>
            <w:tcW w:w="11200" w:type="dxa"/>
            <w:vAlign w:val="center"/>
          </w:tcPr>
          <w:p>
            <w:pP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审核时间：202</w:t>
            </w:r>
            <w:r>
              <w:rPr>
                <w:rFonts w:hint="default" w:ascii="Times New Roman" w:hAnsi="Times New Roman" w:eastAsia="宋体" w:cs="Times New Roman"/>
                <w:sz w:val="21"/>
                <w:szCs w:val="21"/>
                <w:lang w:val="en-US" w:eastAsia="zh-CN"/>
              </w:rPr>
              <w:t>2.8.27-29</w:t>
            </w:r>
            <w:r>
              <w:rPr>
                <w:rFonts w:hint="eastAsia" w:cs="Times New Roman"/>
                <w:sz w:val="21"/>
                <w:szCs w:val="21"/>
                <w:lang w:val="en-US" w:eastAsia="zh-CN"/>
              </w:rPr>
              <w:t>（</w:t>
            </w:r>
            <w:r>
              <w:rPr>
                <w:rFonts w:hint="eastAsia" w:cs="Times New Roman"/>
                <w:sz w:val="21"/>
                <w:szCs w:val="21"/>
                <w:lang w:val="en-US" w:eastAsia="zh-CN"/>
              </w:rPr>
              <w:t>远程</w:t>
            </w:r>
            <w:r>
              <w:rPr>
                <w:rFonts w:hint="default" w:ascii="Times New Roman" w:hAnsi="Times New Roman" w:eastAsia="宋体" w:cs="Times New Roman"/>
                <w:sz w:val="21"/>
                <w:szCs w:val="21"/>
                <w:lang w:val="en-US" w:eastAsia="zh-CN"/>
              </w:rPr>
              <w:t>微信沟通、视频、文件传输</w:t>
            </w:r>
            <w:r>
              <w:rPr>
                <w:rFonts w:hint="eastAsia" w:ascii="Times New Roman" w:hAnsi="Times New Roman" w:eastAsia="宋体" w:cs="Times New Roman"/>
                <w:sz w:val="21"/>
                <w:szCs w:val="21"/>
                <w:lang w:val="en-US" w:eastAsia="zh-CN"/>
              </w:rPr>
              <w:t>）</w:t>
            </w:r>
          </w:p>
        </w:tc>
        <w:tc>
          <w:tcPr>
            <w:tcW w:w="87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default" w:ascii="Times New Roman" w:hAnsi="Times New Roman" w:eastAsia="宋体" w:cs="Times New Roman"/>
                <w:sz w:val="21"/>
                <w:szCs w:val="21"/>
              </w:rPr>
            </w:pPr>
          </w:p>
        </w:tc>
        <w:tc>
          <w:tcPr>
            <w:tcW w:w="836" w:type="dxa"/>
            <w:vMerge w:val="continue"/>
            <w:vAlign w:val="center"/>
          </w:tcPr>
          <w:p>
            <w:pPr>
              <w:rPr>
                <w:rFonts w:hint="default" w:ascii="Times New Roman" w:hAnsi="Times New Roman" w:eastAsia="宋体" w:cs="Times New Roman"/>
                <w:sz w:val="21"/>
                <w:szCs w:val="21"/>
              </w:rPr>
            </w:pPr>
          </w:p>
        </w:tc>
        <w:tc>
          <w:tcPr>
            <w:tcW w:w="11200" w:type="dxa"/>
            <w:vAlign w:val="center"/>
          </w:tcPr>
          <w:p>
            <w:pPr>
              <w:spacing w:line="26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审核条款：</w:t>
            </w:r>
            <w:r>
              <w:rPr>
                <w:rFonts w:hint="eastAsia" w:cs="Times New Roman"/>
                <w:bCs/>
                <w:sz w:val="21"/>
                <w:szCs w:val="21"/>
                <w:lang w:val="en-US" w:eastAsia="zh-CN"/>
              </w:rPr>
              <w:t>EO</w:t>
            </w:r>
            <w:r>
              <w:rPr>
                <w:rFonts w:hint="eastAsia" w:ascii="Times New Roman" w:hAnsi="Times New Roman" w:eastAsia="宋体" w:cs="Times New Roman"/>
                <w:bCs/>
                <w:sz w:val="21"/>
                <w:szCs w:val="21"/>
                <w:lang w:val="en-US" w:eastAsia="zh-CN"/>
              </w:rPr>
              <w:t>5.3/6.2/6.1.2/6.1.3/</w:t>
            </w:r>
            <w:r>
              <w:rPr>
                <w:rFonts w:hint="eastAsia" w:cs="Times New Roman"/>
                <w:bCs/>
                <w:sz w:val="21"/>
                <w:szCs w:val="21"/>
                <w:lang w:val="en-US" w:eastAsia="zh-CN"/>
              </w:rPr>
              <w:t>7.5</w:t>
            </w:r>
            <w:r>
              <w:rPr>
                <w:rFonts w:hint="eastAsia" w:ascii="Times New Roman" w:hAnsi="Times New Roman" w:eastAsia="宋体" w:cs="Times New Roman"/>
                <w:bCs/>
                <w:sz w:val="21"/>
                <w:szCs w:val="21"/>
                <w:lang w:val="en-US" w:eastAsia="zh-CN"/>
              </w:rPr>
              <w:t>/7.2/7.3/7.4/8.1/</w:t>
            </w:r>
            <w:r>
              <w:rPr>
                <w:rFonts w:hint="eastAsia" w:cs="Times New Roman"/>
                <w:bCs/>
                <w:sz w:val="21"/>
                <w:szCs w:val="21"/>
                <w:lang w:val="en-US" w:eastAsia="zh-CN"/>
              </w:rPr>
              <w:t>8.2/</w:t>
            </w:r>
            <w:r>
              <w:rPr>
                <w:rFonts w:hint="eastAsia" w:ascii="Times New Roman" w:hAnsi="Times New Roman" w:eastAsia="宋体" w:cs="Times New Roman"/>
                <w:bCs/>
                <w:sz w:val="21"/>
                <w:szCs w:val="21"/>
                <w:lang w:val="en-US" w:eastAsia="zh-CN"/>
              </w:rPr>
              <w:t>9.1/</w:t>
            </w:r>
            <w:r>
              <w:rPr>
                <w:rFonts w:hint="eastAsia" w:cs="Times New Roman"/>
                <w:bCs/>
                <w:sz w:val="21"/>
                <w:szCs w:val="21"/>
                <w:lang w:val="en-US" w:eastAsia="zh-CN"/>
              </w:rPr>
              <w:t>9</w:t>
            </w:r>
            <w:r>
              <w:rPr>
                <w:rFonts w:hint="eastAsia" w:ascii="Times New Roman" w:hAnsi="Times New Roman" w:eastAsia="宋体" w:cs="Times New Roman"/>
                <w:bCs/>
                <w:sz w:val="21"/>
                <w:szCs w:val="21"/>
                <w:lang w:val="en-US" w:eastAsia="zh-CN"/>
              </w:rPr>
              <w:t>.2/10.2；O5.4</w:t>
            </w:r>
          </w:p>
        </w:tc>
        <w:tc>
          <w:tcPr>
            <w:tcW w:w="87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岗位、职责、权限</w:t>
            </w:r>
          </w:p>
        </w:tc>
        <w:tc>
          <w:tcPr>
            <w:tcW w:w="836"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 5.3</w:t>
            </w:r>
          </w:p>
        </w:tc>
        <w:tc>
          <w:tcPr>
            <w:tcW w:w="112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办公室负责人：李梅娜</w:t>
            </w:r>
            <w:r>
              <w:rPr>
                <w:rFonts w:hint="default" w:ascii="Times New Roman" w:hAnsi="Times New Roman" w:eastAsia="宋体" w:cs="Times New Roman"/>
                <w:sz w:val="21"/>
                <w:szCs w:val="21"/>
                <w:lang w:val="en-US" w:eastAsia="zh-CN"/>
              </w:rPr>
              <w:t xml:space="preserve">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室主要负责：公司贯标工作，内审管理评审工作；文件管理，资料管理、归档工作；人力资源管理，培训工作；人员保险、工资统计等工作；法律法规的收集、跟踪整理工作；公司经营指标考核工作；领导交代的其他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与办公室负责人沟通，清楚其岗位职责权限。</w:t>
            </w:r>
          </w:p>
        </w:tc>
        <w:tc>
          <w:tcPr>
            <w:tcW w:w="874"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目标</w:t>
            </w:r>
          </w:p>
        </w:tc>
        <w:tc>
          <w:tcPr>
            <w:tcW w:w="836" w:type="dxa"/>
            <w:vAlign w:val="top"/>
          </w:tcPr>
          <w:p>
            <w:pPr>
              <w:pStyle w:val="15"/>
              <w:rPr>
                <w:rFonts w:hint="default" w:ascii="Times New Roman" w:hAnsi="Times New Roman" w:eastAsia="宋体" w:cs="Times New Roman"/>
                <w:lang w:val="en-US" w:eastAsia="zh-CN"/>
              </w:rPr>
            </w:pPr>
            <w:r>
              <w:rPr>
                <w:rFonts w:hint="default" w:ascii="Times New Roman" w:hAnsi="Times New Roman" w:eastAsia="宋体" w:cs="Times New Roman"/>
                <w:sz w:val="21"/>
                <w:szCs w:val="21"/>
                <w:lang w:val="en-US" w:eastAsia="zh-CN"/>
              </w:rPr>
              <w:t>EO6.2</w:t>
            </w:r>
          </w:p>
        </w:tc>
        <w:tc>
          <w:tcPr>
            <w:tcW w:w="11200"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t>执</w:t>
            </w:r>
            <w:r>
              <w:rPr>
                <w:rFonts w:hint="default" w:ascii="Times New Roman" w:hAnsi="Times New Roman" w:eastAsia="宋体" w:cs="Times New Roman"/>
                <w:sz w:val="21"/>
                <w:szCs w:val="21"/>
                <w:lang w:val="en-US" w:eastAsia="zh-CN"/>
              </w:rPr>
              <w:t>行《体系目标和管理方案控制程序》。</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查看管理手册制定了公司总的管理目标，编制了《管理目标/指标分解落实计划》，将目标分解至各部门，并制定了考核办法和考核频率。</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提供了</w:t>
            </w:r>
            <w:r>
              <w:rPr>
                <w:rFonts w:hint="eastAsia" w:cs="Times New Roman"/>
                <w:kern w:val="2"/>
                <w:sz w:val="21"/>
                <w:szCs w:val="21"/>
                <w:lang w:val="en-US" w:eastAsia="zh-CN" w:bidi="ar-SA"/>
              </w:rPr>
              <w:t>2021、</w:t>
            </w:r>
            <w:r>
              <w:rPr>
                <w:rFonts w:hint="default" w:ascii="Times New Roman" w:hAnsi="Times New Roman" w:eastAsia="宋体" w:cs="Times New Roman"/>
                <w:kern w:val="2"/>
                <w:sz w:val="21"/>
                <w:szCs w:val="21"/>
                <w:lang w:val="en-US" w:eastAsia="zh-CN" w:bidi="ar-SA"/>
              </w:rPr>
              <w:t>2022年度 目标、指标完成情况监控记录</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查办公室部门目标及实现情况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817"/>
              <w:gridCol w:w="3126"/>
              <w:gridCol w:w="1291"/>
              <w:gridCol w:w="129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94" w:type="dxa"/>
                  <w:vMerge w:val="restart"/>
                  <w:noWrap w:val="0"/>
                  <w:vAlign w:val="center"/>
                </w:tcPr>
                <w:p>
                  <w:pPr>
                    <w:jc w:val="both"/>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   环境</w:t>
                  </w:r>
                </w:p>
              </w:tc>
              <w:tc>
                <w:tcPr>
                  <w:tcW w:w="3817" w:type="dxa"/>
                  <w:noWrap w:val="0"/>
                  <w:vAlign w:val="top"/>
                </w:tcPr>
                <w:p>
                  <w:pPr>
                    <w:jc w:val="both"/>
                    <w:rPr>
                      <w:rFonts w:hint="eastAsia" w:ascii="宋体" w:hAnsi="宋体" w:eastAsia="宋体" w:cs="宋体"/>
                      <w:color w:val="000000"/>
                      <w:sz w:val="24"/>
                    </w:rPr>
                  </w:pPr>
                  <w:r>
                    <w:rPr>
                      <w:rFonts w:hint="eastAsia" w:ascii="宋体" w:hAnsi="宋体"/>
                      <w:szCs w:val="21"/>
                      <w:lang w:val="en-US" w:eastAsia="zh-CN"/>
                    </w:rPr>
                    <w:t>1.</w:t>
                  </w:r>
                  <w:r>
                    <w:rPr>
                      <w:rFonts w:hint="eastAsia" w:ascii="宋体" w:hAnsi="宋体"/>
                      <w:szCs w:val="21"/>
                    </w:rPr>
                    <w:t>固体废弃物统一收集，</w:t>
                  </w:r>
                  <w:r>
                    <w:rPr>
                      <w:rFonts w:hint="eastAsia" w:ascii="宋体" w:hAnsi="宋体"/>
                      <w:szCs w:val="21"/>
                      <w:lang w:val="en-US" w:eastAsia="zh-CN"/>
                    </w:rPr>
                    <w:t>处理达标</w:t>
                  </w:r>
                </w:p>
              </w:tc>
              <w:tc>
                <w:tcPr>
                  <w:tcW w:w="3126" w:type="dxa"/>
                  <w:noWrap w:val="0"/>
                  <w:vAlign w:val="top"/>
                </w:tcPr>
                <w:p>
                  <w:pPr>
                    <w:jc w:val="both"/>
                    <w:rPr>
                      <w:rFonts w:hint="eastAsia" w:ascii="宋体" w:hAnsi="宋体" w:eastAsia="宋体" w:cs="宋体"/>
                      <w:color w:val="000000"/>
                      <w:sz w:val="24"/>
                    </w:rPr>
                  </w:pPr>
                  <w:r>
                    <w:rPr>
                      <w:rFonts w:hint="eastAsia" w:ascii="宋体" w:hAnsi="宋体"/>
                      <w:szCs w:val="21"/>
                    </w:rPr>
                    <w:t>固体废弃物</w:t>
                  </w:r>
                  <w:r>
                    <w:rPr>
                      <w:rFonts w:hint="eastAsia" w:ascii="宋体" w:hAnsi="宋体"/>
                      <w:szCs w:val="21"/>
                      <w:lang w:val="en-US" w:eastAsia="zh-CN"/>
                    </w:rPr>
                    <w:t>统一处理率</w:t>
                  </w:r>
                  <w:r>
                    <w:rPr>
                      <w:rFonts w:hint="eastAsia" w:ascii="宋体" w:hAnsi="宋体"/>
                      <w:szCs w:val="21"/>
                    </w:rPr>
                    <w:t>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Merge w:val="continue"/>
                  <w:noWrap w:val="0"/>
                  <w:vAlign w:val="center"/>
                </w:tcPr>
                <w:p>
                  <w:pPr>
                    <w:jc w:val="both"/>
                    <w:rPr>
                      <w:rFonts w:hint="eastAsia" w:ascii="宋体" w:hAnsi="宋体" w:eastAsia="宋体" w:cs="宋体"/>
                      <w:color w:val="000000"/>
                      <w:sz w:val="24"/>
                    </w:rPr>
                  </w:pPr>
                </w:p>
              </w:tc>
              <w:tc>
                <w:tcPr>
                  <w:tcW w:w="3817" w:type="dxa"/>
                  <w:noWrap w:val="0"/>
                  <w:vAlign w:val="center"/>
                </w:tcPr>
                <w:p>
                  <w:pPr>
                    <w:jc w:val="both"/>
                    <w:rPr>
                      <w:rFonts w:hint="eastAsia"/>
                      <w:sz w:val="24"/>
                      <w:lang w:val="en-US" w:eastAsia="zh-CN"/>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确保</w:t>
                  </w:r>
                  <w:r>
                    <w:rPr>
                      <w:rFonts w:hint="eastAsia" w:ascii="宋体" w:hAnsi="宋体"/>
                      <w:szCs w:val="21"/>
                    </w:rPr>
                    <w:t>环保法律法规</w:t>
                  </w:r>
                  <w:r>
                    <w:rPr>
                      <w:rFonts w:hint="eastAsia" w:ascii="宋体" w:hAnsi="宋体"/>
                      <w:szCs w:val="21"/>
                      <w:lang w:val="en-US" w:eastAsia="zh-CN"/>
                    </w:rPr>
                    <w:t>的适用性</w:t>
                  </w:r>
                </w:p>
              </w:tc>
              <w:tc>
                <w:tcPr>
                  <w:tcW w:w="3126" w:type="dxa"/>
                  <w:noWrap w:val="0"/>
                  <w:vAlign w:val="center"/>
                </w:tcPr>
                <w:p>
                  <w:pPr>
                    <w:jc w:val="both"/>
                    <w:rPr>
                      <w:rFonts w:hint="eastAsia" w:ascii="宋体" w:hAnsi="宋体" w:eastAsia="宋体" w:cs="宋体"/>
                      <w:color w:val="000000"/>
                      <w:sz w:val="24"/>
                    </w:rPr>
                  </w:pPr>
                  <w:r>
                    <w:rPr>
                      <w:rFonts w:hint="eastAsia" w:ascii="宋体" w:hAnsi="宋体"/>
                      <w:szCs w:val="21"/>
                    </w:rPr>
                    <w:t>环保法律法规</w:t>
                  </w:r>
                  <w:r>
                    <w:rPr>
                      <w:rFonts w:hint="eastAsia" w:ascii="宋体" w:hAnsi="宋体"/>
                      <w:szCs w:val="21"/>
                      <w:lang w:val="en-US" w:eastAsia="zh-CN"/>
                    </w:rPr>
                    <w:t>有效性100</w:t>
                  </w:r>
                  <w:r>
                    <w:rPr>
                      <w:rFonts w:hint="eastAsia" w:ascii="宋体" w:hAnsi="宋体"/>
                      <w:szCs w:val="21"/>
                    </w:rPr>
                    <w:t>%</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4" w:type="dxa"/>
                  <w:vMerge w:val="continue"/>
                  <w:noWrap w:val="0"/>
                  <w:vAlign w:val="center"/>
                </w:tcPr>
                <w:p>
                  <w:pPr>
                    <w:jc w:val="both"/>
                    <w:rPr>
                      <w:rFonts w:hint="eastAsia" w:ascii="宋体" w:hAnsi="宋体" w:eastAsia="宋体" w:cs="宋体"/>
                      <w:color w:val="000000"/>
                      <w:sz w:val="24"/>
                    </w:rPr>
                  </w:pPr>
                </w:p>
              </w:tc>
              <w:tc>
                <w:tcPr>
                  <w:tcW w:w="3817" w:type="dxa"/>
                  <w:noWrap w:val="0"/>
                  <w:vAlign w:val="center"/>
                </w:tcPr>
                <w:p>
                  <w:pPr>
                    <w:jc w:val="both"/>
                    <w:rPr>
                      <w:rFonts w:hint="eastAsia"/>
                      <w:sz w:val="24"/>
                      <w:lang w:val="en-US" w:eastAsia="zh-CN"/>
                    </w:rPr>
                  </w:pPr>
                  <w:r>
                    <w:rPr>
                      <w:rFonts w:hint="eastAsia" w:ascii="宋体" w:hAnsi="宋体"/>
                      <w:szCs w:val="21"/>
                      <w:lang w:val="en-US" w:eastAsia="zh-CN"/>
                    </w:rPr>
                    <w:t>3.火灾发生率为零。</w:t>
                  </w:r>
                </w:p>
              </w:tc>
              <w:tc>
                <w:tcPr>
                  <w:tcW w:w="3126" w:type="dxa"/>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火灾事故为0。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未发生</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vMerge w:val="continue"/>
                  <w:noWrap w:val="0"/>
                  <w:vAlign w:val="center"/>
                </w:tcPr>
                <w:p>
                  <w:pPr>
                    <w:jc w:val="both"/>
                    <w:rPr>
                      <w:rFonts w:hint="eastAsia" w:ascii="宋体" w:hAnsi="宋体" w:eastAsia="宋体" w:cs="宋体"/>
                      <w:color w:val="000000"/>
                      <w:sz w:val="24"/>
                    </w:rPr>
                  </w:pPr>
                </w:p>
              </w:tc>
              <w:tc>
                <w:tcPr>
                  <w:tcW w:w="3817" w:type="dxa"/>
                  <w:noWrap w:val="0"/>
                  <w:vAlign w:val="center"/>
                </w:tcPr>
                <w:p>
                  <w:pPr>
                    <w:jc w:val="both"/>
                    <w:rPr>
                      <w:rFonts w:hint="eastAsia"/>
                      <w:sz w:val="24"/>
                      <w:lang w:val="en-US" w:eastAsia="zh-CN"/>
                    </w:rPr>
                  </w:pPr>
                  <w:r>
                    <w:rPr>
                      <w:rFonts w:hint="eastAsia" w:ascii="宋体" w:hAnsi="宋体"/>
                      <w:szCs w:val="21"/>
                      <w:lang w:val="en-US" w:eastAsia="zh-CN"/>
                    </w:rPr>
                    <w:t>4.组织全员按计划进行环保培训，提高员工的环保意识</w:t>
                  </w:r>
                </w:p>
              </w:tc>
              <w:tc>
                <w:tcPr>
                  <w:tcW w:w="3126" w:type="dxa"/>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公司级环保培训计划执行率≥98%</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94" w:type="dxa"/>
                  <w:vMerge w:val="restart"/>
                  <w:noWrap w:val="0"/>
                  <w:vAlign w:val="center"/>
                </w:tcPr>
                <w:p>
                  <w:pPr>
                    <w:jc w:val="both"/>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职业</w:t>
                  </w:r>
                </w:p>
                <w:p>
                  <w:pPr>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健康</w:t>
                  </w:r>
                </w:p>
                <w:p>
                  <w:pPr>
                    <w:ind w:firstLine="240" w:firstLineChars="100"/>
                    <w:jc w:val="both"/>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安全</w:t>
                  </w:r>
                </w:p>
              </w:tc>
              <w:tc>
                <w:tcPr>
                  <w:tcW w:w="3817" w:type="dxa"/>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1.确保职业健康安全法律法规</w:t>
                  </w:r>
                </w:p>
              </w:tc>
              <w:tc>
                <w:tcPr>
                  <w:tcW w:w="3126" w:type="dxa"/>
                  <w:noWrap w:val="0"/>
                  <w:vAlign w:val="center"/>
                </w:tcPr>
                <w:p>
                  <w:pPr>
                    <w:jc w:val="both"/>
                    <w:rPr>
                      <w:rFonts w:hint="eastAsia" w:ascii="宋体" w:hAnsi="宋体" w:eastAsia="宋体" w:cs="宋体"/>
                      <w:color w:val="000000"/>
                      <w:sz w:val="24"/>
                      <w:lang w:val="en-US" w:eastAsia="zh-CN"/>
                    </w:rPr>
                  </w:pPr>
                  <w:r>
                    <w:rPr>
                      <w:rFonts w:hint="eastAsia" w:ascii="宋体" w:hAnsi="宋体"/>
                      <w:szCs w:val="21"/>
                      <w:lang w:val="en-US" w:eastAsia="zh-CN"/>
                    </w:rPr>
                    <w:t>职业健康安全法律法规有效性100%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vMerge w:val="continue"/>
                  <w:noWrap w:val="0"/>
                  <w:vAlign w:val="center"/>
                </w:tcPr>
                <w:p>
                  <w:pPr>
                    <w:jc w:val="center"/>
                    <w:rPr>
                      <w:rFonts w:hint="eastAsia" w:ascii="宋体" w:hAnsi="宋体" w:eastAsia="宋体" w:cs="宋体"/>
                      <w:color w:val="000000"/>
                      <w:sz w:val="24"/>
                    </w:rPr>
                  </w:pPr>
                </w:p>
              </w:tc>
              <w:tc>
                <w:tcPr>
                  <w:tcW w:w="3817"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2.消防器材合格率≥100%</w:t>
                  </w:r>
                </w:p>
                <w:p>
                  <w:pPr>
                    <w:jc w:val="both"/>
                    <w:rPr>
                      <w:rFonts w:hint="eastAsia"/>
                      <w:sz w:val="24"/>
                    </w:rPr>
                  </w:pPr>
                  <w:r>
                    <w:rPr>
                      <w:rFonts w:hint="eastAsia" w:ascii="宋体" w:hAnsi="宋体"/>
                      <w:szCs w:val="21"/>
                      <w:lang w:val="en-US" w:eastAsia="zh-CN"/>
                    </w:rPr>
                    <w:t>火灾的隐患下降，无火灾事故发生</w:t>
                  </w:r>
                </w:p>
              </w:tc>
              <w:tc>
                <w:tcPr>
                  <w:tcW w:w="3126"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消防器材合格率≥100%，</w:t>
                  </w:r>
                </w:p>
                <w:p>
                  <w:pPr>
                    <w:jc w:val="both"/>
                    <w:rPr>
                      <w:rFonts w:hint="eastAsia" w:ascii="宋体" w:hAnsi="宋体" w:eastAsia="宋体" w:cs="宋体"/>
                      <w:color w:val="000000"/>
                      <w:sz w:val="24"/>
                      <w:lang w:val="en-US" w:eastAsia="zh-CN"/>
                    </w:rPr>
                  </w:pPr>
                  <w:r>
                    <w:rPr>
                      <w:rFonts w:hint="eastAsia" w:ascii="宋体" w:hAnsi="宋体"/>
                      <w:szCs w:val="21"/>
                      <w:lang w:val="en-US" w:eastAsia="zh-CN"/>
                    </w:rPr>
                    <w:t>火灾事故发生率为0</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p>
                  <w:pPr>
                    <w:jc w:val="both"/>
                    <w:rPr>
                      <w:rFonts w:hint="default" w:ascii="宋体" w:hAnsi="宋体"/>
                      <w:kern w:val="2"/>
                      <w:sz w:val="21"/>
                      <w:szCs w:val="21"/>
                      <w:lang w:val="en-US" w:eastAsia="zh-CN" w:bidi="ar-SA"/>
                    </w:rPr>
                  </w:pPr>
                  <w:r>
                    <w:rPr>
                      <w:rFonts w:hint="eastAsia" w:ascii="宋体" w:hAnsi="宋体"/>
                      <w:szCs w:val="21"/>
                      <w:lang w:val="en-US" w:eastAsia="zh-CN"/>
                    </w:rPr>
                    <w:t>未发生</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p>
                  <w:pPr>
                    <w:jc w:val="both"/>
                    <w:rPr>
                      <w:rFonts w:hint="eastAsia" w:ascii="宋体" w:hAnsi="宋体"/>
                      <w:szCs w:val="21"/>
                      <w:lang w:val="en-US" w:eastAsia="zh-CN"/>
                    </w:rPr>
                  </w:pPr>
                  <w:r>
                    <w:rPr>
                      <w:rFonts w:hint="eastAsia" w:ascii="宋体" w:hAnsi="宋体"/>
                      <w:szCs w:val="21"/>
                      <w:lang w:val="en-US" w:eastAsia="zh-CN"/>
                    </w:rPr>
                    <w:t>未发生</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94" w:type="dxa"/>
                  <w:vMerge w:val="continue"/>
                  <w:noWrap w:val="0"/>
                  <w:vAlign w:val="center"/>
                </w:tcPr>
                <w:p>
                  <w:pPr>
                    <w:jc w:val="center"/>
                    <w:rPr>
                      <w:rFonts w:hint="eastAsia" w:ascii="宋体" w:hAnsi="宋体" w:eastAsia="宋体" w:cs="宋体"/>
                      <w:color w:val="000000"/>
                      <w:sz w:val="24"/>
                    </w:rPr>
                  </w:pPr>
                </w:p>
              </w:tc>
              <w:tc>
                <w:tcPr>
                  <w:tcW w:w="3817" w:type="dxa"/>
                  <w:noWrap w:val="0"/>
                  <w:vAlign w:val="center"/>
                </w:tcPr>
                <w:p>
                  <w:pPr>
                    <w:jc w:val="both"/>
                    <w:rPr>
                      <w:rFonts w:hint="eastAsia"/>
                      <w:sz w:val="24"/>
                    </w:rPr>
                  </w:pPr>
                  <w:r>
                    <w:rPr>
                      <w:rFonts w:hint="eastAsia" w:ascii="宋体" w:hAnsi="宋体"/>
                      <w:szCs w:val="21"/>
                      <w:lang w:val="en-US" w:eastAsia="zh-CN"/>
                    </w:rPr>
                    <w:t>3.无重大交通事故发生</w:t>
                  </w:r>
                </w:p>
              </w:tc>
              <w:tc>
                <w:tcPr>
                  <w:tcW w:w="3126" w:type="dxa"/>
                  <w:noWrap w:val="0"/>
                  <w:vAlign w:val="center"/>
                </w:tcPr>
                <w:p>
                  <w:pPr>
                    <w:jc w:val="both"/>
                    <w:rPr>
                      <w:rFonts w:hint="eastAsia" w:ascii="宋体" w:hAnsi="宋体" w:eastAsia="宋体" w:cs="宋体"/>
                      <w:color w:val="000000"/>
                      <w:sz w:val="24"/>
                      <w:lang w:val="en-US" w:eastAsia="zh-CN"/>
                    </w:rPr>
                  </w:pPr>
                  <w:r>
                    <w:rPr>
                      <w:rFonts w:hint="eastAsia" w:ascii="宋体" w:hAnsi="宋体"/>
                      <w:szCs w:val="21"/>
                      <w:lang w:val="en-US" w:eastAsia="zh-CN"/>
                    </w:rPr>
                    <w:t>重大交通事故发生率为0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未发生</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094" w:type="dxa"/>
                  <w:vMerge w:val="continue"/>
                  <w:noWrap w:val="0"/>
                  <w:vAlign w:val="center"/>
                </w:tcPr>
                <w:p>
                  <w:pPr>
                    <w:jc w:val="center"/>
                    <w:rPr>
                      <w:rFonts w:hint="eastAsia" w:ascii="宋体" w:hAnsi="宋体" w:eastAsia="宋体" w:cs="宋体"/>
                      <w:color w:val="000000"/>
                      <w:sz w:val="24"/>
                    </w:rPr>
                  </w:pPr>
                </w:p>
              </w:tc>
              <w:tc>
                <w:tcPr>
                  <w:tcW w:w="3817" w:type="dxa"/>
                  <w:noWrap w:val="0"/>
                  <w:vAlign w:val="center"/>
                </w:tcPr>
                <w:p>
                  <w:pPr>
                    <w:jc w:val="both"/>
                    <w:rPr>
                      <w:rFonts w:hint="eastAsia"/>
                      <w:sz w:val="24"/>
                    </w:rPr>
                  </w:pPr>
                  <w:r>
                    <w:rPr>
                      <w:rFonts w:hint="eastAsia" w:ascii="宋体" w:hAnsi="宋体"/>
                      <w:szCs w:val="21"/>
                      <w:lang w:val="en-US" w:eastAsia="zh-CN"/>
                    </w:rPr>
                    <w:t>4.公司级职业健康安全培训计划执行率≥98%</w:t>
                  </w:r>
                </w:p>
              </w:tc>
              <w:tc>
                <w:tcPr>
                  <w:tcW w:w="3126" w:type="dxa"/>
                  <w:noWrap w:val="0"/>
                  <w:vAlign w:val="center"/>
                </w:tcPr>
                <w:p>
                  <w:pPr>
                    <w:jc w:val="both"/>
                    <w:rPr>
                      <w:rFonts w:hint="eastAsia" w:ascii="宋体" w:hAnsi="宋体" w:eastAsia="宋体" w:cs="宋体"/>
                      <w:color w:val="000000"/>
                      <w:sz w:val="24"/>
                      <w:lang w:val="en-US" w:eastAsia="zh-CN"/>
                    </w:rPr>
                  </w:pPr>
                  <w:r>
                    <w:rPr>
                      <w:rFonts w:hint="eastAsia" w:ascii="宋体" w:hAnsi="宋体"/>
                      <w:szCs w:val="21"/>
                      <w:lang w:val="en-US" w:eastAsia="zh-CN"/>
                    </w:rPr>
                    <w:t>公司级职业健康安全培训计划执行率≥98%</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vMerge w:val="continue"/>
                  <w:noWrap w:val="0"/>
                  <w:vAlign w:val="center"/>
                </w:tcPr>
                <w:p>
                  <w:pPr>
                    <w:jc w:val="center"/>
                    <w:rPr>
                      <w:rFonts w:hint="eastAsia" w:ascii="宋体" w:hAnsi="宋体" w:eastAsia="宋体" w:cs="宋体"/>
                      <w:color w:val="000000"/>
                      <w:sz w:val="24"/>
                    </w:rPr>
                  </w:pPr>
                </w:p>
              </w:tc>
              <w:tc>
                <w:tcPr>
                  <w:tcW w:w="3817" w:type="dxa"/>
                  <w:noWrap w:val="0"/>
                  <w:vAlign w:val="center"/>
                </w:tcPr>
                <w:p>
                  <w:pPr>
                    <w:jc w:val="both"/>
                    <w:rPr>
                      <w:rFonts w:hint="eastAsia"/>
                      <w:sz w:val="24"/>
                    </w:rPr>
                  </w:pPr>
                  <w:r>
                    <w:rPr>
                      <w:rFonts w:hint="eastAsia" w:ascii="宋体" w:hAnsi="宋体"/>
                      <w:szCs w:val="21"/>
                      <w:lang w:val="en-US" w:eastAsia="zh-CN"/>
                    </w:rPr>
                    <w:t>5.及时处理并反馈员工反映的职业健康安全相关意见。</w:t>
                  </w:r>
                </w:p>
              </w:tc>
              <w:tc>
                <w:tcPr>
                  <w:tcW w:w="3126" w:type="dxa"/>
                  <w:noWrap w:val="0"/>
                  <w:vAlign w:val="center"/>
                </w:tcPr>
                <w:p>
                  <w:pPr>
                    <w:jc w:val="both"/>
                    <w:rPr>
                      <w:rFonts w:hint="eastAsia" w:ascii="宋体" w:hAnsi="宋体" w:eastAsia="宋体" w:cs="宋体"/>
                      <w:color w:val="000000"/>
                      <w:sz w:val="24"/>
                      <w:lang w:val="en-US" w:eastAsia="zh-CN"/>
                    </w:rPr>
                  </w:pPr>
                  <w:r>
                    <w:rPr>
                      <w:rFonts w:hint="eastAsia" w:ascii="宋体" w:hAnsi="宋体"/>
                      <w:szCs w:val="21"/>
                      <w:lang w:val="en-US" w:eastAsia="zh-CN"/>
                    </w:rPr>
                    <w:t>员工反馈意见处理率100%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c>
                <w:tcPr>
                  <w:tcW w:w="1291"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bl>
          <w:p>
            <w:pPr>
              <w:ind w:firstLine="6510" w:firstLineChars="31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统计人</w:t>
            </w:r>
            <w:r>
              <w:rPr>
                <w:rFonts w:hint="default" w:ascii="Times New Roman" w:hAnsi="Times New Roman" w:eastAsia="宋体" w:cs="Times New Roman"/>
                <w:kern w:val="2"/>
                <w:sz w:val="21"/>
                <w:szCs w:val="21"/>
                <w:lang w:val="en-US" w:eastAsia="zh-CN" w:bidi="ar-SA"/>
              </w:rPr>
              <w:tab/>
            </w:r>
            <w:r>
              <w:rPr>
                <w:rFonts w:hint="default" w:ascii="Times New Roman" w:hAnsi="Times New Roman" w:eastAsia="宋体" w:cs="Times New Roman"/>
                <w:kern w:val="2"/>
                <w:sz w:val="21"/>
                <w:szCs w:val="21"/>
                <w:lang w:val="en-US" w:eastAsia="zh-CN" w:bidi="ar-SA"/>
              </w:rPr>
              <w:t>李梅娜</w:t>
            </w:r>
            <w:r>
              <w:rPr>
                <w:rFonts w:hint="default" w:ascii="Times New Roman" w:hAnsi="Times New Roman" w:eastAsia="宋体" w:cs="Times New Roman"/>
                <w:kern w:val="2"/>
                <w:sz w:val="21"/>
                <w:szCs w:val="21"/>
                <w:lang w:val="en-US" w:eastAsia="zh-CN" w:bidi="ar-SA"/>
              </w:rPr>
              <w:tab/>
            </w:r>
            <w:r>
              <w:rPr>
                <w:rFonts w:hint="default" w:ascii="Times New Roman" w:hAnsi="Times New Roman" w:eastAsia="宋体" w:cs="Times New Roman"/>
                <w:kern w:val="2"/>
                <w:sz w:val="21"/>
                <w:szCs w:val="21"/>
                <w:lang w:val="en-US" w:eastAsia="zh-CN" w:bidi="ar-SA"/>
              </w:rPr>
              <w:t>李梅娜</w:t>
            </w:r>
            <w:r>
              <w:rPr>
                <w:rFonts w:hint="default" w:ascii="Times New Roman" w:hAnsi="Times New Roman" w:eastAsia="宋体" w:cs="Times New Roman"/>
                <w:kern w:val="2"/>
                <w:sz w:val="21"/>
                <w:szCs w:val="21"/>
                <w:lang w:val="en-US" w:eastAsia="zh-CN" w:bidi="ar-SA"/>
              </w:rPr>
              <w:tab/>
            </w:r>
            <w:r>
              <w:rPr>
                <w:rFonts w:hint="default" w:ascii="Times New Roman" w:hAnsi="Times New Roman" w:eastAsia="宋体" w:cs="Times New Roman"/>
                <w:kern w:val="2"/>
                <w:sz w:val="21"/>
                <w:szCs w:val="21"/>
                <w:lang w:val="en-US" w:eastAsia="zh-CN" w:bidi="ar-SA"/>
              </w:rPr>
              <w:t>李梅娜</w:t>
            </w:r>
          </w:p>
          <w:p>
            <w:pPr>
              <w:ind w:firstLine="6300" w:firstLineChars="30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统计日期</w:t>
            </w:r>
            <w:r>
              <w:rPr>
                <w:rFonts w:hint="default" w:ascii="Times New Roman" w:hAnsi="Times New Roman" w:eastAsia="宋体" w:cs="Times New Roman"/>
                <w:kern w:val="2"/>
                <w:sz w:val="21"/>
                <w:szCs w:val="21"/>
                <w:lang w:val="en-US" w:eastAsia="zh-CN" w:bidi="ar-SA"/>
              </w:rPr>
              <w:tab/>
            </w:r>
            <w:r>
              <w:rPr>
                <w:rFonts w:hint="default" w:ascii="Times New Roman" w:hAnsi="Times New Roman" w:eastAsia="宋体" w:cs="Times New Roman"/>
                <w:kern w:val="2"/>
                <w:sz w:val="21"/>
                <w:szCs w:val="21"/>
                <w:lang w:val="en-US" w:eastAsia="zh-CN" w:bidi="ar-SA"/>
              </w:rPr>
              <w:t>2021.12.31</w:t>
            </w:r>
            <w:r>
              <w:rPr>
                <w:rFonts w:hint="default" w:ascii="Times New Roman" w:hAnsi="Times New Roman" w:eastAsia="宋体" w:cs="Times New Roman"/>
                <w:kern w:val="2"/>
                <w:sz w:val="21"/>
                <w:szCs w:val="21"/>
                <w:lang w:val="en-US" w:eastAsia="zh-CN" w:bidi="ar-SA"/>
              </w:rPr>
              <w:tab/>
            </w:r>
            <w:r>
              <w:rPr>
                <w:rFonts w:hint="default" w:ascii="Times New Roman" w:hAnsi="Times New Roman" w:eastAsia="宋体" w:cs="Times New Roman"/>
                <w:kern w:val="2"/>
                <w:sz w:val="21"/>
                <w:szCs w:val="21"/>
                <w:lang w:val="en-US" w:eastAsia="zh-CN" w:bidi="ar-SA"/>
              </w:rPr>
              <w:t>2022.4.3</w:t>
            </w:r>
            <w:r>
              <w:rPr>
                <w:rFonts w:hint="default" w:ascii="Times New Roman" w:hAnsi="Times New Roman" w:eastAsia="宋体" w:cs="Times New Roman"/>
                <w:kern w:val="2"/>
                <w:sz w:val="21"/>
                <w:szCs w:val="21"/>
                <w:lang w:val="en-US" w:eastAsia="zh-CN" w:bidi="ar-SA"/>
              </w:rPr>
              <w:tab/>
            </w:r>
            <w:r>
              <w:rPr>
                <w:rFonts w:hint="default" w:ascii="Times New Roman" w:hAnsi="Times New Roman" w:eastAsia="宋体" w:cs="Times New Roman"/>
                <w:kern w:val="2"/>
                <w:sz w:val="21"/>
                <w:szCs w:val="21"/>
                <w:lang w:val="en-US" w:eastAsia="zh-CN" w:bidi="ar-SA"/>
              </w:rPr>
              <w:t>2022.7.5</w:t>
            </w:r>
          </w:p>
          <w:p>
            <w:pPr>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查管理方案落实情况：</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企业编制了环境/职业健康安全目标指标管理方案；</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——抽目标指标固体废弃物统一处理率100%；</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管理方案：1.施工场所设置垃圾池堆放固体废弃物，可回收和不可回收的固体废弃物分池堆放，按分类标准加以划分。</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2.委托有资质的单位对废弃物进行处理，有害固体废弃物要交持有“有害废弃物经营许可证” 的单位处理。</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3.施工过程中产生的固体废弃物要及时清运处理。</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责任部门：各部门；费用投入：20000元；长期；</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——抽目标指标：防止发生因漏电而造成的员工触电伤亡事故；</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管理方案：1、对操作人员进行培训，熟悉各种设备的操作规范。</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2、作业前对电器设备进行检查，确定符合规定后，方可进行作业。</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3、在设备负荷线首端设置安全有效的漏电保护器。</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4、定期对设备及线路进行检查，破损、老化、裸露的设备、线路及时更换。尤其强调对漏电保护装置的检测，一旦发现失灵，及时维修或更换。非电工不许触动、装拆、修理电器设备。</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5、电气设备安装、调试符合规范或技术要求。</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6、电器线路安装由专业人员操作，不得私拉乱接。</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7、施工电缆必须架空或埋于地下，不能平地而放。施工作业电线应架空，不能随地拖线及导线浸水或被土石掩埋，严禁导线随意绑在钢筋笼或其他铁支架上。</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8、为防止潜水泵、振动棒等电伤人，应采用三相五线制，“三级配电”，“两级保护”，实行一机一闸一保险。</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9、必须设两级保护配电箱，配电箱应安门、上锁，及防雨、防潮设施，并指令专人负责。按用电量安装保险丝，不得用钢、铝、锌代替保险丝。</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10、操作手持电动工具的人员，作业前必须认真检查设备绝缘情况，穿戴好工作服和绝缘手套及绝缘鞋。</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责任部门：各部门，费用投入：5000元；</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查见《管理方案完成情况监控记录》，每季度对目标指标落实情况进行检查，完成了各项目标指标，检查人：李梅娜。</w:t>
            </w:r>
          </w:p>
        </w:tc>
        <w:tc>
          <w:tcPr>
            <w:tcW w:w="87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环境因素、危险源</w:t>
            </w:r>
          </w:p>
        </w:tc>
        <w:tc>
          <w:tcPr>
            <w:tcW w:w="836"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6.1.2</w:t>
            </w:r>
          </w:p>
        </w:tc>
        <w:tc>
          <w:tcPr>
            <w:tcW w:w="11200"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编制了《环境因素识别与评价控制程序》《危险源识别及风险评价控制程序》，用于识别和控制与各过程相关的环境因素和危险源，办公室为归口部门，程序规定了环境因素和危险源识别的要求和方法，时机与频次（一般每年一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提供了《环境因素识别评价表》办公室识别出</w:t>
            </w:r>
            <w:r>
              <w:rPr>
                <w:rFonts w:hint="default" w:ascii="Times New Roman" w:hAnsi="Times New Roman" w:eastAsia="宋体" w:cs="Times New Roman"/>
                <w:sz w:val="21"/>
                <w:szCs w:val="21"/>
                <w:lang w:val="en-US" w:eastAsia="zh-CN"/>
              </w:rPr>
              <w:t>环境因素主要包括：日常办公过程的电脑使用、空调室的能源消耗，办公纸张的浪费、生活用水的消耗、电源线路老化、漏电或其他原因导致火灾的发生、生活废水、生活垃圾的产生等；物资采购过程中不合格品废弃，卫生清洁产生废水等；评价表对活动、过程中产生的环境因素的状态、时态、可能造成的污染进行了分类，并制定了对应的控制措施如制定程序控制，运行检查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采用是否法评价出了重要环境因素，编制了《重要环境因素清单》，办公室重要环境因素为固体废弃物排放、火灾。</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提供了《危险源辨识评价表》，通过活动过程对危险源进行了识别，办公室涉及到的危险源包括：</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乱拉接线路引发触电、火灾、电脑的辐射、打印机的辐射、从楼梯上摔伤、电梯伤害、交通事故、劳保用品未定期发放造成人员伤害或伤亡、传染病感染等的风险，针对识别出的危险源制定了控制措施，采用LEC定量评价法评估出重大危险源，编制了《重大危险源清单》，办公室重大危险源有火灾、触电。</w:t>
            </w:r>
          </w:p>
          <w:p>
            <w:pP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sz w:val="21"/>
                <w:szCs w:val="21"/>
                <w:lang w:val="en-US" w:eastAsia="zh-CN"/>
              </w:rPr>
              <w:t>对识别出的重要环境因素和不可接受风险，均制定了相应的管理措施如废弃物管理办法、应急预案、培训、演练、设备操作规程、定期检查等。</w:t>
            </w:r>
          </w:p>
        </w:tc>
        <w:tc>
          <w:tcPr>
            <w:tcW w:w="874"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法律法规和其他要求的确定</w:t>
            </w:r>
          </w:p>
        </w:tc>
        <w:tc>
          <w:tcPr>
            <w:tcW w:w="836"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w:t>
            </w:r>
          </w:p>
          <w:p>
            <w:pP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6.1.3</w:t>
            </w:r>
          </w:p>
        </w:tc>
        <w:tc>
          <w:tcPr>
            <w:tcW w:w="11200" w:type="dxa"/>
            <w:vAlign w:val="top"/>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●编制了《法律法规和其他要求控制程序》，办公室负责与质量、环境和职业健康安全有关的法律法规和其他要求的收集、识别、确认、控制、传递和建立、更新工作。获取渠道为网络和期刊等。</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●提供《环境/职业健康安全法律法规清单》，收集了适用的环境和职业安全法律法规：河北省重大危险源监督管理办法、</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中华人民共和国环境保护法、中华人民共和国固体废物污染环境防治法、中华人民共和国大气污染防治法、中华人民共和国水污染防治法、中华人民共和国环境影响评价法、中华人民共和国环境噪声污染防治法等法律法规。</w:t>
            </w:r>
          </w:p>
          <w:p>
            <w:pPr>
              <w:bidi w:val="0"/>
              <w:rPr>
                <w:rFonts w:hint="default" w:ascii="Times New Roman" w:hAnsi="Times New Roman" w:eastAsia="宋体" w:cs="Times New Roman"/>
              </w:rPr>
            </w:pPr>
            <w:r>
              <w:rPr>
                <w:rFonts w:hint="default" w:ascii="Times New Roman" w:hAnsi="Times New Roman" w:eastAsia="宋体" w:cs="Times New Roman"/>
                <w:b/>
                <w:bCs/>
                <w:color w:val="0000FF"/>
                <w:u w:val="none"/>
                <w:lang w:val="en-US" w:eastAsia="zh-CN"/>
              </w:rPr>
              <w:t>其中《中华人民共和国环境噪声污染防治法》非现行有效版本，且缺少《中华人民共和国传染病防治法》、《中华人民共和国消防法》</w:t>
            </w:r>
          </w:p>
        </w:tc>
        <w:tc>
          <w:tcPr>
            <w:tcW w:w="874"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形成文件的信息</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文件控制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记录控制</w:t>
            </w:r>
          </w:p>
        </w:tc>
        <w:tc>
          <w:tcPr>
            <w:tcW w:w="836"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EO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7.5</w:t>
            </w:r>
          </w:p>
          <w:p>
            <w:pPr>
              <w:rPr>
                <w:rFonts w:hint="default" w:ascii="Times New Roman" w:hAnsi="Times New Roman" w:eastAsia="宋体" w:cs="Times New Roman"/>
                <w:sz w:val="21"/>
                <w:szCs w:val="21"/>
                <w:lang w:val="en-US"/>
              </w:rPr>
            </w:pPr>
          </w:p>
        </w:tc>
        <w:tc>
          <w:tcPr>
            <w:tcW w:w="11200"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文件控制程序》、《记录管理程序》等对成文信息有相关规定；程序规定了形成文件信息和记录管理的要求，包括：创建更新、获得、适用、妥善保护、防止失密和不当使用；规定了分发、访问、检索和使用；存储和防护；变更的管理。</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文件的分类：</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1.管理手册 </w:t>
            </w:r>
            <w:r>
              <w:rPr>
                <w:rFonts w:hint="eastAsia" w:ascii="Times New Roman" w:hAnsi="Times New Roman" w:eastAsia="宋体" w:cs="Times New Roman"/>
                <w:sz w:val="21"/>
                <w:szCs w:val="21"/>
                <w:lang w:val="en-US" w:eastAsia="zh-CN"/>
              </w:rPr>
              <w:t>HBZH/QJES-2021</w:t>
            </w:r>
            <w:r>
              <w:rPr>
                <w:rFonts w:hint="default" w:ascii="Times New Roman" w:hAnsi="Times New Roman" w:eastAsia="宋体" w:cs="Times New Roman"/>
                <w:sz w:val="21"/>
                <w:szCs w:val="21"/>
                <w:lang w:val="en-US" w:eastAsia="zh-CN"/>
              </w:rPr>
              <w:t xml:space="preserve">  A/0版  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年</w:t>
            </w:r>
            <w:r>
              <w:rPr>
                <w:rFonts w:hint="eastAsia"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val="en-US" w:eastAsia="zh-CN"/>
              </w:rPr>
              <w:t>月1日发表实施（含管理方针、目标）；</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2.程序文件 </w:t>
            </w:r>
            <w:r>
              <w:rPr>
                <w:rFonts w:hint="eastAsia" w:ascii="Times New Roman" w:hAnsi="Times New Roman" w:eastAsia="宋体" w:cs="Times New Roman"/>
                <w:sz w:val="21"/>
                <w:szCs w:val="21"/>
                <w:lang w:val="en-US" w:eastAsia="zh-CN"/>
              </w:rPr>
              <w:t>HBZH/QJES/CX-2021 A/0</w:t>
            </w:r>
            <w:r>
              <w:rPr>
                <w:rFonts w:hint="default" w:ascii="Times New Roman" w:hAnsi="Times New Roman" w:eastAsia="宋体" w:cs="Times New Roman"/>
                <w:sz w:val="21"/>
                <w:szCs w:val="21"/>
                <w:lang w:val="en-US" w:eastAsia="zh-CN"/>
              </w:rPr>
              <w:t xml:space="preserve">  A/0版  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年</w:t>
            </w:r>
            <w:r>
              <w:rPr>
                <w:rFonts w:hint="eastAsia"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val="en-US" w:eastAsia="zh-CN"/>
              </w:rPr>
              <w:t>月1日发表实施。含</w:t>
            </w:r>
            <w:r>
              <w:rPr>
                <w:rFonts w:hint="eastAsia" w:ascii="Times New Roman" w:hAnsi="Times New Roman" w:eastAsia="宋体" w:cs="Times New Roman"/>
                <w:sz w:val="21"/>
                <w:szCs w:val="21"/>
                <w:lang w:val="en-US" w:eastAsia="zh-CN"/>
              </w:rPr>
              <w:t>34</w:t>
            </w:r>
            <w:r>
              <w:rPr>
                <w:rFonts w:hint="default" w:ascii="Times New Roman" w:hAnsi="Times New Roman" w:eastAsia="宋体" w:cs="Times New Roman"/>
                <w:sz w:val="21"/>
                <w:szCs w:val="21"/>
                <w:lang w:val="en-US" w:eastAsia="zh-CN"/>
              </w:rPr>
              <w:t xml:space="preserve">个文件。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3.管理</w:t>
            </w:r>
            <w:r>
              <w:rPr>
                <w:rFonts w:hint="eastAsia" w:ascii="Times New Roman" w:hAnsi="Times New Roman" w:eastAsia="宋体" w:cs="Times New Roman"/>
                <w:sz w:val="21"/>
                <w:szCs w:val="21"/>
                <w:lang w:val="en-US" w:eastAsia="zh-CN"/>
              </w:rPr>
              <w:t>制度</w:t>
            </w:r>
            <w:r>
              <w:rPr>
                <w:rFonts w:hint="default" w:ascii="Times New Roman" w:hAnsi="Times New Roman" w:eastAsia="宋体" w:cs="Times New Roman"/>
                <w:sz w:val="21"/>
                <w:szCs w:val="21"/>
                <w:lang w:val="en-US" w:eastAsia="zh-CN"/>
              </w:rPr>
              <w:t>汇编，HBZH-GL-2021 A/0版，包括：职工健康与劳动保护管理办法、顾客满意度调查制度、节能降耗管理规定、质量、施工组织设计管理办法等。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4.体系运行所需要的记录。</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●文件创新和更新：</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公司在创建质量管理体系文件时，对文件的格式进行了统一规定。文件的形式采取纸质版和电子版并用，语言采用中文。文件发布前进行了审核、批准，文件抽查如下：</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管理手册</w:t>
            </w:r>
            <w:r>
              <w:rPr>
                <w:rFonts w:hint="eastAsia" w:ascii="Times New Roman" w:hAnsi="Times New Roman" w:eastAsia="宋体" w:cs="Times New Roman"/>
                <w:sz w:val="21"/>
                <w:szCs w:val="21"/>
                <w:lang w:val="en-US" w:eastAsia="zh-CN"/>
              </w:rPr>
              <w:t>HBZH/QJES-2021</w:t>
            </w:r>
            <w:r>
              <w:rPr>
                <w:rFonts w:hint="default" w:ascii="Times New Roman" w:hAnsi="Times New Roman" w:eastAsia="宋体" w:cs="Times New Roman"/>
                <w:sz w:val="21"/>
                <w:szCs w:val="21"/>
                <w:lang w:val="en-US" w:eastAsia="zh-CN"/>
              </w:rPr>
              <w:t xml:space="preserve"> A/0版  202</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年</w:t>
            </w: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月1日实施（含管理方针、目标）；查看编审批齐全，加盖受控文件标识。</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●文件的控制：</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提供了《文件发放登记表》，内容包括文件编号、版本、文件名称、分发号、签收人、签收部门、及作废文件回收记录。有管理手册、程序文件、管理文件汇编和外来文件的发放记录，有各部门的签收。</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从发放记录看，发放适宜，相关部门能获得。</w:t>
            </w:r>
            <w:r>
              <w:rPr>
                <w:rFonts w:hint="eastAsia" w:cs="Times New Roman"/>
                <w:sz w:val="21"/>
                <w:szCs w:val="21"/>
                <w:lang w:val="en-US" w:eastAsia="zh-CN"/>
              </w:rPr>
              <w:t>微信</w:t>
            </w:r>
            <w:r>
              <w:rPr>
                <w:rFonts w:hint="default" w:ascii="Times New Roman" w:hAnsi="Times New Roman" w:eastAsia="宋体" w:cs="Times New Roman"/>
                <w:sz w:val="21"/>
                <w:szCs w:val="21"/>
                <w:lang w:val="en-US" w:eastAsia="zh-CN"/>
              </w:rPr>
              <w:t>询问办公室，收到了管理手册、程序文件。</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存储、保护：体系文件由使用部门自行保存、专人管理。办公室体系文件在内部发布，部门领导及相关人员也可共享，系统规定了访问了权限、修改及审批权限，并有一定的保密要求。编制有《文件借阅登记表》、《文件修改申请单》。</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手册及《文件控制程序》《记录控制程序》中对文件的更改、保留与处置均做了相应的规定。</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●查文件审核提出的不符合,已整改完成，详见文审报告。</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●对外来文件进行了识别收集，</w:t>
            </w:r>
            <w:r>
              <w:rPr>
                <w:rFonts w:hint="eastAsia" w:cs="Times New Roman"/>
                <w:sz w:val="21"/>
                <w:szCs w:val="21"/>
                <w:lang w:val="en-US" w:eastAsia="zh-CN"/>
              </w:rPr>
              <w:t>微信</w:t>
            </w:r>
            <w:r>
              <w:rPr>
                <w:rFonts w:hint="default" w:ascii="Times New Roman" w:hAnsi="Times New Roman" w:eastAsia="宋体" w:cs="Times New Roman"/>
                <w:sz w:val="21"/>
                <w:szCs w:val="21"/>
                <w:lang w:val="en-US" w:eastAsia="zh-CN"/>
              </w:rPr>
              <w:t>提供有《外来文件清单》，包括质量法、民法典、环境保护法、劳动法、消防法、安全生产法、 工程施工及验收规范:</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《建设工程项目管理规范》</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GB/T50326-2017</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《风力发电机组装配和安装规范》</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GB/T19568-2017</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《起重设备安装工程施工及验收规范》</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GB 50278-2010</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《履带起重机》</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GB/T 14560-2016</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《起重机械安全规程》</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GB6067-2010</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《起重机 手势信号》</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GB/T 5082-2019</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《起重机试验规范和程序》</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GB/T 5905-2011</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《危险性较大的分部分项工程安全管理规定》</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《工程建设强制性条文（电力工程）》</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《建筑施工起重吊装安全技术规范》</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《起重机械定期检查规则》</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《风电机组塔架用高强度螺栓连接副》</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NB/T31082-2016</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《施工现场临时用电安全技术规范》</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JGJ 46—2005</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《建筑机械使用安全技术规程》</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JGJ 33—2012</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《建筑施工起重吊装安全技术规范》</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JGJ 276-2012</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《中华人民共和国安全生产法》</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中华人民共和国主席令第八十八号</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2021</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全国人大常务委员会</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《特种设备安全监察条例》</w:t>
            </w:r>
            <w:r>
              <w:rPr>
                <w:rFonts w:hint="default" w:ascii="Times New Roman" w:hAnsi="Times New Roman" w:eastAsia="宋体" w:cs="Times New Roman"/>
                <w:sz w:val="21"/>
                <w:szCs w:val="21"/>
                <w:lang w:val="en-US" w:eastAsia="zh-CN"/>
              </w:rPr>
              <w:tab/>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GB/T19001—2016标准、GB/T50430—2017标准</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GB/T 24001-2016《环境管理体系 要求及使用指南》、</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GB/T 45001-2020《职业健康安全管理体系 要求及使用指南》</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等标准、规范及法规要求。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●文件主管部门――办公室，均按规定进行了识别控制，并从国家标准网和其他方面对外来文件保持更新。</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●查见《记录清单》共涉及</w:t>
            </w:r>
            <w:r>
              <w:rPr>
                <w:rFonts w:hint="eastAsia" w:cs="Times New Roman"/>
                <w:sz w:val="21"/>
                <w:szCs w:val="21"/>
                <w:lang w:val="en-US" w:eastAsia="zh-CN"/>
              </w:rPr>
              <w:t>一百多</w:t>
            </w:r>
            <w:r>
              <w:rPr>
                <w:rFonts w:hint="default" w:ascii="Times New Roman" w:hAnsi="Times New Roman" w:eastAsia="宋体" w:cs="Times New Roman"/>
                <w:sz w:val="21"/>
                <w:szCs w:val="21"/>
                <w:lang w:val="en-US" w:eastAsia="zh-CN"/>
              </w:rPr>
              <w:t>项记录，记录表包括序号、记录名称、编号、保存期、责任部门等内容。</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如：年度培训计划、顾客满意度评定表、设备清单等，记录认真，内容较充实，真实可信。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记录的保护：所属部门负责，文件柜，按期限控制，销毁有审批及登记。</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●办公室保存信息资料和培训记录等存放于文件夹，并放置于文件柜中，标识清晰，便于查阅，检索，基本满足要求。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记录保存基本满足要求。</w:t>
            </w:r>
          </w:p>
        </w:tc>
        <w:tc>
          <w:tcPr>
            <w:tcW w:w="874"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人员、能力</w:t>
            </w:r>
          </w:p>
        </w:tc>
        <w:tc>
          <w:tcPr>
            <w:tcW w:w="836"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EO7.2</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EO7.3</w:t>
            </w:r>
          </w:p>
        </w:tc>
        <w:tc>
          <w:tcPr>
            <w:tcW w:w="11200"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与负责人远程沟通了解到：</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现有员工42人。岗位人员主要包括：安全管理三类人员、工程师、技术负责人、项目负责人、施工员、安全员、机械员、质量员等项目管理人员；特种作业人员包括：建筑起重机械安装拆卸工、建筑起重信号司索工、建筑起重机械司机、电工、焊工等。公司现有人员的配置及能力充分，满足公司运作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编制有《人力资源管理制度》、《员工绩效考核管理制度》、《人力资源管理程序》等管理制度及程序文件规定了公司人员的管理及考核方法。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办公室负责公司人员的招聘、培训、考核等管理；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李主任远程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提供《人员绩效考核方案》公司于2022年1月9日对主要岗位人员进行了2021年度的考核。</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1、抽查设备部：李发通的考核记录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考核日期：2022.1.9</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从执行力、职责履行、全局观念、工作原则性、协作能力、劳动纪律、学习新知识、新技术的能力。适合新工作、新环境的能力及改革意识、突出贡献、思想品德素质等方面进行了考核。</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考核结果：合格</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2、另查设备部：王占同、祝亚峰、李发通、韩书康等的考核记录，均合格。</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人员能力管理基本符合标准要求。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与李主任远程沟通了解到，当未达到能力要求所采取的措施：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室根据《新进员工三级安全教育管理制度》及员工培训需求制定各项培训计划覆盖标准贯标、体系文件、环境因素和危险源识别、内审员培训、建筑工程总承包相关规范要求的、公司施工技术文件、应急预案管理体系标准文件；安全技术交底培训等方面</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--查有《2022年度培训计划》；共制定各项培训计划16项，包括：贯标培训、制度培训、内审员培训、新员工入职培训、项目管理培训等；编制：李梅娜  批准：成玉民 2022.1.10</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查内部培训记录，提供有培训记录多份，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——抽2022.3.19培训题目：公司目标和方针的培训</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培训内容包括：</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1.公司的管理方针讲解；</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2.公司目标指标及各部门目标，考核办法的讲解。</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3.公司目标指标的完成要求。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有培训签到表，考核方式和成绩、培训有效性评价。培训有效。评价人：李梅娜   2022.3.19</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——抽新员工进场三级教育登记表，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姓 名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受教育课时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受教育内容：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李发通          5</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安全基本知识、法规、法制教育</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李发通          10</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岗位安全操作及班组安全制度，纪律教育</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另抽其他培训项目：内审员培训、管理制度及各部门文件控制与管理培训等，均进行了考核，符合要求；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另抽其他培训记录：其中质量员、施工员、安全员等均经过职业培训学校的培训</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企业的培训过程符合要求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人员及特种人员持证情况抽查如下：</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1、三证人员：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姓名  证书类别          有效期              证书编号</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成玉民  A本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2024.4.1           冀建安A（2021）0005657</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韩书康  C本            2024.3.22          冀建安C（2021）0002614</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2、抽查建造师证：</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李春燕</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二级建造师</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2024.5.23          冀213202139961       建筑工程</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3、抽人员持证情况：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李峰</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施工员（电气）</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2024.7.9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2101010300349240</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韩书康  施工员（电气）    2024.7.9      2101010300349228</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成朝旺  施工员（电气）    2024.7.9      2101010300349219</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高晓凯  施工员（电气）    2024.7.9      2101010300349227</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4、抽特殊工种及特种作业人员：</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刘卫朝  证书编号：T1306821990005252758   类别：低压电工       有效期：2021-12-10至2027-12-09</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韩书康  证书编号：T130124198908013613    类别：高压电工       有效期：2021-12-31至2027-12-30</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李帅    证书编号：T13068219930627271X    类别：焊接与热切割   有效期：2021-12-23至2027-12-22</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祝朝霞  证书编号：T130682199501022724    类别：焊接与热切割   有效期：2021-12-23至2027-12-22</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以上证书均在有效期内；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通过远程询问办公室人员企业的方针、目标，均能回答。</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办公室人员参与了体系建设，如编制管理规定、管理手册、程序文件等。</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办公室人员知晓个人的职能、在体系中承担的任务，不按体系规定执行的后果。</w:t>
            </w:r>
          </w:p>
        </w:tc>
        <w:tc>
          <w:tcPr>
            <w:tcW w:w="874" w:type="dxa"/>
          </w:tcPr>
          <w:p>
            <w:pP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沟通、</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员工协商和参与</w:t>
            </w:r>
          </w:p>
        </w:tc>
        <w:tc>
          <w:tcPr>
            <w:tcW w:w="836"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EO7.4</w:t>
            </w: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O5.4</w:t>
            </w:r>
          </w:p>
        </w:tc>
        <w:tc>
          <w:tcPr>
            <w:tcW w:w="11200"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●查企业制定了《沟通、参与和协商控制程序》，内容符合标准要求: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与负责人沟通：</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1、管理者代表负责与总经理就公司的管理体系的方针、目标、指标及体系运行的有效性进行协商、沟通和交流。</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2、办公室负责本程序的编制、修订；负责策划公司对内、对外环境和职业健康安全管理体系运行信息的协商、沟通和交流渠道。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3、各职能部门负责本职能部门业务范围内管理体系信息的协商、沟通和交流的实施，负责信息的接收、传递工作，并保存相关记录。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4、办公室负责本公司内部、外部信息的协商、沟通和交流；</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5、环境工程事业部负责施工期间与顾客及相关方的协商、沟通和信息交流，并保存相关记录。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6、环境工程事业部负责施工保修期内与顾客及相关方的协商、沟通和信息交流，并保存相关记录。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7、沟通对象：内部沟通的对象可能是相关区域和层级的管理者和其他员工，外部沟通的对象可能是利益相关方，包括顾客和主要供应商等。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8、沟通内容：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a、各项目</w:t>
            </w:r>
            <w:bookmarkStart w:id="0" w:name="_GoBack"/>
            <w:r>
              <w:rPr>
                <w:rFonts w:hint="eastAsia" w:ascii="Times New Roman" w:hAnsi="Times New Roman" w:eastAsia="宋体" w:cs="Times New Roman"/>
                <w:sz w:val="21"/>
                <w:szCs w:val="21"/>
                <w:lang w:val="en-US" w:eastAsia="zh-CN"/>
              </w:rPr>
              <w:t>现场</w:t>
            </w:r>
            <w:bookmarkEnd w:id="0"/>
            <w:r>
              <w:rPr>
                <w:rFonts w:hint="eastAsia" w:ascii="Times New Roman" w:hAnsi="Times New Roman" w:eastAsia="宋体" w:cs="Times New Roman"/>
                <w:sz w:val="21"/>
                <w:szCs w:val="21"/>
                <w:lang w:val="en-US" w:eastAsia="zh-CN"/>
              </w:rPr>
              <w:t>通过施工工地的安全标识、标牌及告知如严禁烟火、佩戴安全帽以及其他的安全施工的标识，向进入施工现场的外来人员沟通施工现场的职业健康安全管理的要求。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b、针对相关方通过合同、订单、相关方告知书等施加影响由环境工程事业部、项目部来具体实施。负责人介绍自体系运行以来，未发生过沟通不畅通情况。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沟通方式：电话、会议、信息联络单、通知、黑板报、宣传栏、培训、文件、记录传递、E-MAIL、QQ、微信等方式进行内外部沟通，各部门定期通过会议方式进行内部沟通，基本上每月一次例会，有相应会议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9、自体系运行以来，公司内外部沟通良好，未出现因为沟通不畅通而影响体系正常运行的情况。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●查见有；培训计划、内审计划、管理评审计划、职业健康安全事务代表任命书、管理者代表任命书、致相关方的信件等信息交流沟通记录。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●沟通的方式和实施情况基本符合要求尚未发生因交流、沟通不畅而导致体系运行受阻现象影响。</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全体员工大会选举，并公司任命李发通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tc>
        <w:tc>
          <w:tcPr>
            <w:tcW w:w="874" w:type="dxa"/>
          </w:tcPr>
          <w:p>
            <w:pP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运行控制</w:t>
            </w:r>
          </w:p>
        </w:tc>
        <w:tc>
          <w:tcPr>
            <w:tcW w:w="836"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EO8.1</w:t>
            </w:r>
          </w:p>
        </w:tc>
        <w:tc>
          <w:tcPr>
            <w:tcW w:w="11200"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室需执行的控制的文件包括：公司安全检查制度、驾驶员日常操作规程制度、对相关方施加影响控制理程序、职业健康安全运作控制程序、环境运作控制程、职工健康与劳动保护管理办法、节能降耗管理办法、污染物排放管理办法、消防管理办法、消防设备管理实施制度等各项管理制度。</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运行控制情况：提供了环境/职业健康安全管理体系运行检查表，检查内容包括：废水管理情况、废气粉尘管理情况、噪声管理情况、固废管理情况、用电情况、防护用品管理情况、安全防护设备管理情况、消防安全管理情况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节约能源：办公过程水、电资源的使用执行《节能降耗管理办法》，注意节约用电，做到人走灯灭，电脑长时间不用时关机，下班前要关闭电源。公司在日常办公时尽量减少纸张及办公用品的消耗。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废处置：办公区域产生的一般固废，执行《污染物排放管理办法》，按要求放到指定地点，查看无混放现象；提供了《固废处置记录》，废弃打印纸、报纸等定期卖给废品回收站，废弃的墨盒硒鼓交由办公用品提供商进行回收，经办人：李梅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办公用品按要求由办公室负责发放，作好记录，废弃的防疫物资设置了专用垃圾桶进行统一丢弃处理。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3.工作时间平均每天不超过8小时，公司为员工缴纳了保险，提供了完税证明。</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4.查看办公室及办公区电器设备、电器状态良好，废弃物无混放现象，无火灾、触电隐患，配置了灭火器，并每月检查一次。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5.办公楼内疏散通道有应急灯、疏散指示标志等设施。楼道内有消防栓、灭火器、烟感、报警装置等消防设施，室内配有烟感、喷淋装置，消防设施由天山科技园园区物业统一维护。</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6.提供了《劳保/防护用品台账》、《劳保用品发放记录》，公司为员工提供口罩、洗手液等劳动防护用品及卫生防疫物品，提供发放记录。施工人员发放了安全帽、工作服。办公室每天消毒。</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7.环境方面：办公区产生的污水主要为日常清洁，污水无外排情况。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气体排放：主要是日常打印和复印产生，量较小，直接排空处理。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噪声：办公活动无重大噪声。</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固废：固废分类定期处置，公司未发生垃圾乱扔现象。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8.安全方面：触电、火灾：定期检测用电办公设备和线路，发现故障及时修复，正确使用设备，防止触电、火灾发生，制定了消防预案并组织全体员工进行了演练。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交通事故：对员工进行交通安全的培训，上下班途中遵守交通规则，不违章，防止交通事故的发生。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疫情防护：园区保安负责所有进出园区人员扫码登记工作，办公人员每日上报体温，外出采购、办公、施工现场工作人员，全程注意防护，佩戴口罩，办公区域每天消毒。</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公司员工定期体检，了解身体健康状况。提供了员工体检报告，具体见附件。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办公区域的环境、职业健康安全的控制基本满足要求。</w:t>
            </w:r>
          </w:p>
        </w:tc>
        <w:tc>
          <w:tcPr>
            <w:tcW w:w="874" w:type="dxa"/>
          </w:tcPr>
          <w:p>
            <w:pP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应急准备及响应</w:t>
            </w:r>
          </w:p>
        </w:tc>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EO8.2</w:t>
            </w:r>
          </w:p>
        </w:tc>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编制了《潜在的事故和紧急情况一览表》，紧急情况有火灾事故、触电事故、物体打击、机械伤害等。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应急救援预案》，有触电安全事应急救援预案、物体打击事故应急救援预案、机械伤害应急救援预案、火灾爆炸应急救援预案；查看企业办公区域张贴了高新区政府发放的新冠肺炎专项应急预案和关于企业疫情防控措施及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公司在策划应急响应时，应考虑有关相关方的需求，如应急服务机构、相邻组织或居民等。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办公楼内物业配备了消防栓、灭火器、报警装置等消防设施。配备了急救药箱和防疫物资。</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施工现场配备了灭火器。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公司定期评审其应急准备和响应程序，必要时对其进行修订。特别是在事故、事件、紧急情况发生后进行。</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提供了《应急演练计划》《应急响应演练记录一览表》和演习记录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——抽2022年3月20日进行了触电事故应急演练，组织部门办公室，参加人员：各部门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演习目的：提高员工的安全意识；提高员工在触电安全事故时的救护能力培训员工对发生重大伤害时的应对能力。演练记录详细记录了触电发生的时间、地点、处置过程，记录人：李梅娜。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演练结束后进行了总结，并对应急预案有效性、物资配备情况、协调组织能力，实战效果进行了评价，应急预案满足要求，总结：本次应急演练完成较好，评价人：李梅娜。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——2022年6月15日在公司外空地进行了火灾应急演练，有演练记录，演练人员签到，演练结束后进行了总结，对应急预案有效性进行了评审。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——2022年4月19日在公司外空地进行了物体打击事故应急，有演练记录，演练人员签到，演练结束后进行了总结，对应急预案有效性进行了评审。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另查其他机械伤害演练记录，演练前前对相关人员进行了培训，记录中记录了紧急情况发生的时间、地点、人员、处置措施等内容。演练后有对演练应急情况及预案适宜性的评价，评价结果：公司的应急预案满足要求，不需修改。</w:t>
            </w:r>
          </w:p>
        </w:tc>
        <w:tc>
          <w:tcPr>
            <w:tcW w:w="0" w:type="auto"/>
          </w:tcPr>
          <w:p>
            <w:pP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监视和测量</w:t>
            </w:r>
          </w:p>
        </w:tc>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9.1.1</w:t>
            </w:r>
          </w:p>
        </w:tc>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编制了《绩效监测与测量控制程序》，通过以下几种方式对环境、职业健康安全绩效进行监视和测量：</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●该公司对管理体系过程进行监视和测量的方法包括：内审、管理评审、目标考核、过程的监视和测量检查等。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内审、管理评审、目标考核详见9.2/9.3/6.2的审核记录.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每季度进行一次过程的监视和测量的检查，发现问题立即整改。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●日常监督检查：管代负责对各部门的行为进行不定期的巡检。巡检内容包括：办公现场管理情况、防护用品的使用情况、消防设施状况等。对发现的问题提出整改要求，责任部门整改，办公室验证整改效果。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●环境绩效监测：</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一般固废（废纸张等），按规定收集，卖给废品收购站。</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工程施工现场产生的固废分类存放，定期清理。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自体系建立以来没有发生过环境污染事故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●职业健康安全监测：</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主动监测：职业健康安全目标指标：已完成。</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每年为一线员工安排体检，提供了员工体检报告，详见附件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详情见附件。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自体系建立以来没有发生过安全事故。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●监测设备：公司暂无环境、职业健康安全监测设备。</w:t>
            </w:r>
          </w:p>
        </w:tc>
        <w:tc>
          <w:tcPr>
            <w:tcW w:w="0" w:type="auto"/>
          </w:tcPr>
          <w:p>
            <w:pP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合规性评价</w:t>
            </w:r>
          </w:p>
        </w:tc>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9.1.2</w:t>
            </w:r>
          </w:p>
        </w:tc>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●编制了《合规性评价控制程序》，组织进行了合规性评价。</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查见《法律法规合规性评价记录表》，对其适用的法律法规的实施情况进行了评价，按要求执行，合规。</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查见《2022年合规性的评价告》，评审时间： 2022.6.5</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参加人员：成玉民、李梅娜、李春燕、魏卫红、李发通、祝亚峰、王占同</w:t>
            </w: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次合规性评价对公司及各安装现场的环境和职业健康安全管理体系运行情况进行了检查，此次环境和职业健康安全法律、法规符合性评价涉及粉尘排放；噪声排放；固体废弃物排放；能（资）源使用；安全管理；道路交通安全管理；消防安全管理；临时用电安全管理；劳动防护与职业健康安全等内容，对具体控制情况及遵守法律法规情况进行了总结，结论：从本年度检查的结果来看，我公司没有违反国家法律、法规及相关标准，能严格遵守国家有关环境和职业健康安全管理方面的相关规定，密切关注法律法规的变化，并适时调整，严格按体系标准执行。公司和项目部都能够有效遵循法律法规进行施工，未发生重大安全生产事故，未发生环境扰民事件，无环境污染事件发生，未发生尘肺病、传染病及其他卫生防疫问题事件，无个人或单位投诉。各项目的环境和职业健康安全管理行为符合法律法规和标准要求，对于合规性评价分析所发现的薄弱环节，公司和所在项目部将制定改进措施，以持续改进公司和项目的安全管理绩效。对在合规性证据收集过程中发现的个别不符合，各项目部均能够及时组织力量进行原因分析，制定纠正和预防措施，并积极开展纠偏活动。通过对纠偏结果的考核，表明纠正措施制订是适宜的，执行结果是有效的。对公司的环保意识和环境管理水平的提高起到了明显的促进作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编制：李梅娜  2022.6.5   批准：成玉民  2022.6.5      </w:t>
            </w:r>
          </w:p>
        </w:tc>
        <w:tc>
          <w:tcPr>
            <w:tcW w:w="0" w:type="auto"/>
          </w:tcPr>
          <w:p>
            <w:pP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内部审核</w:t>
            </w:r>
          </w:p>
        </w:tc>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EO9.2</w:t>
            </w:r>
          </w:p>
        </w:tc>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●执行《内部审核控制程序》，对内部审核方案策划规定：内审每年进行一次，按部门/过程审核。管代介绍内审的安排和做法，与程序文件“内部审核程序”相符。</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●查内审：</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1、提供了《2022年度内部审核计划》，内审员：李梅娜、李发通，内审员经过了任命，提供了《任命书》，内部审核计划涉及了所有部门及相关过程。计划编制时间：2022.6.5</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2、提供了《2022年内部审核实施计划》，计划编制合理，内审员没有审核自己部门工作，无遗漏条款现象。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2022年6月18-19日组织实施了内审，提供了《内审首/末次会议记录》，记录了会议主要内容，有参会人员签到。</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查审核记录《2022年三体系内审检查表》，通过询问、现场查看、查阅资料等形式进行，在审核过程中内审员没有审核自己的部门，保证了审核的客观性和公正性。审核范围覆盖了体系所要求的部门及相关活动，审核活动符合审核策划的要求。内审条款无遗漏，审核内容基本符合规定。提供了内审首/末次会议记录，有各部门签到，记录了会议主要内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4、提供了《内部审核报告》，审核结论：本组织质量、建工、环境和职业健康安全管理体系基本符合计划安排和标准的要求，并得到了较有效实施和保持，仍需进一步改进。</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5、提供了《不符合报告纠正措施记录表》，本次内审提出不符合项1项，不符合分布在项目部（不符合GB/T19001-2016 8.6及GB/T50430-2017标准11.2.2条款的规定），不符合事实描述准确；进行了原因分析并制定了纠正措施，纠正措施已实施。纠正措施验证人：李梅娜 日期：2022.6.22</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内审员基本清楚内审流程和方法，提供了内审员培训记录，审核员没有审核自己部门工作，具有独立性。</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内审符合要求。</w:t>
            </w:r>
          </w:p>
        </w:tc>
        <w:tc>
          <w:tcPr>
            <w:tcW w:w="0" w:type="auto"/>
          </w:tcPr>
          <w:p>
            <w:pP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不符合和纠正措施</w:t>
            </w:r>
          </w:p>
          <w:p>
            <w:pPr>
              <w:rPr>
                <w:rFonts w:hint="eastAsia" w:ascii="Times New Roman" w:hAnsi="Times New Roman" w:eastAsia="宋体" w:cs="Times New Roman"/>
                <w:sz w:val="21"/>
                <w:szCs w:val="21"/>
                <w:lang w:val="en-US" w:eastAsia="zh-CN"/>
              </w:rPr>
            </w:pPr>
          </w:p>
        </w:tc>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w:t>
            </w:r>
          </w:p>
        </w:tc>
        <w:tc>
          <w:tcPr>
            <w:tcW w:w="0" w:type="auto"/>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公司执行《不合格产品、不符合过程、事件及纠正与预防措施控制程序》，对事故事件报告、调查、处理等以及纠正措施制定、实施、验证作了规定，其内容符合标准及组织实际要求。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查纠正措施实施情况：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对内审中提出不合格项进行了原因分析,并制定、实施了纠正措施，并由内审员对所采取的纠正措施进行了验证，纠正措施有效；</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管理评审中发现的薄弱环节，分析了原因，采取了纠正措施。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对日常工作检查，业绩考评，客户满意度调查发现的不符合及时采取纠正，防止事态发展，进行原因分析，采取必要的纠正预防措施，防止事件的发生、再发生。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施工过程产生的不合格分别由工程部和项目人员登记并分析原因，制定措施避免再发生。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0" w:type="auto"/>
          </w:tcPr>
          <w:p>
            <w:pPr>
              <w:rPr>
                <w:rFonts w:hint="default" w:ascii="Times New Roman" w:hAnsi="Times New Roman" w:eastAsia="宋体" w:cs="Times New Roman"/>
                <w:sz w:val="21"/>
                <w:szCs w:val="21"/>
                <w:lang w:val="en-US" w:eastAsia="zh-CN"/>
              </w:rPr>
            </w:pPr>
          </w:p>
        </w:tc>
      </w:tr>
    </w:tbl>
    <w:p>
      <w:pPr>
        <w:jc w:val="both"/>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5088610A"/>
    <w:rsid w:val="52B21364"/>
    <w:rsid w:val="59A50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szCs w:val="24"/>
    </w:rPr>
  </w:style>
  <w:style w:type="paragraph" w:styleId="4">
    <w:name w:val="Body Text"/>
    <w:basedOn w:val="1"/>
    <w:next w:val="3"/>
    <w:qFormat/>
    <w:uiPriority w:val="0"/>
    <w:pPr>
      <w:adjustRightInd w:val="0"/>
      <w:spacing w:line="312" w:lineRule="atLeast"/>
      <w:jc w:val="right"/>
    </w:pPr>
  </w:style>
  <w:style w:type="paragraph" w:styleId="5">
    <w:name w:val="Body Text Indent"/>
    <w:basedOn w:val="1"/>
    <w:qFormat/>
    <w:uiPriority w:val="0"/>
    <w:pPr>
      <w:spacing w:line="440" w:lineRule="exact"/>
      <w:ind w:firstLine="552" w:firstLineChars="230"/>
    </w:pPr>
    <w:rPr>
      <w:rFonts w:ascii="宋体" w:hAnsi="宋体"/>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8</TotalTime>
  <ScaleCrop>false</ScaleCrop>
  <LinksUpToDate>false</LinksUpToDate>
  <CharactersWithSpaces>101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2022-09-02T08:30:29Z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