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p>
      <w:pPr>
        <w:rPr>
          <w:rFonts w:hint="eastAsia" w:ascii="隶书" w:hAnsi="宋体" w:eastAsia="隶书"/>
          <w:bCs/>
          <w:color w:val="000000"/>
          <w:sz w:val="36"/>
          <w:szCs w:val="36"/>
        </w:rPr>
      </w:pP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360" w:lineRule="auto"/>
              <w:jc w:val="center"/>
              <w:rPr>
                <w:rFonts w:hint="eastAsia" w:ascii="宋体" w:hAnsi="宋体" w:eastAsia="宋体" w:cs="宋体"/>
                <w:sz w:val="21"/>
                <w:szCs w:val="21"/>
              </w:rPr>
            </w:pPr>
            <w:r>
              <w:rPr>
                <w:rFonts w:hint="eastAsia" w:ascii="宋体" w:hAnsi="宋体" w:eastAsia="宋体" w:cs="宋体"/>
                <w:sz w:val="21"/>
                <w:szCs w:val="21"/>
              </w:rPr>
              <w:t>过程与活动、</w:t>
            </w:r>
          </w:p>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抽样计划</w:t>
            </w:r>
          </w:p>
        </w:tc>
        <w:tc>
          <w:tcPr>
            <w:tcW w:w="960" w:type="dxa"/>
            <w:vMerge w:val="restar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涉及</w:t>
            </w:r>
          </w:p>
          <w:p>
            <w:pPr>
              <w:spacing w:line="360" w:lineRule="auto"/>
              <w:rPr>
                <w:rFonts w:hint="eastAsia" w:ascii="宋体" w:hAnsi="宋体" w:eastAsia="宋体" w:cs="宋体"/>
                <w:sz w:val="21"/>
                <w:szCs w:val="21"/>
              </w:rPr>
            </w:pPr>
            <w:r>
              <w:rPr>
                <w:rFonts w:hint="eastAsia" w:ascii="宋体" w:hAnsi="宋体" w:eastAsia="宋体" w:cs="宋体"/>
                <w:sz w:val="21"/>
                <w:szCs w:val="21"/>
              </w:rPr>
              <w:t>条款</w:t>
            </w:r>
          </w:p>
        </w:tc>
        <w:tc>
          <w:tcPr>
            <w:tcW w:w="10004" w:type="dxa"/>
            <w:vAlign w:val="center"/>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受审核部门：生产管理室</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主管领导：</w:t>
            </w:r>
            <w:r>
              <w:rPr>
                <w:rFonts w:hint="eastAsia" w:ascii="宋体" w:hAnsi="宋体" w:eastAsia="宋体" w:cs="宋体"/>
                <w:sz w:val="21"/>
                <w:szCs w:val="21"/>
                <w:lang w:val="en-US" w:eastAsia="zh-CN"/>
              </w:rPr>
              <w:t xml:space="preserve">吕回涛    </w:t>
            </w:r>
            <w:r>
              <w:rPr>
                <w:rFonts w:hint="eastAsia" w:ascii="宋体" w:hAnsi="宋体" w:eastAsia="宋体" w:cs="宋体"/>
                <w:sz w:val="21"/>
                <w:szCs w:val="21"/>
              </w:rPr>
              <w:t>陪同人员：</w:t>
            </w:r>
            <w:r>
              <w:rPr>
                <w:rFonts w:hint="eastAsia" w:ascii="宋体" w:hAnsi="宋体" w:eastAsia="宋体" w:cs="宋体"/>
                <w:sz w:val="21"/>
                <w:szCs w:val="21"/>
                <w:lang w:val="en-US" w:eastAsia="zh-CN"/>
              </w:rPr>
              <w:t>毛润天</w:t>
            </w:r>
          </w:p>
        </w:tc>
        <w:tc>
          <w:tcPr>
            <w:tcW w:w="1585" w:type="dxa"/>
            <w:vMerge w:val="restar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rPr>
                <w:rFonts w:hint="eastAsia" w:ascii="宋体" w:hAnsi="宋体" w:eastAsia="宋体" w:cs="宋体"/>
                <w:sz w:val="21"/>
                <w:szCs w:val="21"/>
              </w:rPr>
            </w:pPr>
          </w:p>
        </w:tc>
        <w:tc>
          <w:tcPr>
            <w:tcW w:w="960" w:type="dxa"/>
            <w:vMerge w:val="continue"/>
            <w:vAlign w:val="center"/>
          </w:tcPr>
          <w:p>
            <w:pPr>
              <w:spacing w:line="360" w:lineRule="auto"/>
              <w:rPr>
                <w:rFonts w:hint="eastAsia" w:ascii="宋体" w:hAnsi="宋体" w:eastAsia="宋体" w:cs="宋体"/>
                <w:sz w:val="21"/>
                <w:szCs w:val="21"/>
              </w:rPr>
            </w:pPr>
          </w:p>
        </w:tc>
        <w:tc>
          <w:tcPr>
            <w:tcW w:w="10004" w:type="dxa"/>
            <w:vAlign w:val="center"/>
          </w:tcPr>
          <w:p>
            <w:pPr>
              <w:spacing w:before="120" w:line="360" w:lineRule="auto"/>
              <w:rPr>
                <w:rFonts w:hint="eastAsia" w:ascii="宋体" w:hAnsi="宋体" w:eastAsia="宋体" w:cs="宋体"/>
                <w:sz w:val="21"/>
                <w:szCs w:val="21"/>
              </w:rPr>
            </w:pPr>
            <w:r>
              <w:rPr>
                <w:rFonts w:hint="eastAsia" w:ascii="宋体" w:hAnsi="宋体" w:eastAsia="宋体" w:cs="宋体"/>
                <w:sz w:val="21"/>
                <w:szCs w:val="21"/>
              </w:rPr>
              <w:t>审核员：</w:t>
            </w:r>
            <w:r>
              <w:rPr>
                <w:rFonts w:hint="eastAsia" w:ascii="宋体" w:hAnsi="宋体" w:eastAsia="宋体" w:cs="宋体"/>
                <w:sz w:val="21"/>
                <w:szCs w:val="21"/>
                <w:lang w:val="en-US" w:eastAsia="zh-CN"/>
              </w:rPr>
              <w:t xml:space="preserve">李俐   </w:t>
            </w:r>
            <w:r>
              <w:rPr>
                <w:rFonts w:hint="eastAsia" w:ascii="宋体" w:hAnsi="宋体" w:eastAsia="宋体" w:cs="宋体"/>
                <w:sz w:val="21"/>
                <w:szCs w:val="21"/>
              </w:rPr>
              <w:t>审核时间：</w:t>
            </w:r>
            <w:bookmarkStart w:id="0" w:name="审核日期"/>
            <w:r>
              <w:rPr>
                <w:rFonts w:hint="eastAsia" w:ascii="宋体" w:hAnsi="宋体" w:eastAsia="宋体" w:cs="宋体"/>
                <w:sz w:val="21"/>
                <w:szCs w:val="21"/>
              </w:rPr>
              <w:t xml:space="preserve">2022年08月19日 </w:t>
            </w:r>
            <w:bookmarkEnd w:id="0"/>
          </w:p>
        </w:tc>
        <w:tc>
          <w:tcPr>
            <w:tcW w:w="1585" w:type="dxa"/>
            <w:vMerge w:val="continue"/>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rPr>
                <w:rFonts w:hint="eastAsia" w:ascii="宋体" w:hAnsi="宋体" w:eastAsia="宋体" w:cs="宋体"/>
                <w:sz w:val="21"/>
                <w:szCs w:val="21"/>
              </w:rPr>
            </w:pPr>
          </w:p>
        </w:tc>
        <w:tc>
          <w:tcPr>
            <w:tcW w:w="960" w:type="dxa"/>
            <w:vMerge w:val="continue"/>
            <w:vAlign w:val="center"/>
          </w:tcPr>
          <w:p>
            <w:pPr>
              <w:spacing w:line="360" w:lineRule="auto"/>
              <w:rPr>
                <w:rFonts w:hint="eastAsia" w:ascii="宋体" w:hAnsi="宋体" w:eastAsia="宋体" w:cs="宋体"/>
                <w:sz w:val="21"/>
                <w:szCs w:val="21"/>
              </w:rPr>
            </w:pPr>
          </w:p>
        </w:tc>
        <w:tc>
          <w:tcPr>
            <w:tcW w:w="10004" w:type="dxa"/>
            <w:vAlign w:val="center"/>
          </w:tcPr>
          <w:p>
            <w:pPr>
              <w:spacing w:line="360" w:lineRule="auto"/>
              <w:jc w:val="left"/>
              <w:rPr>
                <w:rFonts w:hint="eastAsia" w:ascii="宋体" w:hAnsi="宋体" w:eastAsia="宋体" w:cs="宋体"/>
                <w:sz w:val="21"/>
                <w:szCs w:val="21"/>
                <w:lang w:val="en-US" w:eastAsia="zh-CN"/>
              </w:rPr>
            </w:pPr>
            <w:r>
              <w:rPr>
                <w:rFonts w:hint="eastAsia" w:ascii="宋体" w:hAnsi="宋体" w:eastAsia="宋体" w:cs="宋体"/>
                <w:sz w:val="21"/>
                <w:szCs w:val="21"/>
              </w:rPr>
              <w:t>审核条款：</w:t>
            </w:r>
          </w:p>
          <w:p>
            <w:pPr>
              <w:pStyle w:val="2"/>
              <w:spacing w:line="360" w:lineRule="auto"/>
              <w:rPr>
                <w:rFonts w:hint="eastAsia" w:ascii="宋体" w:hAnsi="宋体" w:eastAsia="宋体" w:cs="宋体"/>
                <w:sz w:val="21"/>
                <w:szCs w:val="21"/>
              </w:rPr>
            </w:pPr>
            <w:r>
              <w:rPr>
                <w:rFonts w:hint="eastAsia" w:ascii="宋体" w:hAnsi="宋体" w:eastAsia="宋体" w:cs="宋体"/>
                <w:sz w:val="21"/>
                <w:szCs w:val="21"/>
              </w:rPr>
              <w:t>5.3组织的岗位、职责和权限、6.2质量目标、7.1.3基础设施，7.1.4过程运行环境、8.1运行策划和控制、8.3产品和服务的设计和开发不适用确认、8.5.1生产和服务提供的控制、8.5.2产品标识和可追朔性、8.5.4产品防护、8.5.6生产和服务提供的更改控制，</w:t>
            </w:r>
          </w:p>
        </w:tc>
        <w:tc>
          <w:tcPr>
            <w:tcW w:w="1585" w:type="dxa"/>
            <w:vMerge w:val="continue"/>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组织的岗位、职责和权限</w:t>
            </w:r>
          </w:p>
        </w:tc>
        <w:tc>
          <w:tcPr>
            <w:tcW w:w="960" w:type="dxa"/>
            <w:vAlign w:val="top"/>
          </w:tcPr>
          <w:p>
            <w:pPr>
              <w:spacing w:line="360" w:lineRule="auto"/>
              <w:rPr>
                <w:rFonts w:hint="eastAsia" w:ascii="宋体" w:hAnsi="宋体" w:eastAsia="宋体" w:cs="宋体"/>
                <w:sz w:val="21"/>
                <w:szCs w:val="21"/>
              </w:rPr>
            </w:pPr>
          </w:p>
          <w:p>
            <w:pPr>
              <w:spacing w:line="360" w:lineRule="auto"/>
              <w:rPr>
                <w:rFonts w:hint="eastAsia" w:ascii="宋体" w:hAnsi="宋体" w:eastAsia="宋体" w:cs="宋体"/>
                <w:sz w:val="21"/>
                <w:szCs w:val="21"/>
              </w:rPr>
            </w:pPr>
          </w:p>
          <w:p>
            <w:pPr>
              <w:spacing w:line="360" w:lineRule="auto"/>
              <w:rPr>
                <w:rFonts w:hint="eastAsia" w:ascii="宋体" w:hAnsi="宋体" w:eastAsia="宋体" w:cs="宋体"/>
                <w:sz w:val="21"/>
                <w:szCs w:val="21"/>
              </w:rPr>
            </w:pPr>
            <w:r>
              <w:rPr>
                <w:rFonts w:hint="eastAsia" w:ascii="宋体" w:hAnsi="宋体" w:eastAsia="宋体" w:cs="宋体"/>
                <w:sz w:val="21"/>
                <w:szCs w:val="21"/>
              </w:rPr>
              <w:t>5.3</w:t>
            </w:r>
          </w:p>
        </w:tc>
        <w:tc>
          <w:tcPr>
            <w:tcW w:w="10004" w:type="dxa"/>
            <w:vAlign w:val="top"/>
          </w:tcPr>
          <w:p>
            <w:pPr>
              <w:spacing w:line="360" w:lineRule="auto"/>
              <w:ind w:firstLine="371" w:firstLineChars="177"/>
              <w:jc w:val="left"/>
              <w:rPr>
                <w:rFonts w:hint="eastAsia" w:ascii="宋体" w:hAnsi="宋体" w:eastAsia="宋体" w:cs="宋体"/>
                <w:sz w:val="21"/>
                <w:szCs w:val="21"/>
              </w:rPr>
            </w:pPr>
            <w:r>
              <w:rPr>
                <w:rFonts w:hint="eastAsia" w:ascii="宋体" w:hAnsi="宋体" w:eastAsia="宋体" w:cs="宋体"/>
                <w:sz w:val="21"/>
                <w:szCs w:val="21"/>
              </w:rPr>
              <w:t>生产管理室主要作用、职责和权限包括:</w:t>
            </w:r>
            <w:r>
              <w:rPr>
                <w:rFonts w:hint="eastAsia" w:ascii="宋体" w:hAnsi="宋体" w:eastAsia="宋体" w:cs="宋体"/>
                <w:kern w:val="0"/>
                <w:sz w:val="21"/>
                <w:szCs w:val="21"/>
              </w:rPr>
              <w:t xml:space="preserve"> 负责销售、采购、外包合同管理及合同评审工作；负责供方的评定和采购实施工作； 负责产品交付和售后服务工作；负责外部质量信息的收集、分析、处理及传递，建立顾客服务档案；对产品的使用情况进行调查和考核；定期组织顾客访问，开展顾客满意程度调查评价工作； 制定生产计划，开展生产调度，组织产品的生产制造过程；组织召开生产调度会议，负责会议决议执行情况的监督和检查；负责工位器具的管理工作；妥善保存生产过程的原始记录；负责制造厂的工作环境管理。</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生产管理室</w:t>
            </w:r>
            <w:r>
              <w:rPr>
                <w:rFonts w:hint="eastAsia" w:ascii="宋体" w:hAnsi="宋体" w:eastAsia="宋体" w:cs="宋体"/>
                <w:sz w:val="21"/>
                <w:szCs w:val="21"/>
                <w:lang w:val="en-US" w:eastAsia="zh-CN"/>
              </w:rPr>
              <w:t>负责人吕回涛</w:t>
            </w:r>
            <w:r>
              <w:rPr>
                <w:rFonts w:hint="eastAsia" w:ascii="宋体" w:hAnsi="宋体" w:eastAsia="宋体" w:cs="宋体"/>
                <w:sz w:val="21"/>
                <w:szCs w:val="21"/>
              </w:rPr>
              <w:t>上述作用和职责、权限基本得到有效沟通和实施。</w:t>
            </w:r>
          </w:p>
        </w:tc>
        <w:tc>
          <w:tcPr>
            <w:tcW w:w="1585" w:type="dxa"/>
          </w:tcPr>
          <w:p>
            <w:pPr>
              <w:spacing w:line="36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2160" w:type="dxa"/>
            <w:vAlign w:val="center"/>
          </w:tcPr>
          <w:p>
            <w:pPr>
              <w:spacing w:line="360" w:lineRule="auto"/>
              <w:ind w:firstLine="371" w:firstLineChars="177"/>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目标 </w:t>
            </w:r>
          </w:p>
        </w:tc>
        <w:tc>
          <w:tcPr>
            <w:tcW w:w="960" w:type="dxa"/>
            <w:vAlign w:val="center"/>
          </w:tcPr>
          <w:p>
            <w:pPr>
              <w:spacing w:line="360" w:lineRule="auto"/>
              <w:jc w:val="left"/>
              <w:rPr>
                <w:rFonts w:hint="eastAsia" w:ascii="宋体" w:hAnsi="宋体" w:eastAsia="宋体" w:cs="宋体"/>
                <w:kern w:val="0"/>
                <w:sz w:val="21"/>
                <w:szCs w:val="21"/>
              </w:rPr>
            </w:pPr>
            <w:r>
              <w:rPr>
                <w:rFonts w:hint="eastAsia" w:ascii="宋体" w:hAnsi="宋体" w:eastAsia="宋体" w:cs="宋体"/>
                <w:kern w:val="0"/>
                <w:sz w:val="21"/>
                <w:szCs w:val="21"/>
              </w:rPr>
              <w:t>6.2</w:t>
            </w:r>
          </w:p>
        </w:tc>
        <w:tc>
          <w:tcPr>
            <w:tcW w:w="10004" w:type="dxa"/>
          </w:tcPr>
          <w:p>
            <w:pPr>
              <w:spacing w:line="360" w:lineRule="auto"/>
              <w:rPr>
                <w:rFonts w:hint="eastAsia" w:ascii="宋体" w:hAnsi="宋体" w:eastAsia="宋体" w:cs="宋体"/>
                <w:sz w:val="18"/>
                <w:szCs w:val="18"/>
                <w:lang w:eastAsia="zh-CN"/>
              </w:rPr>
            </w:pPr>
            <w:r>
              <w:rPr>
                <w:rFonts w:hint="eastAsia" w:ascii="宋体" w:hAnsi="宋体" w:eastAsia="宋体" w:cs="宋体"/>
                <w:sz w:val="18"/>
                <w:szCs w:val="18"/>
              </w:rPr>
              <w:t>部门目标</w:t>
            </w:r>
            <w:r>
              <w:rPr>
                <w:rFonts w:hint="eastAsia" w:ascii="宋体" w:hAnsi="宋体" w:eastAsia="宋体" w:cs="宋体"/>
                <w:sz w:val="18"/>
                <w:szCs w:val="18"/>
                <w:lang w:eastAsia="zh-CN"/>
              </w:rPr>
              <w:t>：</w:t>
            </w:r>
          </w:p>
          <w:tbl>
            <w:tblPr>
              <w:tblStyle w:val="7"/>
              <w:tblW w:w="6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665"/>
              <w:gridCol w:w="1073"/>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6" w:type="dxa"/>
                </w:tcPr>
                <w:p>
                  <w:pPr>
                    <w:spacing w:line="220" w:lineRule="atLeast"/>
                    <w:jc w:val="center"/>
                    <w:rPr>
                      <w:rFonts w:hint="eastAsia" w:ascii="宋体" w:hAnsi="宋体" w:eastAsia="宋体" w:cs="宋体"/>
                      <w:sz w:val="21"/>
                      <w:szCs w:val="21"/>
                    </w:rPr>
                  </w:pPr>
                  <w:r>
                    <w:rPr>
                      <w:rFonts w:hint="eastAsia" w:ascii="宋体" w:hAnsi="宋体" w:eastAsia="宋体" w:cs="宋体"/>
                      <w:sz w:val="21"/>
                      <w:szCs w:val="21"/>
                    </w:rPr>
                    <w:t>部门</w:t>
                  </w:r>
                </w:p>
              </w:tc>
              <w:tc>
                <w:tcPr>
                  <w:tcW w:w="3738" w:type="dxa"/>
                  <w:gridSpan w:val="2"/>
                </w:tcPr>
                <w:p>
                  <w:pPr>
                    <w:spacing w:line="220" w:lineRule="atLeast"/>
                    <w:jc w:val="center"/>
                    <w:rPr>
                      <w:rFonts w:hint="eastAsia" w:ascii="宋体" w:hAnsi="宋体" w:eastAsia="宋体" w:cs="宋体"/>
                      <w:sz w:val="21"/>
                      <w:szCs w:val="21"/>
                    </w:rPr>
                  </w:pPr>
                  <w:r>
                    <w:rPr>
                      <w:rFonts w:hint="eastAsia" w:ascii="宋体" w:hAnsi="宋体" w:eastAsia="宋体" w:cs="宋体"/>
                      <w:sz w:val="21"/>
                      <w:szCs w:val="21"/>
                    </w:rPr>
                    <w:t>目标</w:t>
                  </w:r>
                </w:p>
              </w:tc>
              <w:tc>
                <w:tcPr>
                  <w:tcW w:w="1850" w:type="dxa"/>
                </w:tcPr>
                <w:p>
                  <w:pPr>
                    <w:spacing w:line="220" w:lineRule="atLeast"/>
                    <w:jc w:val="center"/>
                    <w:rPr>
                      <w:rFonts w:hint="eastAsia" w:ascii="宋体" w:hAnsi="宋体" w:eastAsia="宋体" w:cs="宋体"/>
                      <w:sz w:val="21"/>
                      <w:szCs w:val="21"/>
                    </w:rPr>
                  </w:pPr>
                  <w:r>
                    <w:rPr>
                      <w:rFonts w:hint="eastAsia" w:ascii="宋体" w:hAnsi="宋体" w:eastAsia="宋体" w:cs="宋体"/>
                      <w:sz w:val="21"/>
                      <w:szCs w:val="21"/>
                    </w:rPr>
                    <w:t>考核结果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6" w:type="dxa"/>
                  <w:vMerge w:val="restart"/>
                </w:tcPr>
                <w:p>
                  <w:pPr>
                    <w:spacing w:line="220" w:lineRule="atLeast"/>
                    <w:jc w:val="center"/>
                    <w:rPr>
                      <w:rFonts w:hint="eastAsia" w:ascii="宋体" w:hAnsi="宋体" w:eastAsia="宋体" w:cs="宋体"/>
                      <w:sz w:val="21"/>
                      <w:szCs w:val="21"/>
                    </w:rPr>
                  </w:pPr>
                  <w:r>
                    <w:rPr>
                      <w:rFonts w:hint="eastAsia" w:ascii="宋体" w:hAnsi="宋体" w:eastAsia="宋体" w:cs="宋体"/>
                      <w:sz w:val="21"/>
                      <w:szCs w:val="21"/>
                    </w:rPr>
                    <w:t>生产管理室</w:t>
                  </w:r>
                </w:p>
              </w:tc>
              <w:tc>
                <w:tcPr>
                  <w:tcW w:w="2665" w:type="dxa"/>
                  <w:vAlign w:val="center"/>
                </w:tcPr>
                <w:p>
                  <w:pPr>
                    <w:spacing w:line="300" w:lineRule="exact"/>
                    <w:rPr>
                      <w:rFonts w:hint="eastAsia" w:ascii="宋体" w:hAnsi="宋体" w:eastAsia="宋体" w:cs="宋体"/>
                      <w:sz w:val="21"/>
                      <w:szCs w:val="21"/>
                    </w:rPr>
                  </w:pPr>
                  <w:r>
                    <w:rPr>
                      <w:rFonts w:hint="eastAsia" w:ascii="宋体" w:hAnsi="宋体" w:eastAsia="宋体" w:cs="宋体"/>
                      <w:spacing w:val="-6"/>
                      <w:sz w:val="21"/>
                      <w:szCs w:val="21"/>
                    </w:rPr>
                    <w:t>1.生产计划完成率</w:t>
                  </w:r>
                </w:p>
              </w:tc>
              <w:tc>
                <w:tcPr>
                  <w:tcW w:w="1073" w:type="dxa"/>
                </w:tcPr>
                <w:p>
                  <w:pPr>
                    <w:rPr>
                      <w:rFonts w:hint="eastAsia" w:ascii="宋体" w:hAnsi="宋体" w:eastAsia="宋体" w:cs="宋体"/>
                      <w:sz w:val="21"/>
                      <w:szCs w:val="21"/>
                    </w:rPr>
                  </w:pPr>
                  <w:r>
                    <w:rPr>
                      <w:rFonts w:hint="eastAsia" w:ascii="宋体" w:hAnsi="宋体" w:eastAsia="宋体" w:cs="宋体"/>
                      <w:sz w:val="21"/>
                      <w:szCs w:val="21"/>
                    </w:rPr>
                    <w:t>100%；</w:t>
                  </w:r>
                </w:p>
              </w:tc>
              <w:tc>
                <w:tcPr>
                  <w:tcW w:w="1850" w:type="dxa"/>
                  <w:vAlign w:val="center"/>
                </w:tcPr>
                <w:p>
                  <w:pPr>
                    <w:spacing w:line="300" w:lineRule="exact"/>
                    <w:jc w:val="center"/>
                    <w:rPr>
                      <w:rFonts w:hint="eastAsia" w:ascii="宋体" w:hAnsi="宋体" w:eastAsia="宋体" w:cs="宋体"/>
                      <w:sz w:val="21"/>
                      <w:szCs w:val="21"/>
                    </w:rPr>
                  </w:pPr>
                  <w:r>
                    <w:rPr>
                      <w:rFonts w:hint="eastAsia" w:ascii="宋体" w:hAnsi="宋体" w:eastAsia="宋体" w:cs="宋体"/>
                      <w:color w:val="00000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6" w:type="dxa"/>
                  <w:vMerge w:val="continue"/>
                </w:tcPr>
                <w:p>
                  <w:pPr>
                    <w:spacing w:line="220" w:lineRule="atLeast"/>
                    <w:jc w:val="center"/>
                    <w:rPr>
                      <w:rFonts w:hint="eastAsia" w:ascii="宋体" w:hAnsi="宋体" w:eastAsia="宋体" w:cs="宋体"/>
                      <w:sz w:val="21"/>
                      <w:szCs w:val="21"/>
                    </w:rPr>
                  </w:pPr>
                </w:p>
              </w:tc>
              <w:tc>
                <w:tcPr>
                  <w:tcW w:w="2665" w:type="dxa"/>
                  <w:vAlign w:val="center"/>
                </w:tcPr>
                <w:p>
                  <w:pPr>
                    <w:tabs>
                      <w:tab w:val="left" w:pos="1305"/>
                    </w:tabs>
                    <w:rPr>
                      <w:rFonts w:hint="eastAsia" w:ascii="宋体" w:hAnsi="宋体" w:eastAsia="宋体" w:cs="宋体"/>
                      <w:sz w:val="21"/>
                      <w:szCs w:val="21"/>
                    </w:rPr>
                  </w:pPr>
                  <w:r>
                    <w:rPr>
                      <w:rFonts w:hint="eastAsia" w:ascii="宋体" w:hAnsi="宋体" w:eastAsia="宋体" w:cs="宋体"/>
                      <w:sz w:val="21"/>
                      <w:szCs w:val="21"/>
                    </w:rPr>
                    <w:t>2.设备完好率</w:t>
                  </w:r>
                </w:p>
              </w:tc>
              <w:tc>
                <w:tcPr>
                  <w:tcW w:w="1073" w:type="dxa"/>
                </w:tcPr>
                <w:p>
                  <w:pPr>
                    <w:rPr>
                      <w:rFonts w:hint="eastAsia" w:ascii="宋体" w:hAnsi="宋体" w:eastAsia="宋体" w:cs="宋体"/>
                      <w:sz w:val="21"/>
                      <w:szCs w:val="21"/>
                    </w:rPr>
                  </w:pPr>
                  <w:r>
                    <w:rPr>
                      <w:rFonts w:hint="eastAsia" w:ascii="宋体" w:hAnsi="宋体" w:eastAsia="宋体" w:cs="宋体"/>
                      <w:sz w:val="21"/>
                      <w:szCs w:val="21"/>
                    </w:rPr>
                    <w:t>98%</w:t>
                  </w:r>
                </w:p>
              </w:tc>
              <w:tc>
                <w:tcPr>
                  <w:tcW w:w="1850" w:type="dxa"/>
                  <w:vAlign w:val="center"/>
                </w:tcPr>
                <w:p>
                  <w:pPr>
                    <w:spacing w:line="300" w:lineRule="exact"/>
                    <w:jc w:val="center"/>
                    <w:rPr>
                      <w:rFonts w:hint="eastAsia" w:ascii="宋体" w:hAnsi="宋体" w:eastAsia="宋体" w:cs="宋体"/>
                      <w:sz w:val="21"/>
                      <w:szCs w:val="21"/>
                    </w:rPr>
                  </w:pPr>
                  <w:r>
                    <w:rPr>
                      <w:rFonts w:hint="eastAsia" w:ascii="宋体" w:hAnsi="宋体" w:eastAsia="宋体" w:cs="宋体"/>
                      <w:color w:val="000000"/>
                      <w:sz w:val="21"/>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66" w:type="dxa"/>
                  <w:vMerge w:val="continue"/>
                </w:tcPr>
                <w:p>
                  <w:pPr>
                    <w:spacing w:line="220" w:lineRule="atLeast"/>
                    <w:jc w:val="center"/>
                    <w:rPr>
                      <w:rFonts w:hint="eastAsia" w:ascii="宋体" w:hAnsi="宋体" w:eastAsia="宋体" w:cs="宋体"/>
                      <w:sz w:val="21"/>
                      <w:szCs w:val="21"/>
                    </w:rPr>
                  </w:pPr>
                </w:p>
              </w:tc>
              <w:tc>
                <w:tcPr>
                  <w:tcW w:w="2665" w:type="dxa"/>
                  <w:vAlign w:val="center"/>
                </w:tcPr>
                <w:p>
                  <w:pPr>
                    <w:spacing w:line="300" w:lineRule="exact"/>
                    <w:rPr>
                      <w:rFonts w:hint="eastAsia" w:ascii="宋体" w:hAnsi="宋体" w:eastAsia="宋体" w:cs="宋体"/>
                      <w:sz w:val="21"/>
                      <w:szCs w:val="21"/>
                    </w:rPr>
                  </w:pPr>
                  <w:r>
                    <w:rPr>
                      <w:rFonts w:hint="eastAsia" w:ascii="宋体" w:hAnsi="宋体" w:eastAsia="宋体" w:cs="宋体"/>
                      <w:bCs/>
                      <w:sz w:val="21"/>
                      <w:szCs w:val="21"/>
                    </w:rPr>
                    <w:t>3.产品一次交验合格率</w:t>
                  </w:r>
                </w:p>
              </w:tc>
              <w:tc>
                <w:tcPr>
                  <w:tcW w:w="1073" w:type="dxa"/>
                </w:tcPr>
                <w:p>
                  <w:pPr>
                    <w:rPr>
                      <w:rFonts w:hint="eastAsia" w:ascii="宋体" w:hAnsi="宋体" w:eastAsia="宋体" w:cs="宋体"/>
                      <w:sz w:val="21"/>
                      <w:szCs w:val="21"/>
                    </w:rPr>
                  </w:pPr>
                  <w:r>
                    <w:rPr>
                      <w:rFonts w:hint="eastAsia" w:ascii="宋体" w:hAnsi="宋体" w:eastAsia="宋体" w:cs="宋体"/>
                      <w:sz w:val="21"/>
                      <w:szCs w:val="21"/>
                      <w:lang w:val="en-US" w:eastAsia="zh-CN"/>
                    </w:rPr>
                    <w:t>98</w:t>
                  </w:r>
                  <w:r>
                    <w:rPr>
                      <w:rFonts w:hint="eastAsia" w:ascii="宋体" w:hAnsi="宋体" w:eastAsia="宋体" w:cs="宋体"/>
                      <w:sz w:val="21"/>
                      <w:szCs w:val="21"/>
                    </w:rPr>
                    <w:t>%</w:t>
                  </w:r>
                </w:p>
              </w:tc>
              <w:tc>
                <w:tcPr>
                  <w:tcW w:w="1850" w:type="dxa"/>
                  <w:vAlign w:val="center"/>
                </w:tcPr>
                <w:p>
                  <w:pPr>
                    <w:spacing w:line="300" w:lineRule="exact"/>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100</w:t>
                  </w:r>
                  <w:r>
                    <w:rPr>
                      <w:rFonts w:hint="eastAsia" w:ascii="宋体" w:hAnsi="宋体" w:eastAsia="宋体" w:cs="宋体"/>
                      <w:color w:val="000000"/>
                      <w:sz w:val="21"/>
                      <w:szCs w:val="21"/>
                    </w:rPr>
                    <w:t>%</w:t>
                  </w:r>
                </w:p>
              </w:tc>
            </w:tr>
          </w:tbl>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rPr>
              <w:t>考核情况：2022.</w:t>
            </w:r>
            <w:r>
              <w:rPr>
                <w:rFonts w:hint="eastAsia" w:ascii="宋体" w:hAnsi="宋体" w:eastAsia="宋体" w:cs="宋体"/>
                <w:sz w:val="21"/>
                <w:szCs w:val="21"/>
                <w:lang w:val="en-US" w:eastAsia="zh-CN"/>
              </w:rPr>
              <w:t>6</w:t>
            </w:r>
            <w:r>
              <w:rPr>
                <w:rFonts w:hint="eastAsia" w:ascii="宋体" w:hAnsi="宋体" w:eastAsia="宋体" w:cs="宋体"/>
                <w:sz w:val="21"/>
                <w:szCs w:val="21"/>
              </w:rPr>
              <w:t>.</w:t>
            </w:r>
            <w:r>
              <w:rPr>
                <w:rFonts w:hint="eastAsia" w:ascii="宋体" w:hAnsi="宋体" w:eastAsia="宋体" w:cs="宋体"/>
                <w:sz w:val="21"/>
                <w:szCs w:val="21"/>
                <w:lang w:val="en-US" w:eastAsia="zh-CN"/>
              </w:rPr>
              <w:t>30</w:t>
            </w:r>
            <w:r>
              <w:rPr>
                <w:rFonts w:hint="eastAsia" w:ascii="宋体" w:hAnsi="宋体" w:eastAsia="宋体" w:cs="宋体"/>
                <w:sz w:val="21"/>
                <w:szCs w:val="21"/>
              </w:rPr>
              <w:t>日统计考核已完成。考核人：</w:t>
            </w:r>
            <w:r>
              <w:rPr>
                <w:rFonts w:hint="eastAsia" w:ascii="宋体" w:hAnsi="宋体" w:eastAsia="宋体" w:cs="宋体"/>
                <w:sz w:val="21"/>
                <w:szCs w:val="21"/>
                <w:lang w:val="en-US" w:eastAsia="zh-CN"/>
              </w:rPr>
              <w:t>王红利</w:t>
            </w:r>
            <w:r>
              <w:rPr>
                <w:rFonts w:hint="eastAsia" w:ascii="宋体" w:hAnsi="宋体" w:eastAsia="宋体" w:cs="宋体"/>
                <w:sz w:val="21"/>
                <w:szCs w:val="21"/>
              </w:rPr>
              <w:t xml:space="preserve"> 。</w:t>
            </w:r>
          </w:p>
        </w:tc>
        <w:tc>
          <w:tcPr>
            <w:tcW w:w="1585" w:type="dxa"/>
          </w:tcPr>
          <w:p>
            <w:pPr>
              <w:spacing w:line="360" w:lineRule="auto"/>
              <w:rPr>
                <w:rFonts w:hint="eastAsia" w:ascii="宋体" w:hAnsi="宋体" w:eastAsia="宋体" w:cs="宋体"/>
                <w:sz w:val="21"/>
                <w:szCs w:val="21"/>
              </w:rPr>
            </w:pPr>
            <w:r>
              <w:rPr>
                <w:rFonts w:hint="eastAsia" w:ascii="宋体" w:hAnsi="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4" w:hRule="atLeast"/>
        </w:trPr>
        <w:tc>
          <w:tcPr>
            <w:tcW w:w="2160" w:type="dxa"/>
            <w:vAlign w:val="center"/>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基础设施</w:t>
            </w:r>
          </w:p>
        </w:tc>
        <w:tc>
          <w:tcPr>
            <w:tcW w:w="960" w:type="dxa"/>
            <w:vAlign w:val="center"/>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7.1.3</w:t>
            </w:r>
          </w:p>
        </w:tc>
        <w:tc>
          <w:tcPr>
            <w:tcW w:w="10004" w:type="dxa"/>
            <w:vAlign w:val="top"/>
          </w:tcPr>
          <w:p>
            <w:pPr>
              <w:spacing w:line="360" w:lineRule="auto"/>
              <w:rPr>
                <w:rFonts w:hint="eastAsia" w:ascii="宋体" w:hAnsi="宋体" w:eastAsia="宋体" w:cs="宋体"/>
                <w:sz w:val="21"/>
                <w:szCs w:val="21"/>
              </w:rPr>
            </w:pPr>
            <w:r>
              <w:rPr>
                <w:rFonts w:hint="eastAsia" w:ascii="宋体" w:hAnsi="宋体" w:eastAsia="宋体" w:cs="宋体"/>
                <w:sz w:val="21"/>
                <w:szCs w:val="21"/>
              </w:rPr>
              <w:t>公司为确保质量管理体系的建立、实施和改进需要，提供并配备主要生产设备包括加工中心、普通铣床、数控车床、数控排车床、台式车床</w:t>
            </w:r>
            <w:r>
              <w:rPr>
                <w:rFonts w:hint="eastAsia" w:ascii="宋体" w:hAnsi="宋体" w:eastAsia="宋体" w:cs="宋体"/>
                <w:sz w:val="21"/>
                <w:szCs w:val="21"/>
                <w:lang w:val="en-US" w:eastAsia="zh-CN"/>
              </w:rPr>
              <w:t>设备、外径千分尺、游标卡尺、带表卡尺、深度游标卡尺等</w:t>
            </w:r>
            <w:r>
              <w:rPr>
                <w:rFonts w:hint="eastAsia" w:ascii="宋体" w:hAnsi="宋体" w:eastAsia="宋体" w:cs="宋体"/>
                <w:sz w:val="21"/>
                <w:szCs w:val="21"/>
              </w:rPr>
              <w:t>监视测量设备；现有基础设施配备较充分、齐全，满足日常经营和管理体系的实施和改进需要。</w:t>
            </w:r>
          </w:p>
          <w:p>
            <w:pPr>
              <w:numPr>
                <w:ilvl w:val="0"/>
                <w:numId w:val="1"/>
              </w:numPr>
              <w:spacing w:line="360" w:lineRule="auto"/>
              <w:rPr>
                <w:rFonts w:hint="eastAsia" w:ascii="宋体" w:hAnsi="宋体" w:cs="宋体"/>
                <w:sz w:val="21"/>
                <w:szCs w:val="21"/>
                <w:lang w:val="en-US" w:eastAsia="zh-CN"/>
              </w:rPr>
            </w:pPr>
            <w:r>
              <w:rPr>
                <w:rFonts w:hint="eastAsia" w:ascii="宋体" w:hAnsi="宋体" w:cs="宋体"/>
                <w:sz w:val="21"/>
                <w:szCs w:val="21"/>
                <w:lang w:val="en-US" w:eastAsia="zh-CN"/>
              </w:rPr>
              <w:t>提供《设备设施管理办法》，规范了设备的选择、购置、验收、使用维护、维修、报废的过程控制。</w:t>
            </w:r>
          </w:p>
          <w:p>
            <w:pPr>
              <w:numPr>
                <w:ilvl w:val="0"/>
                <w:numId w:val="1"/>
              </w:numPr>
              <w:spacing w:line="360" w:lineRule="auto"/>
              <w:rPr>
                <w:rFonts w:hint="eastAsia" w:ascii="宋体" w:hAnsi="宋体" w:eastAsia="宋体" w:cs="宋体"/>
                <w:sz w:val="21"/>
                <w:szCs w:val="21"/>
              </w:rPr>
            </w:pPr>
            <w:r>
              <w:rPr>
                <w:rFonts w:hint="eastAsia" w:ascii="宋体" w:hAnsi="宋体" w:eastAsia="宋体" w:cs="宋体"/>
                <w:sz w:val="21"/>
                <w:szCs w:val="21"/>
              </w:rPr>
              <w:t>查见“设备</w:t>
            </w:r>
            <w:r>
              <w:rPr>
                <w:rFonts w:hint="eastAsia" w:ascii="宋体" w:hAnsi="宋体" w:cs="宋体"/>
                <w:sz w:val="21"/>
                <w:szCs w:val="21"/>
                <w:lang w:val="en-US" w:eastAsia="zh-CN"/>
              </w:rPr>
              <w:t>设施</w:t>
            </w:r>
            <w:r>
              <w:rPr>
                <w:rFonts w:hint="eastAsia" w:ascii="宋体" w:hAnsi="宋体" w:eastAsia="宋体" w:cs="宋体"/>
                <w:sz w:val="21"/>
                <w:szCs w:val="21"/>
              </w:rPr>
              <w:t>台账”，</w:t>
            </w:r>
            <w:r>
              <w:rPr>
                <w:rFonts w:hint="eastAsia" w:ascii="宋体" w:hAnsi="宋体" w:cs="宋体"/>
                <w:sz w:val="21"/>
                <w:szCs w:val="21"/>
                <w:lang w:val="en-US" w:eastAsia="zh-CN"/>
              </w:rPr>
              <w:t>记录</w:t>
            </w:r>
            <w:r>
              <w:rPr>
                <w:rFonts w:hint="eastAsia" w:ascii="宋体" w:hAnsi="宋体" w:eastAsia="宋体" w:cs="宋体"/>
                <w:sz w:val="21"/>
                <w:szCs w:val="21"/>
              </w:rPr>
              <w:t>了设备名称、型号、</w:t>
            </w:r>
            <w:r>
              <w:rPr>
                <w:rFonts w:hint="eastAsia" w:ascii="宋体" w:hAnsi="宋体" w:cs="宋体"/>
                <w:sz w:val="21"/>
                <w:szCs w:val="21"/>
                <w:lang w:val="en-US" w:eastAsia="zh-CN"/>
              </w:rPr>
              <w:t>精度、</w:t>
            </w:r>
            <w:r>
              <w:rPr>
                <w:rFonts w:hint="eastAsia" w:ascii="宋体" w:hAnsi="宋体" w:eastAsia="宋体" w:cs="宋体"/>
                <w:sz w:val="21"/>
                <w:szCs w:val="21"/>
              </w:rPr>
              <w:t>数量</w:t>
            </w:r>
            <w:r>
              <w:rPr>
                <w:rFonts w:hint="eastAsia" w:ascii="宋体" w:hAnsi="宋体" w:cs="宋体"/>
                <w:sz w:val="21"/>
                <w:szCs w:val="21"/>
                <w:lang w:eastAsia="zh-CN"/>
              </w:rPr>
              <w:t>、</w:t>
            </w:r>
            <w:r>
              <w:rPr>
                <w:rFonts w:hint="eastAsia" w:ascii="宋体" w:hAnsi="宋体" w:cs="宋体"/>
                <w:sz w:val="21"/>
                <w:szCs w:val="21"/>
                <w:lang w:val="en-US" w:eastAsia="zh-CN"/>
              </w:rPr>
              <w:t>出厂时间、设备编号</w:t>
            </w:r>
            <w:r>
              <w:rPr>
                <w:rFonts w:hint="eastAsia" w:ascii="宋体" w:hAnsi="宋体" w:eastAsia="宋体" w:cs="宋体"/>
                <w:sz w:val="21"/>
                <w:szCs w:val="21"/>
              </w:rPr>
              <w:t>等。</w:t>
            </w:r>
          </w:p>
          <w:p>
            <w:pPr>
              <w:spacing w:line="360" w:lineRule="auto"/>
              <w:rPr>
                <w:rFonts w:hint="eastAsia" w:ascii="宋体" w:hAnsi="宋体" w:eastAsia="宋体" w:cs="宋体"/>
                <w:sz w:val="21"/>
                <w:szCs w:val="21"/>
                <w:lang w:eastAsia="zh-CN"/>
              </w:rPr>
            </w:pPr>
            <w:r>
              <w:rPr>
                <w:rFonts w:hint="eastAsia" w:ascii="宋体" w:hAnsi="宋体" w:cs="宋体"/>
                <w:sz w:val="21"/>
                <w:szCs w:val="21"/>
                <w:lang w:val="en-US" w:eastAsia="zh-CN"/>
              </w:rPr>
              <w:t>3</w:t>
            </w:r>
            <w:r>
              <w:rPr>
                <w:rFonts w:hint="eastAsia" w:ascii="宋体" w:hAnsi="宋体" w:eastAsia="宋体" w:cs="宋体"/>
                <w:sz w:val="21"/>
                <w:szCs w:val="21"/>
              </w:rPr>
              <w:t>、查见</w:t>
            </w:r>
            <w:r>
              <w:rPr>
                <w:rFonts w:hint="eastAsia" w:ascii="宋体" w:hAnsi="宋体" w:cs="宋体"/>
                <w:sz w:val="21"/>
                <w:szCs w:val="21"/>
                <w:lang w:eastAsia="zh-CN"/>
              </w:rPr>
              <w:t>“</w:t>
            </w:r>
            <w:r>
              <w:rPr>
                <w:rFonts w:hint="eastAsia" w:ascii="宋体" w:hAnsi="宋体" w:cs="宋体"/>
                <w:sz w:val="21"/>
                <w:szCs w:val="21"/>
                <w:lang w:val="en-US" w:eastAsia="zh-CN"/>
              </w:rPr>
              <w:t>办公设施台账</w:t>
            </w:r>
            <w:r>
              <w:rPr>
                <w:rFonts w:hint="eastAsia" w:ascii="宋体" w:hAnsi="宋体" w:cs="宋体"/>
                <w:sz w:val="21"/>
                <w:szCs w:val="21"/>
                <w:lang w:eastAsia="zh-CN"/>
              </w:rPr>
              <w:t>”</w:t>
            </w:r>
            <w:r>
              <w:rPr>
                <w:rFonts w:hint="eastAsia" w:ascii="宋体" w:hAnsi="宋体" w:cs="宋体"/>
                <w:sz w:val="21"/>
                <w:szCs w:val="21"/>
                <w:lang w:val="en-US" w:eastAsia="zh-CN"/>
              </w:rPr>
              <w:t>记录</w:t>
            </w:r>
            <w:r>
              <w:rPr>
                <w:rFonts w:hint="eastAsia" w:ascii="宋体" w:hAnsi="宋体" w:eastAsia="宋体" w:cs="宋体"/>
                <w:sz w:val="21"/>
                <w:szCs w:val="21"/>
              </w:rPr>
              <w:t>了设备名称、型号</w:t>
            </w:r>
            <w:r>
              <w:rPr>
                <w:rFonts w:hint="eastAsia" w:ascii="宋体" w:hAnsi="宋体" w:cs="宋体"/>
                <w:sz w:val="21"/>
                <w:szCs w:val="21"/>
                <w:lang w:val="en-US" w:eastAsia="zh-CN"/>
              </w:rPr>
              <w:t>、</w:t>
            </w:r>
            <w:r>
              <w:rPr>
                <w:rFonts w:hint="eastAsia" w:ascii="宋体" w:hAnsi="宋体" w:eastAsia="宋体" w:cs="宋体"/>
                <w:sz w:val="21"/>
                <w:szCs w:val="21"/>
              </w:rPr>
              <w:t>数量等</w:t>
            </w:r>
          </w:p>
          <w:p>
            <w:pPr>
              <w:spacing w:line="360" w:lineRule="auto"/>
              <w:rPr>
                <w:rFonts w:hint="eastAsia" w:ascii="宋体" w:hAnsi="宋体" w:eastAsia="宋体" w:cs="宋体"/>
                <w:sz w:val="21"/>
                <w:szCs w:val="21"/>
              </w:rPr>
            </w:pPr>
            <w:r>
              <w:rPr>
                <w:rFonts w:hint="eastAsia" w:ascii="宋体" w:hAnsi="宋体" w:cs="宋体"/>
                <w:sz w:val="21"/>
                <w:szCs w:val="21"/>
                <w:lang w:val="en-US" w:eastAsia="zh-CN"/>
              </w:rPr>
              <w:t>4、</w:t>
            </w:r>
            <w:r>
              <w:rPr>
                <w:rFonts w:hint="eastAsia" w:ascii="宋体" w:hAnsi="宋体" w:eastAsia="宋体" w:cs="宋体"/>
                <w:sz w:val="21"/>
                <w:szCs w:val="21"/>
              </w:rPr>
              <w:t>查见“设备检修保养计划”，每月进行一次设备检修，检修项目：二级保养和三级保养。</w:t>
            </w:r>
          </w:p>
          <w:p>
            <w:pPr>
              <w:spacing w:line="360" w:lineRule="auto"/>
              <w:rPr>
                <w:rFonts w:hint="eastAsia" w:ascii="宋体" w:hAnsi="宋体" w:eastAsia="宋体" w:cs="宋体"/>
                <w:sz w:val="21"/>
                <w:szCs w:val="21"/>
              </w:rPr>
            </w:pPr>
            <w:r>
              <w:rPr>
                <w:rFonts w:hint="eastAsia" w:ascii="宋体" w:hAnsi="宋体" w:eastAsia="宋体" w:cs="宋体"/>
                <w:sz w:val="21"/>
                <w:szCs w:val="21"/>
              </w:rPr>
              <w:t>查见20</w:t>
            </w:r>
            <w:r>
              <w:rPr>
                <w:rFonts w:hint="eastAsia" w:ascii="宋体" w:hAnsi="宋体" w:eastAsia="宋体" w:cs="宋体"/>
                <w:sz w:val="21"/>
                <w:szCs w:val="21"/>
                <w:lang w:val="en-US" w:eastAsia="zh-CN"/>
              </w:rPr>
              <w:t>2</w:t>
            </w:r>
            <w:r>
              <w:rPr>
                <w:rFonts w:hint="eastAsia" w:ascii="宋体" w:hAnsi="宋体" w:cs="宋体"/>
                <w:sz w:val="21"/>
                <w:szCs w:val="21"/>
                <w:lang w:val="en-US" w:eastAsia="zh-CN"/>
              </w:rPr>
              <w:t>2</w:t>
            </w:r>
            <w:r>
              <w:rPr>
                <w:rFonts w:hint="eastAsia" w:ascii="宋体" w:hAnsi="宋体" w:eastAsia="宋体" w:cs="宋体"/>
                <w:sz w:val="21"/>
                <w:szCs w:val="21"/>
              </w:rPr>
              <w:t>年</w:t>
            </w:r>
            <w:r>
              <w:rPr>
                <w:rFonts w:hint="eastAsia" w:ascii="宋体" w:hAnsi="宋体" w:eastAsia="宋体" w:cs="宋体"/>
                <w:sz w:val="21"/>
                <w:szCs w:val="21"/>
                <w:lang w:val="en-US" w:eastAsia="zh-CN"/>
              </w:rPr>
              <w:t>8</w:t>
            </w:r>
            <w:r>
              <w:rPr>
                <w:rFonts w:hint="eastAsia" w:ascii="宋体" w:hAnsi="宋体" w:eastAsia="宋体" w:cs="宋体"/>
                <w:sz w:val="21"/>
                <w:szCs w:val="21"/>
              </w:rPr>
              <w:t>月</w:t>
            </w:r>
            <w:r>
              <w:rPr>
                <w:rFonts w:hint="eastAsia" w:ascii="宋体" w:hAnsi="宋体" w:eastAsia="宋体" w:cs="宋体"/>
                <w:sz w:val="21"/>
                <w:szCs w:val="21"/>
                <w:lang w:val="en-US" w:eastAsia="zh-CN"/>
              </w:rPr>
              <w:t>2</w:t>
            </w:r>
            <w:r>
              <w:rPr>
                <w:rFonts w:hint="eastAsia" w:ascii="宋体" w:hAnsi="宋体" w:eastAsia="宋体" w:cs="宋体"/>
                <w:sz w:val="21"/>
                <w:szCs w:val="21"/>
              </w:rPr>
              <w:t>日的“设备保养记录单”。设备名称加工中心，</w:t>
            </w:r>
            <w:r>
              <w:rPr>
                <w:rFonts w:hint="eastAsia" w:ascii="宋体" w:hAnsi="宋体" w:eastAsia="宋体" w:cs="宋体"/>
                <w:sz w:val="21"/>
                <w:szCs w:val="21"/>
                <w:lang w:val="en-US" w:eastAsia="zh-CN"/>
              </w:rPr>
              <w:t>每半年换润滑油，为了保证正常运转。</w:t>
            </w:r>
            <w:r>
              <w:rPr>
                <w:rFonts w:hint="eastAsia" w:ascii="宋体" w:hAnsi="宋体" w:eastAsia="宋体" w:cs="宋体"/>
                <w:sz w:val="21"/>
                <w:szCs w:val="21"/>
              </w:rPr>
              <w:t>维修人</w:t>
            </w:r>
            <w:r>
              <w:rPr>
                <w:rFonts w:hint="eastAsia" w:ascii="宋体" w:hAnsi="宋体" w:cs="宋体"/>
                <w:sz w:val="21"/>
                <w:szCs w:val="21"/>
                <w:lang w:val="en-US" w:eastAsia="zh-CN"/>
              </w:rPr>
              <w:t>钟文军</w:t>
            </w:r>
            <w:r>
              <w:rPr>
                <w:rFonts w:hint="eastAsia" w:ascii="宋体" w:hAnsi="宋体" w:eastAsia="宋体" w:cs="宋体"/>
                <w:sz w:val="21"/>
                <w:szCs w:val="21"/>
              </w:rPr>
              <w:t>。</w:t>
            </w:r>
          </w:p>
          <w:p>
            <w:pPr>
              <w:spacing w:line="360" w:lineRule="auto"/>
              <w:rPr>
                <w:rFonts w:hint="eastAsia" w:ascii="宋体" w:hAnsi="宋体" w:eastAsia="宋体" w:cs="宋体"/>
                <w:sz w:val="21"/>
                <w:szCs w:val="21"/>
              </w:rPr>
            </w:pPr>
            <w:r>
              <w:rPr>
                <w:rFonts w:hint="eastAsia" w:ascii="宋体" w:hAnsi="宋体" w:cs="宋体"/>
                <w:sz w:val="21"/>
                <w:szCs w:val="21"/>
                <w:lang w:val="en-US" w:eastAsia="zh-CN"/>
              </w:rPr>
              <w:t>5、</w:t>
            </w:r>
            <w:r>
              <w:rPr>
                <w:rFonts w:hint="eastAsia" w:ascii="宋体" w:hAnsi="宋体" w:eastAsia="宋体" w:cs="宋体"/>
                <w:sz w:val="21"/>
                <w:szCs w:val="21"/>
              </w:rPr>
              <w:t>提供了设备点检表，</w:t>
            </w:r>
          </w:p>
          <w:p>
            <w:pPr>
              <w:spacing w:line="360" w:lineRule="auto"/>
              <w:rPr>
                <w:rFonts w:hint="eastAsia" w:ascii="宋体" w:hAnsi="宋体" w:eastAsia="宋体" w:cs="宋体"/>
                <w:sz w:val="21"/>
                <w:szCs w:val="21"/>
              </w:rPr>
            </w:pPr>
            <w:r>
              <w:rPr>
                <w:rFonts w:hint="eastAsia" w:ascii="宋体" w:hAnsi="宋体" w:eastAsia="宋体" w:cs="宋体"/>
                <w:sz w:val="21"/>
                <w:szCs w:val="21"/>
              </w:rPr>
              <w:t>抽查20</w:t>
            </w:r>
            <w:r>
              <w:rPr>
                <w:rFonts w:hint="eastAsia" w:ascii="宋体" w:hAnsi="宋体" w:eastAsia="宋体" w:cs="宋体"/>
                <w:sz w:val="21"/>
                <w:szCs w:val="21"/>
                <w:lang w:val="en-US" w:eastAsia="zh-CN"/>
              </w:rPr>
              <w:t>2</w:t>
            </w:r>
            <w:r>
              <w:rPr>
                <w:rFonts w:hint="eastAsia" w:ascii="宋体" w:hAnsi="宋体" w:cs="宋体"/>
                <w:sz w:val="21"/>
                <w:szCs w:val="21"/>
                <w:lang w:val="en-US" w:eastAsia="zh-CN"/>
              </w:rPr>
              <w:t>2</w:t>
            </w:r>
            <w:r>
              <w:rPr>
                <w:rFonts w:hint="eastAsia" w:ascii="宋体" w:hAnsi="宋体" w:eastAsia="宋体" w:cs="宋体"/>
                <w:sz w:val="21"/>
                <w:szCs w:val="21"/>
              </w:rPr>
              <w:t>年</w:t>
            </w:r>
            <w:r>
              <w:rPr>
                <w:rFonts w:hint="eastAsia" w:ascii="宋体" w:hAnsi="宋体" w:eastAsia="宋体" w:cs="宋体"/>
                <w:sz w:val="21"/>
                <w:szCs w:val="21"/>
                <w:lang w:val="en-US" w:eastAsia="zh-CN"/>
              </w:rPr>
              <w:t>6</w:t>
            </w:r>
            <w:r>
              <w:rPr>
                <w:rFonts w:hint="eastAsia" w:ascii="宋体" w:hAnsi="宋体" w:eastAsia="宋体" w:cs="宋体"/>
                <w:sz w:val="21"/>
                <w:szCs w:val="21"/>
              </w:rPr>
              <w:t>月</w:t>
            </w:r>
            <w:r>
              <w:rPr>
                <w:rFonts w:hint="eastAsia" w:ascii="宋体" w:hAnsi="宋体" w:eastAsia="宋体" w:cs="宋体"/>
                <w:sz w:val="21"/>
                <w:szCs w:val="21"/>
                <w:lang w:val="en-US" w:eastAsia="zh-CN"/>
              </w:rPr>
              <w:t>生产</w:t>
            </w:r>
            <w:r>
              <w:rPr>
                <w:rFonts w:hint="eastAsia" w:ascii="宋体" w:hAnsi="宋体" w:eastAsia="宋体" w:cs="宋体"/>
                <w:sz w:val="21"/>
                <w:szCs w:val="21"/>
              </w:rPr>
              <w:t>车间设备点检表，</w:t>
            </w:r>
            <w:r>
              <w:rPr>
                <w:rFonts w:hint="eastAsia" w:ascii="宋体" w:hAnsi="宋体" w:eastAsia="宋体" w:cs="宋体"/>
                <w:sz w:val="21"/>
                <w:szCs w:val="21"/>
                <w:lang w:val="en-US" w:eastAsia="zh-CN"/>
              </w:rPr>
              <w:t>点检设备：</w:t>
            </w:r>
            <w:r>
              <w:rPr>
                <w:rFonts w:hint="eastAsia" w:ascii="宋体" w:hAnsi="宋体" w:eastAsia="宋体" w:cs="宋体"/>
                <w:sz w:val="21"/>
                <w:szCs w:val="21"/>
              </w:rPr>
              <w:t>数控排车床</w:t>
            </w:r>
            <w:r>
              <w:rPr>
                <w:rFonts w:hint="eastAsia" w:ascii="宋体" w:hAnsi="宋体" w:eastAsia="宋体" w:cs="宋体"/>
                <w:sz w:val="21"/>
                <w:szCs w:val="21"/>
                <w:lang w:val="en-US" w:eastAsia="zh-CN"/>
              </w:rPr>
              <w:t>、</w:t>
            </w:r>
            <w:r>
              <w:rPr>
                <w:rFonts w:hint="eastAsia" w:ascii="宋体" w:hAnsi="宋体" w:eastAsia="宋体" w:cs="宋体"/>
                <w:sz w:val="21"/>
                <w:szCs w:val="21"/>
              </w:rPr>
              <w:t>数控车床</w:t>
            </w:r>
            <w:r>
              <w:rPr>
                <w:rFonts w:hint="eastAsia" w:ascii="宋体" w:hAnsi="宋体" w:eastAsia="宋体" w:cs="宋体"/>
                <w:sz w:val="21"/>
                <w:szCs w:val="21"/>
                <w:lang w:val="en-US" w:eastAsia="zh-CN"/>
              </w:rPr>
              <w:t>，</w:t>
            </w:r>
            <w:r>
              <w:rPr>
                <w:rFonts w:hint="eastAsia" w:ascii="宋体" w:hAnsi="宋体" w:eastAsia="宋体" w:cs="宋体"/>
                <w:sz w:val="21"/>
                <w:szCs w:val="21"/>
              </w:rPr>
              <w:t>点检项目：设备表面是否清洁、电机有无异响、设备上电气工作是否正常</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尾座是否牢固</w:t>
            </w:r>
            <w:r>
              <w:rPr>
                <w:rFonts w:hint="eastAsia" w:ascii="宋体" w:hAnsi="宋体" w:eastAsia="宋体" w:cs="宋体"/>
                <w:sz w:val="21"/>
                <w:szCs w:val="21"/>
              </w:rPr>
              <w:t>等</w:t>
            </w:r>
            <w:r>
              <w:rPr>
                <w:rFonts w:hint="eastAsia" w:ascii="宋体" w:hAnsi="宋体" w:cs="宋体"/>
                <w:sz w:val="21"/>
                <w:szCs w:val="21"/>
                <w:lang w:val="en-US" w:eastAsia="zh-CN"/>
              </w:rPr>
              <w:t>8</w:t>
            </w:r>
            <w:r>
              <w:rPr>
                <w:rFonts w:hint="eastAsia" w:ascii="宋体" w:hAnsi="宋体" w:eastAsia="宋体" w:cs="宋体"/>
                <w:sz w:val="21"/>
                <w:szCs w:val="21"/>
              </w:rPr>
              <w:t>项，点检无故障，点检人员</w:t>
            </w:r>
            <w:r>
              <w:rPr>
                <w:rFonts w:hint="eastAsia" w:ascii="宋体" w:hAnsi="宋体" w:cs="宋体"/>
                <w:sz w:val="21"/>
                <w:szCs w:val="21"/>
                <w:lang w:val="en-US" w:eastAsia="zh-CN"/>
              </w:rPr>
              <w:t>钟文军</w:t>
            </w:r>
            <w:r>
              <w:rPr>
                <w:rFonts w:hint="eastAsia" w:ascii="宋体" w:hAnsi="宋体" w:eastAsia="宋体" w:cs="宋体"/>
                <w:sz w:val="21"/>
                <w:szCs w:val="21"/>
              </w:rPr>
              <w:t>。</w:t>
            </w:r>
          </w:p>
          <w:p>
            <w:pPr>
              <w:spacing w:line="36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6</w:t>
            </w:r>
            <w:r>
              <w:rPr>
                <w:rFonts w:hint="eastAsia" w:ascii="宋体" w:hAnsi="宋体" w:eastAsia="宋体" w:cs="宋体"/>
                <w:sz w:val="21"/>
                <w:szCs w:val="21"/>
                <w:lang w:val="en-US" w:eastAsia="zh-CN"/>
              </w:rPr>
              <w:t>提供设备临时故障记录</w:t>
            </w:r>
          </w:p>
          <w:p>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抽查2022.6.21普通铣床，电路故障及维修时间，维修人钟文军；</w:t>
            </w:r>
          </w:p>
          <w:p>
            <w:pPr>
              <w:spacing w:line="360" w:lineRule="auto"/>
              <w:rPr>
                <w:rFonts w:hint="eastAsia" w:ascii="宋体" w:hAnsi="宋体" w:eastAsia="宋体" w:cs="宋体"/>
                <w:sz w:val="21"/>
                <w:szCs w:val="21"/>
              </w:rPr>
            </w:pPr>
            <w:r>
              <w:rPr>
                <w:rFonts w:hint="eastAsia" w:ascii="宋体" w:hAnsi="宋体" w:eastAsia="宋体" w:cs="宋体"/>
                <w:sz w:val="21"/>
                <w:szCs w:val="21"/>
              </w:rPr>
              <w:t>查特种设备：</w:t>
            </w:r>
            <w:r>
              <w:rPr>
                <w:rFonts w:hint="eastAsia" w:ascii="宋体" w:hAnsi="宋体" w:cs="宋体"/>
                <w:sz w:val="21"/>
                <w:szCs w:val="21"/>
                <w:lang w:val="en-US" w:eastAsia="zh-CN"/>
              </w:rPr>
              <w:t>无</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经现场查验上述基础设施均处于有效状态，运转良好，可以满足企业体系覆盖范围的产品生产需要。</w:t>
            </w:r>
          </w:p>
          <w:p>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部门介绍目前公司的设备设施配备能满足现有的经营需求，基础设施管理可以满足公司体系运行的需要。</w:t>
            </w:r>
          </w:p>
        </w:tc>
        <w:tc>
          <w:tcPr>
            <w:tcW w:w="1585" w:type="dxa"/>
          </w:tcPr>
          <w:p>
            <w:pPr>
              <w:spacing w:line="360" w:lineRule="auto"/>
              <w:rPr>
                <w:rFonts w:hint="eastAsia" w:ascii="宋体" w:hAnsi="宋体" w:eastAsia="宋体" w:cs="宋体"/>
                <w:sz w:val="21"/>
                <w:szCs w:val="21"/>
              </w:rPr>
            </w:pPr>
            <w:r>
              <w:rPr>
                <w:rFonts w:hint="eastAsia" w:ascii="宋体" w:hAnsi="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4" w:hRule="atLeast"/>
        </w:trPr>
        <w:tc>
          <w:tcPr>
            <w:tcW w:w="2160" w:type="dxa"/>
            <w:vAlign w:val="center"/>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过程运行环境</w:t>
            </w:r>
          </w:p>
        </w:tc>
        <w:tc>
          <w:tcPr>
            <w:tcW w:w="960" w:type="dxa"/>
            <w:vAlign w:val="center"/>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7.1.4</w:t>
            </w:r>
          </w:p>
        </w:tc>
        <w:tc>
          <w:tcPr>
            <w:tcW w:w="10004" w:type="dxa"/>
            <w:vAlign w:val="top"/>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工作环境：</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1、车间：占地面积1000平米，为租赁，布局相对合理，场所卫生较整洁，工作环境尚可（配备有环保设备，现场查看环保设备正在运行），设备摆放较有序；</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2、办公环境：办公室4间，各部门独立办公，环境整洁，配备有空调，</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满足机械零件的加工的需求。</w:t>
            </w:r>
          </w:p>
        </w:tc>
        <w:tc>
          <w:tcPr>
            <w:tcW w:w="1585" w:type="dxa"/>
          </w:tcPr>
          <w:p>
            <w:pPr>
              <w:spacing w:line="360" w:lineRule="auto"/>
              <w:rPr>
                <w:rFonts w:hint="eastAsia" w:ascii="宋体" w:hAnsi="宋体" w:eastAsia="宋体" w:cs="宋体"/>
                <w:sz w:val="21"/>
                <w:szCs w:val="21"/>
              </w:rPr>
            </w:pPr>
            <w:r>
              <w:rPr>
                <w:rFonts w:hint="eastAsia" w:ascii="宋体" w:hAnsi="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2160" w:type="dxa"/>
            <w:vAlign w:val="center"/>
          </w:tcPr>
          <w:p>
            <w:pPr>
              <w:rPr>
                <w:rFonts w:hint="eastAsia" w:ascii="宋体" w:hAnsi="宋体" w:eastAsia="宋体" w:cs="宋体"/>
                <w:sz w:val="21"/>
                <w:szCs w:val="21"/>
                <w:lang w:val="en-US" w:eastAsia="zh-CN"/>
              </w:rPr>
            </w:pPr>
            <w:r>
              <w:rPr>
                <w:rFonts w:hint="eastAsia" w:ascii="楷体" w:hAnsi="楷体" w:eastAsia="楷体" w:cs="宋体"/>
                <w:szCs w:val="21"/>
              </w:rPr>
              <w:t>运行的策划和控制</w:t>
            </w:r>
          </w:p>
        </w:tc>
        <w:tc>
          <w:tcPr>
            <w:tcW w:w="960" w:type="dxa"/>
            <w:vAlign w:val="center"/>
          </w:tcPr>
          <w:p>
            <w:pP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8.1</w:t>
            </w:r>
          </w:p>
        </w:tc>
        <w:tc>
          <w:tcPr>
            <w:tcW w:w="10004" w:type="dxa"/>
            <w:vAlign w:val="center"/>
          </w:tcPr>
          <w:p>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目前组织提供的产品和服务为：</w:t>
            </w:r>
            <w:bookmarkStart w:id="1" w:name="审核范围"/>
            <w:r>
              <w:rPr>
                <w:rFonts w:hint="eastAsia" w:ascii="宋体" w:hAnsi="宋体" w:eastAsia="宋体" w:cs="宋体"/>
                <w:sz w:val="21"/>
                <w:szCs w:val="21"/>
                <w:lang w:val="en-US" w:eastAsia="zh-CN"/>
              </w:rPr>
              <w:t>机械零组件的加工和销售</w:t>
            </w:r>
            <w:bookmarkEnd w:id="1"/>
            <w:r>
              <w:rPr>
                <w:rFonts w:hint="eastAsia" w:ascii="宋体" w:hAnsi="宋体" w:eastAsia="宋体" w:cs="宋体"/>
                <w:sz w:val="21"/>
                <w:szCs w:val="21"/>
                <w:lang w:val="en-US" w:eastAsia="zh-CN"/>
              </w:rPr>
              <w:t>，主要由客户提供产品图纸及材料进行精加工。</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一、确定产品和服务的要求，</w:t>
            </w:r>
            <w:r>
              <w:rPr>
                <w:rFonts w:hint="eastAsia" w:ascii="宋体" w:hAnsi="宋体" w:eastAsia="宋体" w:cs="宋体"/>
                <w:sz w:val="21"/>
                <w:szCs w:val="21"/>
                <w:lang w:val="en-US" w:eastAsia="zh-CN"/>
              </w:rPr>
              <w:tab/>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1、顾客的合同要求：依据客户要求确定机械零件图纸、数量、交期等。</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2、执行的产品标准：顾客技术要求</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3、质量目标和要求： 产品一次交验合格率98%； 顾客满意度≥90。</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二、过程及产品接收准则，</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1、工艺流程：</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订单计划→原材料入厂→入厂检验→机加→检验→合格→交付顾客</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2、接收准则：原料验收标准、成品检验标准、客户要求等。</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三、确定资源需求</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配备了：加工中心、普通铣床、数控车床、数控排车床、台式车床设备、外径千分尺、游标卡尺、带表卡尺、深度游标卡尺等生产、检测设备。</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四、实施过程控制：策划了各过程的管理要求文件：编制了设备操作规程、作业指导书、检验规范等有关文件。</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五、根据企业体系运行控制的要求策划了成文信息要求，编制了材料检验记录、工序检验记录、成品检验</w:t>
            </w:r>
            <w:r>
              <w:rPr>
                <w:rFonts w:hint="eastAsia" w:ascii="宋体" w:hAnsi="宋体" w:eastAsia="宋体" w:cs="宋体"/>
                <w:sz w:val="21"/>
                <w:szCs w:val="21"/>
              </w:rPr>
              <w:t>记录等。用于保持、保留有关质量体系运行要求的成文信息。</w:t>
            </w:r>
          </w:p>
          <w:p>
            <w:pPr>
              <w:pStyle w:val="2"/>
              <w:rPr>
                <w:rFonts w:hint="eastAsia" w:ascii="楷体" w:hAnsi="楷体" w:eastAsia="楷体" w:cs="宋体"/>
                <w:szCs w:val="21"/>
                <w:lang w:val="en-US" w:eastAsia="zh-CN"/>
              </w:rPr>
            </w:pPr>
            <w:r>
              <w:rPr>
                <w:rFonts w:hint="eastAsia" w:ascii="宋体" w:hAnsi="宋体" w:eastAsia="宋体" w:cs="宋体"/>
                <w:kern w:val="2"/>
                <w:sz w:val="21"/>
                <w:szCs w:val="21"/>
                <w:lang w:val="en-US" w:eastAsia="zh-CN" w:bidi="ar-SA"/>
              </w:rPr>
              <w:t>策划的输出适合于组织的运行。</w:t>
            </w:r>
          </w:p>
        </w:tc>
        <w:tc>
          <w:tcPr>
            <w:tcW w:w="1585" w:type="dxa"/>
          </w:tcPr>
          <w:p>
            <w:pPr>
              <w:spacing w:line="360" w:lineRule="auto"/>
              <w:rPr>
                <w:rFonts w:hint="eastAsia" w:ascii="宋体" w:hAnsi="宋体" w:eastAsia="宋体" w:cs="宋体"/>
                <w:sz w:val="21"/>
                <w:szCs w:val="21"/>
              </w:rPr>
            </w:pPr>
            <w:r>
              <w:rPr>
                <w:rFonts w:hint="eastAsia" w:ascii="宋体" w:hAnsi="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2160" w:type="dxa"/>
            <w:vAlign w:val="center"/>
          </w:tcPr>
          <w:p>
            <w:pPr>
              <w:pStyle w:val="2"/>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设计和开发</w:t>
            </w:r>
          </w:p>
        </w:tc>
        <w:tc>
          <w:tcPr>
            <w:tcW w:w="960" w:type="dxa"/>
            <w:vAlign w:val="center"/>
          </w:tcPr>
          <w:p>
            <w:pPr>
              <w:pStyle w:val="2"/>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8.3</w:t>
            </w:r>
          </w:p>
        </w:tc>
        <w:tc>
          <w:tcPr>
            <w:tcW w:w="10004" w:type="dxa"/>
            <w:vAlign w:val="center"/>
          </w:tcPr>
          <w:p>
            <w:pPr>
              <w:pStyle w:val="2"/>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不适用条款，ISO9001：2015标准8.3条款。理由：企业按照客户提供的产品图纸、技术要求进行生产加工，不承担设计的职责。 </w:t>
            </w:r>
          </w:p>
        </w:tc>
        <w:tc>
          <w:tcPr>
            <w:tcW w:w="1585" w:type="dxa"/>
          </w:tcPr>
          <w:p>
            <w:pPr>
              <w:spacing w:line="360" w:lineRule="auto"/>
              <w:rPr>
                <w:rFonts w:hint="eastAsia" w:ascii="宋体" w:hAnsi="宋体" w:eastAsia="宋体" w:cs="宋体"/>
                <w:sz w:val="21"/>
                <w:szCs w:val="21"/>
              </w:rPr>
            </w:pPr>
            <w:r>
              <w:rPr>
                <w:rFonts w:hint="eastAsia" w:ascii="宋体" w:hAnsi="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生产和服务提供的控制</w:t>
            </w:r>
          </w:p>
        </w:tc>
        <w:tc>
          <w:tcPr>
            <w:tcW w:w="960" w:type="dxa"/>
            <w:vAlign w:val="center"/>
          </w:tcPr>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8.5.1</w:t>
            </w:r>
          </w:p>
        </w:tc>
        <w:tc>
          <w:tcPr>
            <w:tcW w:w="10004" w:type="dxa"/>
            <w:vAlign w:val="center"/>
          </w:tcPr>
          <w:p>
            <w:pPr>
              <w:pStyle w:val="2"/>
              <w:spacing w:line="360" w:lineRule="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提供《生产和服务控制程序》</w:t>
            </w:r>
            <w:r>
              <w:rPr>
                <w:rFonts w:hint="eastAsia" w:ascii="宋体" w:hAnsi="宋体" w:eastAsia="宋体" w:cs="宋体"/>
                <w:kern w:val="2"/>
                <w:sz w:val="21"/>
                <w:szCs w:val="21"/>
                <w:lang w:val="en-US" w:eastAsia="zh-CN" w:bidi="ar-SA"/>
              </w:rPr>
              <w:t>规定了生产和服务的控制要求，符合企业实际和标准要求，具有可操作性。</w:t>
            </w: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一、现场查看受控条件：</w:t>
            </w: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 公司目前从事的是</w:t>
            </w:r>
            <w:r>
              <w:rPr>
                <w:rFonts w:hint="eastAsia" w:ascii="宋体" w:hAnsi="宋体" w:eastAsia="宋体" w:cs="宋体"/>
                <w:sz w:val="21"/>
                <w:szCs w:val="21"/>
                <w:lang w:val="en-US" w:eastAsia="zh-CN"/>
              </w:rPr>
              <w:t>机械零组件的加工和销售</w:t>
            </w:r>
            <w:r>
              <w:rPr>
                <w:rFonts w:hint="eastAsia" w:ascii="宋体" w:hAnsi="宋体" w:eastAsia="宋体" w:cs="宋体"/>
                <w:color w:val="auto"/>
                <w:sz w:val="21"/>
                <w:szCs w:val="21"/>
              </w:rPr>
              <w:t>。</w:t>
            </w: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生产的工艺流程是：</w:t>
            </w:r>
            <w:r>
              <w:rPr>
                <w:rFonts w:hint="eastAsia" w:ascii="宋体" w:hAnsi="宋体" w:eastAsia="宋体" w:cs="宋体"/>
                <w:sz w:val="21"/>
                <w:szCs w:val="21"/>
                <w:lang w:val="en-US" w:eastAsia="zh-CN"/>
              </w:rPr>
              <w:t>订单计划→原材料入厂→入厂检验→机加→检验→合格→交付顾客</w:t>
            </w: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公司依据客户订单，下达生产</w:t>
            </w:r>
            <w:r>
              <w:rPr>
                <w:rFonts w:hint="eastAsia" w:ascii="宋体" w:hAnsi="宋体" w:cs="宋体"/>
                <w:color w:val="auto"/>
                <w:sz w:val="21"/>
                <w:szCs w:val="21"/>
                <w:lang w:val="en-US" w:eastAsia="zh-CN"/>
              </w:rPr>
              <w:t>作业计划</w:t>
            </w:r>
            <w:r>
              <w:rPr>
                <w:rFonts w:hint="eastAsia" w:ascii="宋体" w:hAnsi="宋体" w:eastAsia="宋体" w:cs="宋体"/>
                <w:color w:val="auto"/>
                <w:sz w:val="21"/>
                <w:szCs w:val="21"/>
              </w:rPr>
              <w:t>。</w:t>
            </w: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生产</w:t>
            </w:r>
            <w:r>
              <w:rPr>
                <w:rFonts w:hint="eastAsia" w:ascii="宋体" w:hAnsi="宋体" w:cs="宋体"/>
                <w:color w:val="auto"/>
                <w:sz w:val="21"/>
                <w:szCs w:val="21"/>
                <w:lang w:val="en-US" w:eastAsia="zh-CN"/>
              </w:rPr>
              <w:t>管理室</w:t>
            </w:r>
            <w:r>
              <w:rPr>
                <w:rFonts w:hint="eastAsia" w:ascii="宋体" w:hAnsi="宋体" w:eastAsia="宋体" w:cs="宋体"/>
                <w:color w:val="auto"/>
                <w:sz w:val="21"/>
                <w:szCs w:val="21"/>
              </w:rPr>
              <w:t>接到定单后召开生产会议，进行生产、质量及管理工作协调。通过原材料检验、过程检验、成品检验等过程对产品质量、生产进度等进行监控</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从而控制生产和销售的有序进行。</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drawing>
                <wp:anchor distT="0" distB="0" distL="114300" distR="114300" simplePos="0" relativeHeight="251662336" behindDoc="0" locked="0" layoutInCell="1" allowOverlap="1">
                  <wp:simplePos x="0" y="0"/>
                  <wp:positionH relativeFrom="column">
                    <wp:posOffset>3111500</wp:posOffset>
                  </wp:positionH>
                  <wp:positionV relativeFrom="paragraph">
                    <wp:posOffset>36195</wp:posOffset>
                  </wp:positionV>
                  <wp:extent cx="2707640" cy="1962150"/>
                  <wp:effectExtent l="0" t="0" r="10160" b="6350"/>
                  <wp:wrapNone/>
                  <wp:docPr id="14" name="图片 14" descr="cdc059f635407a13dd2680e22a1c5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dc059f635407a13dd2680e22a1c50f"/>
                          <pic:cNvPicPr>
                            <a:picLocks noChangeAspect="1"/>
                          </pic:cNvPicPr>
                        </pic:nvPicPr>
                        <pic:blipFill>
                          <a:blip r:embed="rId6"/>
                          <a:stretch>
                            <a:fillRect/>
                          </a:stretch>
                        </pic:blipFill>
                        <pic:spPr>
                          <a:xfrm>
                            <a:off x="0" y="0"/>
                            <a:ext cx="2707640" cy="1962150"/>
                          </a:xfrm>
                          <a:prstGeom prst="rect">
                            <a:avLst/>
                          </a:prstGeom>
                        </pic:spPr>
                      </pic:pic>
                    </a:graphicData>
                  </a:graphic>
                </wp:anchor>
              </w:drawing>
            </w:r>
            <w:r>
              <w:rPr>
                <w:rFonts w:hint="eastAsia" w:ascii="宋体" w:hAnsi="宋体" w:eastAsia="宋体" w:cs="宋体"/>
                <w:color w:val="auto"/>
                <w:sz w:val="21"/>
                <w:szCs w:val="21"/>
                <w:lang w:eastAsia="zh-CN"/>
              </w:rPr>
              <w:drawing>
                <wp:anchor distT="0" distB="0" distL="114300" distR="114300" simplePos="0" relativeHeight="251661312" behindDoc="0" locked="0" layoutInCell="1" allowOverlap="1">
                  <wp:simplePos x="0" y="0"/>
                  <wp:positionH relativeFrom="column">
                    <wp:posOffset>542925</wp:posOffset>
                  </wp:positionH>
                  <wp:positionV relativeFrom="paragraph">
                    <wp:posOffset>-364490</wp:posOffset>
                  </wp:positionV>
                  <wp:extent cx="1898650" cy="2783840"/>
                  <wp:effectExtent l="0" t="0" r="10160" b="6350"/>
                  <wp:wrapNone/>
                  <wp:docPr id="13" name="图片 13" descr="74d75dd72e4bff95745019908359f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4d75dd72e4bff95745019908359ffc"/>
                          <pic:cNvPicPr>
                            <a:picLocks noChangeAspect="1"/>
                          </pic:cNvPicPr>
                        </pic:nvPicPr>
                        <pic:blipFill>
                          <a:blip r:embed="rId7"/>
                          <a:stretch>
                            <a:fillRect/>
                          </a:stretch>
                        </pic:blipFill>
                        <pic:spPr>
                          <a:xfrm rot="16200000">
                            <a:off x="0" y="0"/>
                            <a:ext cx="1898650" cy="2783840"/>
                          </a:xfrm>
                          <a:prstGeom prst="rect">
                            <a:avLst/>
                          </a:prstGeom>
                        </pic:spPr>
                      </pic:pic>
                    </a:graphicData>
                  </a:graphic>
                </wp:anchor>
              </w:drawing>
            </w:r>
          </w:p>
          <w:p>
            <w:pPr>
              <w:spacing w:line="360" w:lineRule="auto"/>
              <w:ind w:firstLine="420" w:firstLineChars="200"/>
              <w:rPr>
                <w:rFonts w:hint="eastAsia" w:ascii="宋体" w:hAnsi="宋体" w:eastAsia="宋体" w:cs="宋体"/>
                <w:color w:val="auto"/>
                <w:sz w:val="21"/>
                <w:szCs w:val="21"/>
              </w:rPr>
            </w:pPr>
          </w:p>
          <w:p>
            <w:pPr>
              <w:spacing w:line="360" w:lineRule="auto"/>
              <w:ind w:firstLine="420" w:firstLineChars="200"/>
              <w:rPr>
                <w:rFonts w:hint="eastAsia" w:ascii="宋体" w:hAnsi="宋体" w:eastAsia="宋体" w:cs="宋体"/>
                <w:color w:val="auto"/>
                <w:sz w:val="21"/>
                <w:szCs w:val="21"/>
                <w:lang w:eastAsia="zh-CN"/>
              </w:rPr>
            </w:pPr>
          </w:p>
          <w:p>
            <w:pPr>
              <w:spacing w:line="360" w:lineRule="auto"/>
              <w:ind w:firstLine="420" w:firstLineChars="200"/>
              <w:rPr>
                <w:rFonts w:hint="eastAsia" w:ascii="宋体" w:hAnsi="宋体" w:eastAsia="宋体" w:cs="宋体"/>
                <w:color w:val="auto"/>
                <w:sz w:val="21"/>
                <w:szCs w:val="21"/>
              </w:rPr>
            </w:pPr>
          </w:p>
          <w:p>
            <w:pPr>
              <w:spacing w:line="360" w:lineRule="auto"/>
              <w:ind w:firstLine="420" w:firstLineChars="200"/>
              <w:rPr>
                <w:rFonts w:hint="eastAsia" w:ascii="宋体" w:hAnsi="宋体" w:eastAsia="宋体" w:cs="宋体"/>
                <w:color w:val="auto"/>
                <w:sz w:val="21"/>
                <w:szCs w:val="21"/>
              </w:rPr>
            </w:pPr>
          </w:p>
          <w:p>
            <w:pPr>
              <w:spacing w:line="360" w:lineRule="auto"/>
              <w:ind w:firstLine="420" w:firstLineChars="200"/>
              <w:rPr>
                <w:rFonts w:hint="eastAsia" w:ascii="宋体" w:hAnsi="宋体" w:eastAsia="宋体" w:cs="宋体"/>
                <w:color w:val="auto"/>
                <w:sz w:val="21"/>
                <w:szCs w:val="21"/>
              </w:rPr>
            </w:pPr>
          </w:p>
          <w:p>
            <w:pPr>
              <w:spacing w:line="360" w:lineRule="auto"/>
              <w:ind w:firstLine="420" w:firstLineChars="200"/>
              <w:rPr>
                <w:rFonts w:hint="eastAsia" w:ascii="宋体" w:hAnsi="宋体" w:eastAsia="宋体" w:cs="宋体"/>
                <w:color w:val="auto"/>
                <w:sz w:val="21"/>
                <w:szCs w:val="21"/>
              </w:rPr>
            </w:pPr>
          </w:p>
          <w:p>
            <w:pPr>
              <w:spacing w:line="360" w:lineRule="auto"/>
              <w:rPr>
                <w:rFonts w:hint="default" w:ascii="宋体" w:hAnsi="宋体" w:eastAsia="宋体" w:cs="宋体"/>
                <w:color w:val="000000" w:themeColor="text1"/>
                <w:sz w:val="21"/>
                <w:szCs w:val="21"/>
                <w:lang w:val="en-US" w:eastAsia="zh-CN"/>
              </w:rPr>
            </w:pPr>
            <w:r>
              <w:rPr>
                <w:rFonts w:hint="eastAsia" w:ascii="宋体" w:hAnsi="宋体" w:eastAsia="宋体" w:cs="宋体"/>
                <w:color w:val="000000" w:themeColor="text1"/>
                <w:sz w:val="21"/>
                <w:szCs w:val="21"/>
              </w:rPr>
              <w:t>现场</w:t>
            </w:r>
            <w:r>
              <w:rPr>
                <w:rFonts w:hint="eastAsia" w:ascii="宋体" w:hAnsi="宋体" w:cs="宋体"/>
                <w:color w:val="000000" w:themeColor="text1"/>
                <w:sz w:val="21"/>
                <w:szCs w:val="21"/>
                <w:lang w:eastAsia="zh-CN"/>
              </w:rPr>
              <w:t>，</w:t>
            </w:r>
            <w:r>
              <w:rPr>
                <w:rFonts w:hint="eastAsia" w:ascii="宋体" w:hAnsi="宋体" w:eastAsia="宋体" w:cs="宋体"/>
                <w:color w:val="000000" w:themeColor="text1"/>
                <w:sz w:val="21"/>
                <w:szCs w:val="21"/>
              </w:rPr>
              <w:t>有</w:t>
            </w:r>
            <w:r>
              <w:rPr>
                <w:rFonts w:hint="eastAsia" w:ascii="宋体" w:hAnsi="宋体" w:cs="宋体"/>
                <w:color w:val="000000" w:themeColor="text1"/>
                <w:sz w:val="21"/>
                <w:szCs w:val="21"/>
                <w:lang w:val="en-US" w:eastAsia="zh-CN"/>
              </w:rPr>
              <w:t>顾客毛坯出库单，顾客工艺规程、首件检验单、过程检验单及产品完成入库单等</w:t>
            </w:r>
          </w:p>
          <w:p>
            <w:pPr>
              <w:spacing w:line="360" w:lineRule="auto"/>
              <w:rPr>
                <w:rFonts w:hint="eastAsia" w:ascii="宋体" w:hAnsi="宋体" w:eastAsia="宋体" w:cs="宋体"/>
                <w:color w:val="FF0000"/>
                <w:sz w:val="21"/>
                <w:szCs w:val="21"/>
              </w:rPr>
            </w:pPr>
            <w:r>
              <w:rPr>
                <w:rFonts w:hint="eastAsia" w:ascii="宋体" w:hAnsi="宋体" w:eastAsia="宋体" w:cs="宋体"/>
                <w:color w:val="FF0000"/>
                <w:sz w:val="21"/>
                <w:szCs w:val="21"/>
                <w:lang w:eastAsia="zh-CN"/>
              </w:rPr>
              <w:drawing>
                <wp:anchor distT="0" distB="0" distL="114300" distR="114300" simplePos="0" relativeHeight="251664384" behindDoc="0" locked="0" layoutInCell="1" allowOverlap="1">
                  <wp:simplePos x="0" y="0"/>
                  <wp:positionH relativeFrom="column">
                    <wp:posOffset>2165350</wp:posOffset>
                  </wp:positionH>
                  <wp:positionV relativeFrom="paragraph">
                    <wp:posOffset>249555</wp:posOffset>
                  </wp:positionV>
                  <wp:extent cx="1755775" cy="2477135"/>
                  <wp:effectExtent l="0" t="0" r="9525" b="12065"/>
                  <wp:wrapNone/>
                  <wp:docPr id="2" name="图片 2" descr="扫描全能王 2022-08-19 14.2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扫描全能王 2022-08-19 14.22_4"/>
                          <pic:cNvPicPr>
                            <a:picLocks noChangeAspect="1"/>
                          </pic:cNvPicPr>
                        </pic:nvPicPr>
                        <pic:blipFill>
                          <a:blip r:embed="rId8"/>
                          <a:stretch>
                            <a:fillRect/>
                          </a:stretch>
                        </pic:blipFill>
                        <pic:spPr>
                          <a:xfrm>
                            <a:off x="0" y="0"/>
                            <a:ext cx="1755775" cy="2477135"/>
                          </a:xfrm>
                          <a:prstGeom prst="rect">
                            <a:avLst/>
                          </a:prstGeom>
                        </pic:spPr>
                      </pic:pic>
                    </a:graphicData>
                  </a:graphic>
                </wp:anchor>
              </w:drawing>
            </w:r>
            <w:r>
              <w:rPr>
                <w:rFonts w:hint="eastAsia" w:ascii="宋体" w:hAnsi="宋体" w:eastAsia="宋体" w:cs="宋体"/>
                <w:color w:val="FF0000"/>
                <w:sz w:val="21"/>
                <w:szCs w:val="21"/>
                <w:lang w:eastAsia="zh-CN"/>
              </w:rPr>
              <w:drawing>
                <wp:anchor distT="0" distB="0" distL="114300" distR="114300" simplePos="0" relativeHeight="251663360" behindDoc="0" locked="0" layoutInCell="1" allowOverlap="1">
                  <wp:simplePos x="0" y="0"/>
                  <wp:positionH relativeFrom="column">
                    <wp:posOffset>101600</wp:posOffset>
                  </wp:positionH>
                  <wp:positionV relativeFrom="paragraph">
                    <wp:posOffset>66675</wp:posOffset>
                  </wp:positionV>
                  <wp:extent cx="1835785" cy="2726690"/>
                  <wp:effectExtent l="0" t="0" r="5715" b="3810"/>
                  <wp:wrapNone/>
                  <wp:docPr id="1" name="图片 1" descr="扫描全能王 2022-08-19 14.2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全能王 2022-08-19 14.22_3"/>
                          <pic:cNvPicPr>
                            <a:picLocks noChangeAspect="1"/>
                          </pic:cNvPicPr>
                        </pic:nvPicPr>
                        <pic:blipFill>
                          <a:blip r:embed="rId9"/>
                          <a:stretch>
                            <a:fillRect/>
                          </a:stretch>
                        </pic:blipFill>
                        <pic:spPr>
                          <a:xfrm>
                            <a:off x="0" y="0"/>
                            <a:ext cx="1835785" cy="2726690"/>
                          </a:xfrm>
                          <a:prstGeom prst="rect">
                            <a:avLst/>
                          </a:prstGeom>
                        </pic:spPr>
                      </pic:pic>
                    </a:graphicData>
                  </a:graphic>
                </wp:anchor>
              </w:drawing>
            </w:r>
          </w:p>
          <w:p>
            <w:pPr>
              <w:pStyle w:val="2"/>
              <w:rPr>
                <w:rFonts w:hint="eastAsia" w:ascii="宋体" w:hAnsi="宋体" w:eastAsia="宋体" w:cs="宋体"/>
                <w:color w:val="FF0000"/>
                <w:sz w:val="21"/>
                <w:szCs w:val="21"/>
              </w:rPr>
            </w:pPr>
          </w:p>
          <w:p>
            <w:pPr>
              <w:pStyle w:val="2"/>
              <w:rPr>
                <w:rFonts w:hint="eastAsia" w:ascii="宋体" w:hAnsi="宋体" w:eastAsia="宋体" w:cs="宋体"/>
                <w:color w:val="FF0000"/>
                <w:sz w:val="21"/>
                <w:szCs w:val="21"/>
                <w:lang w:eastAsia="zh-CN"/>
              </w:rPr>
            </w:pPr>
          </w:p>
          <w:p>
            <w:pPr>
              <w:pStyle w:val="2"/>
              <w:rPr>
                <w:rFonts w:hint="eastAsia" w:ascii="宋体" w:hAnsi="宋体" w:eastAsia="宋体" w:cs="宋体"/>
                <w:color w:val="FF0000"/>
                <w:sz w:val="21"/>
                <w:szCs w:val="21"/>
              </w:rPr>
            </w:pPr>
          </w:p>
          <w:p>
            <w:pPr>
              <w:pStyle w:val="2"/>
              <w:rPr>
                <w:rFonts w:hint="eastAsia" w:ascii="宋体" w:hAnsi="宋体" w:eastAsia="宋体" w:cs="宋体"/>
                <w:color w:val="FF0000"/>
                <w:sz w:val="21"/>
                <w:szCs w:val="21"/>
              </w:rPr>
            </w:pPr>
          </w:p>
          <w:p>
            <w:pPr>
              <w:pStyle w:val="2"/>
              <w:rPr>
                <w:rFonts w:hint="eastAsia" w:ascii="宋体" w:hAnsi="宋体" w:eastAsia="宋体" w:cs="宋体"/>
                <w:color w:val="FF0000"/>
                <w:sz w:val="21"/>
                <w:szCs w:val="21"/>
              </w:rPr>
            </w:pPr>
          </w:p>
          <w:p>
            <w:pPr>
              <w:pStyle w:val="2"/>
              <w:rPr>
                <w:rFonts w:hint="eastAsia" w:ascii="宋体" w:hAnsi="宋体" w:eastAsia="宋体" w:cs="宋体"/>
                <w:color w:val="FF0000"/>
                <w:sz w:val="21"/>
                <w:szCs w:val="21"/>
              </w:rPr>
            </w:pPr>
          </w:p>
          <w:p>
            <w:pPr>
              <w:pStyle w:val="2"/>
              <w:rPr>
                <w:rFonts w:hint="eastAsia" w:ascii="宋体" w:hAnsi="宋体" w:eastAsia="宋体" w:cs="宋体"/>
                <w:color w:val="FF0000"/>
                <w:sz w:val="21"/>
                <w:szCs w:val="21"/>
                <w:lang w:eastAsia="zh-CN"/>
              </w:rPr>
            </w:pPr>
          </w:p>
          <w:p>
            <w:pPr>
              <w:pStyle w:val="2"/>
              <w:rPr>
                <w:rFonts w:hint="eastAsia" w:ascii="宋体" w:hAnsi="宋体" w:eastAsia="宋体" w:cs="宋体"/>
                <w:color w:val="FF0000"/>
                <w:sz w:val="21"/>
                <w:szCs w:val="21"/>
              </w:rPr>
            </w:pPr>
          </w:p>
          <w:p>
            <w:pPr>
              <w:pStyle w:val="2"/>
              <w:rPr>
                <w:rFonts w:hint="eastAsia" w:ascii="宋体" w:hAnsi="宋体" w:eastAsia="宋体" w:cs="宋体"/>
                <w:color w:val="FF0000"/>
                <w:sz w:val="21"/>
                <w:szCs w:val="21"/>
              </w:rPr>
            </w:pPr>
          </w:p>
          <w:p>
            <w:pPr>
              <w:pStyle w:val="2"/>
              <w:rPr>
                <w:rFonts w:hint="eastAsia" w:ascii="宋体" w:hAnsi="宋体" w:eastAsia="宋体" w:cs="宋体"/>
                <w:color w:val="FF0000"/>
                <w:sz w:val="21"/>
                <w:szCs w:val="21"/>
              </w:rPr>
            </w:pPr>
          </w:p>
          <w:p>
            <w:pPr>
              <w:pStyle w:val="2"/>
              <w:rPr>
                <w:rFonts w:hint="eastAsia" w:ascii="宋体" w:hAnsi="宋体" w:eastAsia="宋体" w:cs="宋体"/>
                <w:color w:val="FF0000"/>
                <w:sz w:val="21"/>
                <w:szCs w:val="21"/>
              </w:rPr>
            </w:pPr>
          </w:p>
          <w:p>
            <w:pPr>
              <w:pStyle w:val="2"/>
              <w:rPr>
                <w:rFonts w:hint="eastAsia" w:ascii="宋体" w:hAnsi="宋体" w:eastAsia="宋体" w:cs="宋体"/>
                <w:color w:val="FF0000"/>
                <w:sz w:val="21"/>
                <w:szCs w:val="21"/>
              </w:rPr>
            </w:pPr>
          </w:p>
          <w:p>
            <w:pPr>
              <w:pStyle w:val="2"/>
              <w:rPr>
                <w:rFonts w:hint="eastAsia" w:ascii="宋体" w:hAnsi="宋体" w:eastAsia="宋体" w:cs="宋体"/>
                <w:color w:val="FF0000"/>
                <w:sz w:val="21"/>
                <w:szCs w:val="21"/>
              </w:rPr>
            </w:pPr>
          </w:p>
          <w:p>
            <w:pPr>
              <w:pStyle w:val="2"/>
              <w:rPr>
                <w:rFonts w:hint="eastAsia" w:ascii="宋体" w:hAnsi="宋体" w:eastAsia="宋体" w:cs="宋体"/>
                <w:color w:val="FF0000"/>
                <w:sz w:val="21"/>
                <w:szCs w:val="21"/>
              </w:rPr>
            </w:pPr>
            <w:r>
              <w:rPr>
                <w:rFonts w:hint="eastAsia" w:ascii="宋体" w:hAnsi="宋体" w:eastAsia="宋体" w:cs="宋体"/>
                <w:color w:val="FF0000"/>
                <w:sz w:val="21"/>
                <w:szCs w:val="21"/>
                <w:lang w:eastAsia="zh-CN"/>
              </w:rPr>
              <w:drawing>
                <wp:anchor distT="0" distB="0" distL="114300" distR="114300" simplePos="0" relativeHeight="251666432" behindDoc="0" locked="0" layoutInCell="1" allowOverlap="1">
                  <wp:simplePos x="0" y="0"/>
                  <wp:positionH relativeFrom="column">
                    <wp:posOffset>2717800</wp:posOffset>
                  </wp:positionH>
                  <wp:positionV relativeFrom="paragraph">
                    <wp:posOffset>128905</wp:posOffset>
                  </wp:positionV>
                  <wp:extent cx="2122170" cy="1571625"/>
                  <wp:effectExtent l="0" t="0" r="11430" b="3175"/>
                  <wp:wrapNone/>
                  <wp:docPr id="5" name="图片 5" descr="扫描全能王 2022-08-19 14.39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扫描全能王 2022-08-19 14.39_6"/>
                          <pic:cNvPicPr>
                            <a:picLocks noChangeAspect="1"/>
                          </pic:cNvPicPr>
                        </pic:nvPicPr>
                        <pic:blipFill>
                          <a:blip r:embed="rId10"/>
                          <a:stretch>
                            <a:fillRect/>
                          </a:stretch>
                        </pic:blipFill>
                        <pic:spPr>
                          <a:xfrm rot="10800000">
                            <a:off x="0" y="0"/>
                            <a:ext cx="2122170" cy="1571625"/>
                          </a:xfrm>
                          <a:prstGeom prst="rect">
                            <a:avLst/>
                          </a:prstGeom>
                        </pic:spPr>
                      </pic:pic>
                    </a:graphicData>
                  </a:graphic>
                </wp:anchor>
              </w:drawing>
            </w:r>
            <w:r>
              <w:rPr>
                <w:rFonts w:hint="eastAsia" w:ascii="宋体" w:hAnsi="宋体" w:eastAsia="宋体" w:cs="宋体"/>
                <w:color w:val="FF0000"/>
                <w:sz w:val="21"/>
                <w:szCs w:val="21"/>
                <w:lang w:eastAsia="zh-CN"/>
              </w:rPr>
              <w:drawing>
                <wp:anchor distT="0" distB="0" distL="114300" distR="114300" simplePos="0" relativeHeight="251665408" behindDoc="0" locked="0" layoutInCell="1" allowOverlap="1">
                  <wp:simplePos x="0" y="0"/>
                  <wp:positionH relativeFrom="column">
                    <wp:posOffset>529590</wp:posOffset>
                  </wp:positionH>
                  <wp:positionV relativeFrom="paragraph">
                    <wp:posOffset>-330200</wp:posOffset>
                  </wp:positionV>
                  <wp:extent cx="1781810" cy="2459990"/>
                  <wp:effectExtent l="0" t="0" r="3810" b="8890"/>
                  <wp:wrapNone/>
                  <wp:docPr id="3" name="图片 3" descr="扫描全能王 2022-08-19 14.3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全能王 2022-08-19 14.39_5"/>
                          <pic:cNvPicPr>
                            <a:picLocks noChangeAspect="1"/>
                          </pic:cNvPicPr>
                        </pic:nvPicPr>
                        <pic:blipFill>
                          <a:blip r:embed="rId11"/>
                          <a:stretch>
                            <a:fillRect/>
                          </a:stretch>
                        </pic:blipFill>
                        <pic:spPr>
                          <a:xfrm rot="16200000">
                            <a:off x="0" y="0"/>
                            <a:ext cx="1781810" cy="2459990"/>
                          </a:xfrm>
                          <a:prstGeom prst="rect">
                            <a:avLst/>
                          </a:prstGeom>
                        </pic:spPr>
                      </pic:pic>
                    </a:graphicData>
                  </a:graphic>
                </wp:anchor>
              </w:drawing>
            </w:r>
          </w:p>
          <w:p>
            <w:pPr>
              <w:pStyle w:val="2"/>
              <w:rPr>
                <w:rFonts w:hint="eastAsia" w:ascii="宋体" w:hAnsi="宋体" w:eastAsia="宋体" w:cs="宋体"/>
                <w:color w:val="FF0000"/>
                <w:sz w:val="21"/>
                <w:szCs w:val="21"/>
              </w:rPr>
            </w:pPr>
          </w:p>
          <w:p>
            <w:pPr>
              <w:pStyle w:val="2"/>
              <w:rPr>
                <w:rFonts w:hint="eastAsia" w:ascii="宋体" w:hAnsi="宋体" w:eastAsia="宋体" w:cs="宋体"/>
                <w:color w:val="FF0000"/>
                <w:sz w:val="21"/>
                <w:szCs w:val="21"/>
              </w:rPr>
            </w:pPr>
          </w:p>
          <w:p>
            <w:pPr>
              <w:pStyle w:val="2"/>
              <w:rPr>
                <w:rFonts w:hint="eastAsia" w:ascii="宋体" w:hAnsi="宋体" w:eastAsia="宋体" w:cs="宋体"/>
                <w:color w:val="FF0000"/>
                <w:sz w:val="21"/>
                <w:szCs w:val="21"/>
                <w:lang w:eastAsia="zh-CN"/>
              </w:rPr>
            </w:pPr>
          </w:p>
          <w:p>
            <w:pPr>
              <w:pStyle w:val="2"/>
              <w:rPr>
                <w:rFonts w:hint="eastAsia" w:ascii="宋体" w:hAnsi="宋体" w:eastAsia="宋体" w:cs="宋体"/>
                <w:color w:val="FF0000"/>
                <w:sz w:val="21"/>
                <w:szCs w:val="21"/>
              </w:rPr>
            </w:pPr>
          </w:p>
          <w:p>
            <w:pPr>
              <w:pStyle w:val="2"/>
              <w:rPr>
                <w:rFonts w:hint="eastAsia" w:ascii="宋体" w:hAnsi="宋体" w:eastAsia="宋体" w:cs="宋体"/>
                <w:color w:val="FF0000"/>
                <w:sz w:val="21"/>
                <w:szCs w:val="21"/>
              </w:rPr>
            </w:pPr>
          </w:p>
          <w:p>
            <w:pPr>
              <w:pStyle w:val="2"/>
              <w:rPr>
                <w:rFonts w:hint="eastAsia" w:ascii="宋体" w:hAnsi="宋体" w:eastAsia="宋体" w:cs="宋体"/>
                <w:color w:val="FF0000"/>
                <w:sz w:val="21"/>
                <w:szCs w:val="21"/>
              </w:rPr>
            </w:pPr>
          </w:p>
          <w:p>
            <w:pPr>
              <w:pStyle w:val="2"/>
              <w:rPr>
                <w:rFonts w:hint="eastAsia" w:ascii="宋体" w:hAnsi="宋体" w:eastAsia="宋体" w:cs="宋体"/>
                <w:color w:val="FF0000"/>
                <w:sz w:val="21"/>
                <w:szCs w:val="21"/>
              </w:rPr>
            </w:pPr>
          </w:p>
          <w:p>
            <w:pPr>
              <w:pStyle w:val="2"/>
              <w:rPr>
                <w:rFonts w:hint="eastAsia" w:ascii="宋体" w:hAnsi="宋体" w:eastAsia="宋体" w:cs="宋体"/>
                <w:color w:val="FF0000"/>
                <w:sz w:val="21"/>
                <w:szCs w:val="21"/>
              </w:rPr>
            </w:pPr>
          </w:p>
          <w:p>
            <w:pPr>
              <w:spacing w:line="360" w:lineRule="auto"/>
              <w:rPr>
                <w:rFonts w:hint="eastAsia" w:ascii="宋体" w:hAnsi="宋体" w:eastAsia="宋体" w:cs="宋体"/>
                <w:color w:val="FF0000"/>
                <w:sz w:val="21"/>
                <w:szCs w:val="21"/>
              </w:rPr>
            </w:pPr>
          </w:p>
          <w:p>
            <w:pPr>
              <w:spacing w:line="360" w:lineRule="auto"/>
              <w:rPr>
                <w:rFonts w:hint="eastAsia" w:ascii="宋体" w:hAnsi="宋体" w:eastAsia="宋体" w:cs="宋体"/>
                <w:color w:val="FF0000"/>
                <w:sz w:val="21"/>
                <w:szCs w:val="21"/>
              </w:rPr>
            </w:pPr>
          </w:p>
          <w:p>
            <w:pPr>
              <w:spacing w:line="360" w:lineRule="auto"/>
              <w:rPr>
                <w:rFonts w:hint="eastAsia" w:ascii="宋体" w:hAnsi="宋体" w:eastAsia="宋体" w:cs="宋体"/>
                <w:color w:val="FF0000"/>
                <w:sz w:val="21"/>
                <w:szCs w:val="21"/>
              </w:rPr>
            </w:pPr>
            <w:r>
              <w:rPr>
                <w:rFonts w:hint="eastAsia" w:ascii="宋体" w:hAnsi="宋体" w:eastAsia="宋体" w:cs="宋体"/>
                <w:color w:val="FF0000"/>
                <w:sz w:val="21"/>
                <w:szCs w:val="21"/>
                <w:lang w:eastAsia="zh-CN"/>
              </w:rPr>
              <w:drawing>
                <wp:anchor distT="0" distB="0" distL="114300" distR="114300" simplePos="0" relativeHeight="251668480" behindDoc="0" locked="0" layoutInCell="1" allowOverlap="1">
                  <wp:simplePos x="0" y="0"/>
                  <wp:positionH relativeFrom="column">
                    <wp:posOffset>3354070</wp:posOffset>
                  </wp:positionH>
                  <wp:positionV relativeFrom="paragraph">
                    <wp:posOffset>-146050</wp:posOffset>
                  </wp:positionV>
                  <wp:extent cx="1865630" cy="2468245"/>
                  <wp:effectExtent l="0" t="0" r="8255" b="1270"/>
                  <wp:wrapNone/>
                  <wp:docPr id="7" name="图片 7" descr="扫描全能王 2022-08-19 14.39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全能王 2022-08-19 14.39_9"/>
                          <pic:cNvPicPr>
                            <a:picLocks noChangeAspect="1"/>
                          </pic:cNvPicPr>
                        </pic:nvPicPr>
                        <pic:blipFill>
                          <a:blip r:embed="rId12"/>
                          <a:stretch>
                            <a:fillRect/>
                          </a:stretch>
                        </pic:blipFill>
                        <pic:spPr>
                          <a:xfrm rot="16200000">
                            <a:off x="0" y="0"/>
                            <a:ext cx="1865630" cy="2468245"/>
                          </a:xfrm>
                          <a:prstGeom prst="rect">
                            <a:avLst/>
                          </a:prstGeom>
                        </pic:spPr>
                      </pic:pic>
                    </a:graphicData>
                  </a:graphic>
                </wp:anchor>
              </w:drawing>
            </w:r>
            <w:r>
              <w:rPr>
                <w:rFonts w:hint="eastAsia" w:ascii="宋体" w:hAnsi="宋体" w:eastAsia="宋体" w:cs="宋体"/>
                <w:color w:val="FF0000"/>
                <w:sz w:val="21"/>
                <w:szCs w:val="21"/>
                <w:lang w:eastAsia="zh-CN"/>
              </w:rPr>
              <w:drawing>
                <wp:anchor distT="0" distB="0" distL="114300" distR="114300" simplePos="0" relativeHeight="251667456" behindDoc="0" locked="0" layoutInCell="1" allowOverlap="1">
                  <wp:simplePos x="0" y="0"/>
                  <wp:positionH relativeFrom="column">
                    <wp:posOffset>146050</wp:posOffset>
                  </wp:positionH>
                  <wp:positionV relativeFrom="paragraph">
                    <wp:posOffset>144780</wp:posOffset>
                  </wp:positionV>
                  <wp:extent cx="2591435" cy="1822450"/>
                  <wp:effectExtent l="0" t="0" r="12065" b="6350"/>
                  <wp:wrapNone/>
                  <wp:docPr id="6" name="图片 6" descr="扫描全能王 2022-08-19 14.39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全能王 2022-08-19 14.39_7"/>
                          <pic:cNvPicPr>
                            <a:picLocks noChangeAspect="1"/>
                          </pic:cNvPicPr>
                        </pic:nvPicPr>
                        <pic:blipFill>
                          <a:blip r:embed="rId13"/>
                          <a:stretch>
                            <a:fillRect/>
                          </a:stretch>
                        </pic:blipFill>
                        <pic:spPr>
                          <a:xfrm>
                            <a:off x="0" y="0"/>
                            <a:ext cx="2591435" cy="1822450"/>
                          </a:xfrm>
                          <a:prstGeom prst="rect">
                            <a:avLst/>
                          </a:prstGeom>
                        </pic:spPr>
                      </pic:pic>
                    </a:graphicData>
                  </a:graphic>
                </wp:anchor>
              </w:drawing>
            </w:r>
          </w:p>
          <w:p>
            <w:pPr>
              <w:spacing w:line="360" w:lineRule="auto"/>
              <w:rPr>
                <w:rFonts w:hint="eastAsia" w:ascii="宋体" w:hAnsi="宋体" w:eastAsia="宋体" w:cs="宋体"/>
                <w:color w:val="FF0000"/>
                <w:sz w:val="21"/>
                <w:szCs w:val="21"/>
              </w:rPr>
            </w:pPr>
          </w:p>
          <w:p>
            <w:pPr>
              <w:spacing w:line="360" w:lineRule="auto"/>
              <w:rPr>
                <w:rFonts w:hint="eastAsia" w:ascii="宋体" w:hAnsi="宋体" w:eastAsia="宋体" w:cs="宋体"/>
                <w:color w:val="FF0000"/>
                <w:sz w:val="21"/>
                <w:szCs w:val="21"/>
                <w:lang w:eastAsia="zh-CN"/>
              </w:rPr>
            </w:pPr>
          </w:p>
          <w:p>
            <w:pPr>
              <w:spacing w:line="360" w:lineRule="auto"/>
              <w:rPr>
                <w:rFonts w:hint="eastAsia" w:ascii="宋体" w:hAnsi="宋体" w:eastAsia="宋体" w:cs="宋体"/>
                <w:color w:val="FF0000"/>
                <w:sz w:val="21"/>
                <w:szCs w:val="21"/>
              </w:rPr>
            </w:pPr>
          </w:p>
          <w:p>
            <w:pPr>
              <w:spacing w:line="360" w:lineRule="auto"/>
              <w:rPr>
                <w:rFonts w:hint="eastAsia" w:ascii="宋体" w:hAnsi="宋体" w:eastAsia="宋体" w:cs="宋体"/>
                <w:color w:val="FF0000"/>
                <w:sz w:val="21"/>
                <w:szCs w:val="21"/>
                <w:lang w:eastAsia="zh-CN"/>
              </w:rPr>
            </w:pPr>
          </w:p>
          <w:p>
            <w:pPr>
              <w:spacing w:line="360" w:lineRule="auto"/>
              <w:rPr>
                <w:rFonts w:hint="eastAsia" w:ascii="宋体" w:hAnsi="宋体" w:eastAsia="宋体" w:cs="宋体"/>
                <w:color w:val="FF0000"/>
                <w:sz w:val="21"/>
                <w:szCs w:val="21"/>
              </w:rPr>
            </w:pPr>
          </w:p>
          <w:p>
            <w:pPr>
              <w:spacing w:line="360" w:lineRule="auto"/>
              <w:rPr>
                <w:rFonts w:hint="eastAsia" w:ascii="宋体" w:hAnsi="宋体" w:eastAsia="宋体" w:cs="宋体"/>
                <w:color w:val="FF0000"/>
                <w:sz w:val="21"/>
                <w:szCs w:val="21"/>
              </w:rPr>
            </w:pPr>
          </w:p>
          <w:p>
            <w:pPr>
              <w:spacing w:line="360" w:lineRule="auto"/>
              <w:rPr>
                <w:rFonts w:hint="eastAsia" w:ascii="宋体" w:hAnsi="宋体" w:eastAsia="宋体" w:cs="宋体"/>
                <w:color w:val="FF0000"/>
                <w:sz w:val="21"/>
                <w:szCs w:val="21"/>
              </w:rPr>
            </w:pPr>
          </w:p>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图纸、设备操作规程、检验规范等有关文件</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操作性较强，可以满足指导生产操作的要求。</w:t>
            </w:r>
          </w:p>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2）提供和配置了</w:t>
            </w:r>
            <w:r>
              <w:rPr>
                <w:rFonts w:hint="eastAsia" w:ascii="宋体" w:hAnsi="宋体" w:eastAsia="宋体" w:cs="宋体"/>
                <w:color w:val="000000" w:themeColor="text1"/>
                <w:sz w:val="21"/>
                <w:szCs w:val="21"/>
                <w:lang w:val="en-US" w:eastAsia="zh-CN"/>
                <w14:textFill>
                  <w14:solidFill>
                    <w14:schemeClr w14:val="tx1"/>
                  </w14:solidFill>
                </w14:textFill>
              </w:rPr>
              <w:t>外径千分尺、游标卡尺、带表卡尺、深度游标卡尺</w:t>
            </w:r>
            <w:r>
              <w:rPr>
                <w:rFonts w:hint="eastAsia" w:ascii="宋体" w:hAnsi="宋体" w:eastAsia="宋体" w:cs="宋体"/>
                <w:color w:val="000000" w:themeColor="text1"/>
                <w:sz w:val="21"/>
                <w:szCs w:val="21"/>
                <w14:textFill>
                  <w14:solidFill>
                    <w14:schemeClr w14:val="tx1"/>
                  </w14:solidFill>
                </w14:textFill>
              </w:rPr>
              <w:t>等，监视和测量设备配置适宜，维护保养良好，能够满足质量特性测量需要。</w:t>
            </w:r>
          </w:p>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3）检验活动有原材料检验、过程检验、成品的外观、规格尺寸、结构检验，能够验证过程和产品是否符合接收准则。</w:t>
            </w:r>
          </w:p>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4）提供和配备</w:t>
            </w:r>
            <w:r>
              <w:rPr>
                <w:rFonts w:hint="eastAsia" w:ascii="宋体" w:hAnsi="宋体" w:cs="宋体"/>
                <w:color w:val="000000" w:themeColor="text1"/>
                <w:sz w:val="21"/>
                <w:szCs w:val="21"/>
                <w:lang w:val="en-US" w:eastAsia="zh-CN"/>
                <w14:textFill>
                  <w14:solidFill>
                    <w14:schemeClr w14:val="tx1"/>
                  </w14:solidFill>
                </w14:textFill>
              </w:rPr>
              <w:t>的</w:t>
            </w:r>
            <w:r>
              <w:rPr>
                <w:rFonts w:hint="eastAsia" w:ascii="宋体" w:hAnsi="宋体" w:eastAsia="宋体" w:cs="宋体"/>
                <w:color w:val="000000" w:themeColor="text1"/>
                <w:sz w:val="21"/>
                <w:szCs w:val="21"/>
                <w:lang w:val="en-US" w:eastAsia="zh-CN"/>
                <w14:textFill>
                  <w14:solidFill>
                    <w14:schemeClr w14:val="tx1"/>
                  </w14:solidFill>
                </w14:textFill>
              </w:rPr>
              <w:t>加工中心、普通铣床、数控车床、数控排车床、台式车床设备</w:t>
            </w:r>
            <w:r>
              <w:rPr>
                <w:rFonts w:hint="eastAsia" w:ascii="宋体" w:hAnsi="宋体" w:eastAsia="宋体" w:cs="宋体"/>
                <w:color w:val="000000" w:themeColor="text1"/>
                <w:sz w:val="21"/>
                <w:szCs w:val="21"/>
                <w14:textFill>
                  <w14:solidFill>
                    <w14:schemeClr w14:val="tx1"/>
                  </w14:solidFill>
                </w14:textFill>
              </w:rPr>
              <w:t>等，设备运转正常，维护保养良好，配置适宜于生产工艺过程。设备能按照生产流程摆放，摆放基本合理，车间通风良好，光线充足，车间内地面比较干净、整洁，有安全通道和灭火器，基础设施和环境能够满足生产需求。</w:t>
            </w:r>
          </w:p>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5）生产操作人员和技术人员、管理人员经过了培训，能力满足要求。</w:t>
            </w:r>
          </w:p>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6）提供了设备操作规程、生产作业指导书、专用工装等，规定了操作的步骤、方法、注意事项等，操作人员直接按要求进行控制，防止人为错误。</w:t>
            </w:r>
          </w:p>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7)所有的产品(从原材料至成品)都必须经检验合格后方可转序、入库和交付。</w:t>
            </w:r>
            <w:r>
              <w:rPr>
                <w:rFonts w:hint="eastAsia" w:ascii="宋体" w:hAnsi="宋体" w:cs="宋体"/>
                <w:color w:val="000000" w:themeColor="text1"/>
                <w:sz w:val="21"/>
                <w:szCs w:val="21"/>
                <w:lang w:val="en-US" w:eastAsia="zh-CN"/>
                <w14:textFill>
                  <w14:solidFill>
                    <w14:schemeClr w14:val="tx1"/>
                  </w14:solidFill>
                </w14:textFill>
              </w:rPr>
              <w:t>检验室</w:t>
            </w:r>
            <w:r>
              <w:rPr>
                <w:rFonts w:hint="eastAsia" w:ascii="宋体" w:hAnsi="宋体" w:eastAsia="宋体" w:cs="宋体"/>
                <w:color w:val="000000" w:themeColor="text1"/>
                <w:sz w:val="21"/>
                <w:szCs w:val="21"/>
                <w14:textFill>
                  <w14:solidFill>
                    <w14:schemeClr w14:val="tx1"/>
                  </w14:solidFill>
                </w14:textFill>
              </w:rPr>
              <w:t>负责产品的检验和放行，产品经过检验合格后方可放行和交付，</w:t>
            </w:r>
            <w:r>
              <w:rPr>
                <w:rFonts w:hint="default" w:ascii="宋体" w:hAnsi="宋体" w:cs="宋体"/>
                <w:color w:val="000000" w:themeColor="text1"/>
                <w:sz w:val="21"/>
                <w:szCs w:val="21"/>
                <w14:textFill>
                  <w14:solidFill>
                    <w14:schemeClr w14:val="tx1"/>
                  </w14:solidFill>
                </w14:textFill>
              </w:rPr>
              <w:t>技术室</w:t>
            </w:r>
            <w:r>
              <w:rPr>
                <w:rFonts w:hint="eastAsia" w:ascii="宋体" w:hAnsi="宋体" w:eastAsia="宋体" w:cs="宋体"/>
                <w:color w:val="000000" w:themeColor="text1"/>
                <w:sz w:val="21"/>
                <w:szCs w:val="21"/>
                <w14:textFill>
                  <w14:solidFill>
                    <w14:schemeClr w14:val="tx1"/>
                  </w14:solidFill>
                </w14:textFill>
              </w:rPr>
              <w:t>负责产品交付和交付后活动的实施，并负责联系售后服务。发货前开具出库单(一式三份,留存一联、财务一联、客户一联)，成品库管员依据出库单发货，随货同行有产品合格证、出厂检验报告，公司负责联系货运交付到指定地点，经查出库、交付手续齐全。</w:t>
            </w:r>
          </w:p>
          <w:p>
            <w:pPr>
              <w:spacing w:line="360" w:lineRule="auto"/>
              <w:ind w:firstLine="308" w:firstLineChars="147"/>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生产现场观察：</w:t>
            </w:r>
          </w:p>
          <w:p>
            <w:pPr>
              <w:spacing w:line="360" w:lineRule="auto"/>
              <w:ind w:firstLine="308" w:firstLineChars="147"/>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客户提供的工艺规程：</w:t>
            </w:r>
          </w:p>
          <w:p>
            <w:pPr>
              <w:spacing w:line="360" w:lineRule="auto"/>
              <w:ind w:firstLine="308" w:firstLineChars="147"/>
              <w:rPr>
                <w:rFonts w:hint="eastAsia" w:ascii="宋体" w:hAnsi="宋体" w:cs="宋体"/>
                <w:color w:val="FF0000"/>
                <w:sz w:val="21"/>
                <w:szCs w:val="21"/>
                <w:lang w:val="en-US" w:eastAsia="zh-CN"/>
              </w:rPr>
            </w:pPr>
            <w:r>
              <w:rPr>
                <w:rFonts w:hint="eastAsia" w:ascii="宋体" w:hAnsi="宋体" w:cs="宋体"/>
                <w:color w:val="FF0000"/>
                <w:sz w:val="21"/>
                <w:szCs w:val="21"/>
                <w:lang w:val="en-US" w:eastAsia="zh-CN"/>
              </w:rPr>
              <w:drawing>
                <wp:anchor distT="0" distB="0" distL="114300" distR="114300" simplePos="0" relativeHeight="251673600" behindDoc="0" locked="0" layoutInCell="1" allowOverlap="1">
                  <wp:simplePos x="0" y="0"/>
                  <wp:positionH relativeFrom="column">
                    <wp:posOffset>3942715</wp:posOffset>
                  </wp:positionH>
                  <wp:positionV relativeFrom="paragraph">
                    <wp:posOffset>192405</wp:posOffset>
                  </wp:positionV>
                  <wp:extent cx="1838960" cy="1363345"/>
                  <wp:effectExtent l="0" t="0" r="2540" b="8255"/>
                  <wp:wrapNone/>
                  <wp:docPr id="12" name="图片 12" descr="扫描全能王 2022-08-19 13.36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扫描全能王 2022-08-19 13.36_11"/>
                          <pic:cNvPicPr>
                            <a:picLocks noChangeAspect="1"/>
                          </pic:cNvPicPr>
                        </pic:nvPicPr>
                        <pic:blipFill>
                          <a:blip r:embed="rId14"/>
                          <a:stretch>
                            <a:fillRect/>
                          </a:stretch>
                        </pic:blipFill>
                        <pic:spPr>
                          <a:xfrm>
                            <a:off x="0" y="0"/>
                            <a:ext cx="1838960" cy="1363345"/>
                          </a:xfrm>
                          <a:prstGeom prst="rect">
                            <a:avLst/>
                          </a:prstGeom>
                        </pic:spPr>
                      </pic:pic>
                    </a:graphicData>
                  </a:graphic>
                </wp:anchor>
              </w:drawing>
            </w:r>
            <w:r>
              <w:rPr>
                <w:rFonts w:hint="eastAsia" w:ascii="宋体" w:hAnsi="宋体" w:cs="宋体"/>
                <w:color w:val="FF0000"/>
                <w:sz w:val="21"/>
                <w:szCs w:val="21"/>
                <w:lang w:val="en-US" w:eastAsia="zh-CN"/>
              </w:rPr>
              <w:drawing>
                <wp:anchor distT="0" distB="0" distL="114300" distR="114300" simplePos="0" relativeHeight="251671552" behindDoc="0" locked="0" layoutInCell="1" allowOverlap="1">
                  <wp:simplePos x="0" y="0"/>
                  <wp:positionH relativeFrom="column">
                    <wp:posOffset>88265</wp:posOffset>
                  </wp:positionH>
                  <wp:positionV relativeFrom="paragraph">
                    <wp:posOffset>193675</wp:posOffset>
                  </wp:positionV>
                  <wp:extent cx="1701165" cy="1236345"/>
                  <wp:effectExtent l="0" t="0" r="635" b="8255"/>
                  <wp:wrapNone/>
                  <wp:docPr id="10" name="图片 10" descr="扫描全能王 2022-08-19 13.36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扫描全能王 2022-08-19 13.36_13"/>
                          <pic:cNvPicPr>
                            <a:picLocks noChangeAspect="1"/>
                          </pic:cNvPicPr>
                        </pic:nvPicPr>
                        <pic:blipFill>
                          <a:blip r:embed="rId15"/>
                          <a:stretch>
                            <a:fillRect/>
                          </a:stretch>
                        </pic:blipFill>
                        <pic:spPr>
                          <a:xfrm>
                            <a:off x="0" y="0"/>
                            <a:ext cx="1701165" cy="1236345"/>
                          </a:xfrm>
                          <a:prstGeom prst="rect">
                            <a:avLst/>
                          </a:prstGeom>
                        </pic:spPr>
                      </pic:pic>
                    </a:graphicData>
                  </a:graphic>
                </wp:anchor>
              </w:drawing>
            </w:r>
            <w:r>
              <w:rPr>
                <w:rFonts w:hint="eastAsia" w:ascii="宋体" w:hAnsi="宋体" w:cs="宋体"/>
                <w:color w:val="FF0000"/>
                <w:sz w:val="21"/>
                <w:szCs w:val="21"/>
                <w:lang w:val="en-US" w:eastAsia="zh-CN"/>
              </w:rPr>
              <w:drawing>
                <wp:anchor distT="0" distB="0" distL="114300" distR="114300" simplePos="0" relativeHeight="251672576" behindDoc="0" locked="0" layoutInCell="1" allowOverlap="1">
                  <wp:simplePos x="0" y="0"/>
                  <wp:positionH relativeFrom="column">
                    <wp:posOffset>2183765</wp:posOffset>
                  </wp:positionH>
                  <wp:positionV relativeFrom="paragraph">
                    <wp:posOffset>-78740</wp:posOffset>
                  </wp:positionV>
                  <wp:extent cx="1316990" cy="1858645"/>
                  <wp:effectExtent l="0" t="0" r="8255" b="3810"/>
                  <wp:wrapNone/>
                  <wp:docPr id="11" name="图片 11" descr="扫描全能王 2022-08-19 13.36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扫描全能王 2022-08-19 13.36_14"/>
                          <pic:cNvPicPr>
                            <a:picLocks noChangeAspect="1"/>
                          </pic:cNvPicPr>
                        </pic:nvPicPr>
                        <pic:blipFill>
                          <a:blip r:embed="rId16"/>
                          <a:stretch>
                            <a:fillRect/>
                          </a:stretch>
                        </pic:blipFill>
                        <pic:spPr>
                          <a:xfrm rot="16200000">
                            <a:off x="0" y="0"/>
                            <a:ext cx="1316990" cy="1858645"/>
                          </a:xfrm>
                          <a:prstGeom prst="rect">
                            <a:avLst/>
                          </a:prstGeom>
                        </pic:spPr>
                      </pic:pic>
                    </a:graphicData>
                  </a:graphic>
                </wp:anchor>
              </w:drawing>
            </w:r>
          </w:p>
          <w:p>
            <w:pPr>
              <w:spacing w:line="360" w:lineRule="auto"/>
              <w:ind w:firstLine="308" w:firstLineChars="147"/>
              <w:rPr>
                <w:rFonts w:hint="eastAsia" w:ascii="宋体" w:hAnsi="宋体" w:cs="宋体"/>
                <w:color w:val="FF0000"/>
                <w:sz w:val="21"/>
                <w:szCs w:val="21"/>
                <w:lang w:val="en-US" w:eastAsia="zh-CN"/>
              </w:rPr>
            </w:pPr>
          </w:p>
          <w:p>
            <w:pPr>
              <w:spacing w:line="360" w:lineRule="auto"/>
              <w:ind w:firstLine="308" w:firstLineChars="147"/>
              <w:rPr>
                <w:rFonts w:hint="eastAsia" w:ascii="宋体" w:hAnsi="宋体" w:cs="宋体"/>
                <w:color w:val="FF0000"/>
                <w:sz w:val="21"/>
                <w:szCs w:val="21"/>
                <w:lang w:val="en-US" w:eastAsia="zh-CN"/>
              </w:rPr>
            </w:pPr>
          </w:p>
          <w:p>
            <w:pPr>
              <w:spacing w:line="360" w:lineRule="auto"/>
              <w:ind w:firstLine="308" w:firstLineChars="147"/>
              <w:rPr>
                <w:rFonts w:hint="eastAsia" w:ascii="宋体" w:hAnsi="宋体" w:cs="宋体"/>
                <w:color w:val="FF0000"/>
                <w:sz w:val="21"/>
                <w:szCs w:val="21"/>
                <w:lang w:val="en-US" w:eastAsia="zh-CN"/>
              </w:rPr>
            </w:pPr>
          </w:p>
          <w:p>
            <w:pPr>
              <w:spacing w:line="360" w:lineRule="auto"/>
              <w:rPr>
                <w:rFonts w:hint="eastAsia" w:ascii="宋体" w:hAnsi="宋体" w:cs="宋体"/>
                <w:color w:val="FF0000"/>
                <w:sz w:val="21"/>
                <w:szCs w:val="21"/>
                <w:lang w:val="en-US" w:eastAsia="zh-CN"/>
              </w:rPr>
            </w:pPr>
          </w:p>
          <w:p>
            <w:pPr>
              <w:spacing w:line="360" w:lineRule="auto"/>
              <w:ind w:firstLine="308" w:firstLineChars="147"/>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425450</wp:posOffset>
                  </wp:positionH>
                  <wp:positionV relativeFrom="paragraph">
                    <wp:posOffset>59055</wp:posOffset>
                  </wp:positionV>
                  <wp:extent cx="1673225" cy="2112645"/>
                  <wp:effectExtent l="0" t="0" r="8255" b="3175"/>
                  <wp:wrapNone/>
                  <wp:docPr id="8" name="图片 8" descr="扫描全能王 2022-08-19 13.3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8-19 13.36_2"/>
                          <pic:cNvPicPr>
                            <a:picLocks noChangeAspect="1"/>
                          </pic:cNvPicPr>
                        </pic:nvPicPr>
                        <pic:blipFill>
                          <a:blip r:embed="rId17"/>
                          <a:stretch>
                            <a:fillRect/>
                          </a:stretch>
                        </pic:blipFill>
                        <pic:spPr>
                          <a:xfrm rot="16200000">
                            <a:off x="0" y="0"/>
                            <a:ext cx="1673225" cy="2112645"/>
                          </a:xfrm>
                          <a:prstGeom prst="rect">
                            <a:avLst/>
                          </a:prstGeom>
                        </pic:spPr>
                      </pic:pic>
                    </a:graphicData>
                  </a:graphic>
                </wp:anchor>
              </w:drawing>
            </w:r>
            <w:r>
              <w:rPr>
                <w:rFonts w:hint="eastAsia" w:ascii="宋体" w:hAnsi="宋体" w:cs="宋体"/>
                <w:color w:val="000000" w:themeColor="text1"/>
                <w:sz w:val="21"/>
                <w:szCs w:val="21"/>
                <w:lang w:val="en-US" w:eastAsia="zh-CN"/>
                <w14:textFill>
                  <w14:solidFill>
                    <w14:schemeClr w14:val="tx1"/>
                  </w14:solidFill>
                </w14:textFill>
              </w:rPr>
              <w:drawing>
                <wp:anchor distT="0" distB="0" distL="114300" distR="114300" simplePos="0" relativeHeight="251670528" behindDoc="0" locked="0" layoutInCell="1" allowOverlap="1">
                  <wp:simplePos x="0" y="0"/>
                  <wp:positionH relativeFrom="column">
                    <wp:posOffset>2830195</wp:posOffset>
                  </wp:positionH>
                  <wp:positionV relativeFrom="paragraph">
                    <wp:posOffset>7620</wp:posOffset>
                  </wp:positionV>
                  <wp:extent cx="1719580" cy="2110105"/>
                  <wp:effectExtent l="0" t="0" r="10795" b="7620"/>
                  <wp:wrapNone/>
                  <wp:docPr id="9" name="图片 9" descr="扫描全能王 2022-08-19 13.3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扫描全能王 2022-08-19 13.36_3"/>
                          <pic:cNvPicPr>
                            <a:picLocks noChangeAspect="1"/>
                          </pic:cNvPicPr>
                        </pic:nvPicPr>
                        <pic:blipFill>
                          <a:blip r:embed="rId18"/>
                          <a:stretch>
                            <a:fillRect/>
                          </a:stretch>
                        </pic:blipFill>
                        <pic:spPr>
                          <a:xfrm rot="16200000">
                            <a:off x="0" y="0"/>
                            <a:ext cx="1719580" cy="2110105"/>
                          </a:xfrm>
                          <a:prstGeom prst="rect">
                            <a:avLst/>
                          </a:prstGeom>
                        </pic:spPr>
                      </pic:pic>
                    </a:graphicData>
                  </a:graphic>
                </wp:anchor>
              </w:drawing>
            </w:r>
            <w:r>
              <w:rPr>
                <w:rFonts w:hint="eastAsia" w:ascii="宋体" w:hAnsi="宋体" w:cs="宋体"/>
                <w:color w:val="000000" w:themeColor="text1"/>
                <w:sz w:val="21"/>
                <w:szCs w:val="21"/>
                <w:lang w:val="en-US" w:eastAsia="zh-CN"/>
                <w14:textFill>
                  <w14:solidFill>
                    <w14:schemeClr w14:val="tx1"/>
                  </w14:solidFill>
                </w14:textFill>
              </w:rPr>
              <w:t>看到《首件三检单》</w:t>
            </w:r>
          </w:p>
          <w:p>
            <w:pPr>
              <w:pStyle w:val="2"/>
              <w:rPr>
                <w:rFonts w:hint="eastAsia" w:ascii="宋体" w:hAnsi="宋体" w:cs="宋体"/>
                <w:color w:val="FF0000"/>
                <w:sz w:val="21"/>
                <w:szCs w:val="21"/>
                <w:lang w:val="en-US" w:eastAsia="zh-CN"/>
              </w:rPr>
            </w:pPr>
          </w:p>
          <w:p>
            <w:pPr>
              <w:pStyle w:val="2"/>
              <w:rPr>
                <w:rFonts w:hint="eastAsia" w:ascii="宋体" w:hAnsi="宋体" w:cs="宋体"/>
                <w:color w:val="FF0000"/>
                <w:sz w:val="21"/>
                <w:szCs w:val="21"/>
                <w:lang w:val="en-US" w:eastAsia="zh-CN"/>
              </w:rPr>
            </w:pPr>
          </w:p>
          <w:p>
            <w:pPr>
              <w:pStyle w:val="2"/>
              <w:rPr>
                <w:rFonts w:hint="eastAsia" w:ascii="宋体" w:hAnsi="宋体" w:cs="宋体"/>
                <w:color w:val="FF0000"/>
                <w:sz w:val="21"/>
                <w:szCs w:val="21"/>
                <w:lang w:val="en-US" w:eastAsia="zh-CN"/>
              </w:rPr>
            </w:pPr>
          </w:p>
          <w:p>
            <w:pPr>
              <w:pStyle w:val="2"/>
              <w:rPr>
                <w:rFonts w:hint="eastAsia" w:ascii="宋体" w:hAnsi="宋体" w:cs="宋体"/>
                <w:color w:val="FF0000"/>
                <w:sz w:val="21"/>
                <w:szCs w:val="21"/>
                <w:lang w:val="en-US" w:eastAsia="zh-CN"/>
              </w:rPr>
            </w:pPr>
          </w:p>
          <w:p>
            <w:pPr>
              <w:pStyle w:val="2"/>
              <w:rPr>
                <w:rFonts w:hint="eastAsia" w:ascii="宋体" w:hAnsi="宋体" w:cs="宋体"/>
                <w:color w:val="FF0000"/>
                <w:sz w:val="21"/>
                <w:szCs w:val="21"/>
                <w:lang w:val="en-US" w:eastAsia="zh-CN"/>
              </w:rPr>
            </w:pPr>
          </w:p>
          <w:p>
            <w:pPr>
              <w:pStyle w:val="2"/>
              <w:rPr>
                <w:rFonts w:hint="eastAsia" w:ascii="宋体" w:hAnsi="宋体" w:cs="宋体"/>
                <w:color w:val="FF0000"/>
                <w:sz w:val="21"/>
                <w:szCs w:val="21"/>
                <w:lang w:val="en-US" w:eastAsia="zh-CN"/>
              </w:rPr>
            </w:pPr>
          </w:p>
          <w:p>
            <w:pPr>
              <w:pStyle w:val="2"/>
              <w:rPr>
                <w:rFonts w:hint="eastAsia" w:ascii="宋体" w:hAnsi="宋体" w:cs="宋体"/>
                <w:color w:val="FF0000"/>
                <w:sz w:val="21"/>
                <w:szCs w:val="21"/>
                <w:lang w:val="en-US" w:eastAsia="zh-CN"/>
              </w:rPr>
            </w:pPr>
          </w:p>
          <w:p>
            <w:pPr>
              <w:pStyle w:val="2"/>
              <w:rPr>
                <w:rFonts w:hint="eastAsia" w:ascii="宋体" w:hAnsi="宋体" w:cs="宋体"/>
                <w:color w:val="FF0000"/>
                <w:sz w:val="21"/>
                <w:szCs w:val="21"/>
                <w:lang w:val="en-US" w:eastAsia="zh-CN"/>
              </w:rPr>
            </w:pPr>
          </w:p>
          <w:p>
            <w:pPr>
              <w:pStyle w:val="2"/>
              <w:rPr>
                <w:rFonts w:hint="eastAsia" w:ascii="宋体" w:hAnsi="宋体" w:cs="宋体"/>
                <w:color w:val="FF0000"/>
                <w:sz w:val="21"/>
                <w:szCs w:val="21"/>
                <w:lang w:val="en-US" w:eastAsia="zh-CN"/>
              </w:rPr>
            </w:pPr>
          </w:p>
          <w:p>
            <w:pPr>
              <w:pStyle w:val="2"/>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看到，过程检验的《流动检验卡片》和单、操作者互检客户检验的《三检验数据记录表》</w:t>
            </w:r>
          </w:p>
          <w:p>
            <w:pPr>
              <w:pStyle w:val="2"/>
              <w:rPr>
                <w:rFonts w:hint="eastAsia" w:ascii="宋体" w:hAnsi="宋体" w:cs="宋体"/>
                <w:color w:val="FF0000"/>
                <w:sz w:val="21"/>
                <w:szCs w:val="21"/>
                <w:lang w:val="en-US" w:eastAsia="zh-CN"/>
              </w:rPr>
            </w:pPr>
            <w:r>
              <w:rPr>
                <w:rFonts w:hint="eastAsia" w:ascii="宋体" w:hAnsi="宋体" w:cs="宋体"/>
                <w:color w:val="FF0000"/>
                <w:sz w:val="21"/>
                <w:szCs w:val="21"/>
                <w:lang w:val="en-US" w:eastAsia="zh-CN"/>
              </w:rPr>
              <w:drawing>
                <wp:anchor distT="0" distB="0" distL="114300" distR="114300" simplePos="0" relativeHeight="251674624" behindDoc="0" locked="0" layoutInCell="1" allowOverlap="1">
                  <wp:simplePos x="0" y="0"/>
                  <wp:positionH relativeFrom="column">
                    <wp:posOffset>241300</wp:posOffset>
                  </wp:positionH>
                  <wp:positionV relativeFrom="paragraph">
                    <wp:posOffset>-3810</wp:posOffset>
                  </wp:positionV>
                  <wp:extent cx="1830070" cy="2540635"/>
                  <wp:effectExtent l="0" t="0" r="11430" b="12065"/>
                  <wp:wrapNone/>
                  <wp:docPr id="15" name="图片 15" descr="扫描全能王 2022-08-19 13.36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扫描全能王 2022-08-19 13.36_8"/>
                          <pic:cNvPicPr>
                            <a:picLocks noChangeAspect="1"/>
                          </pic:cNvPicPr>
                        </pic:nvPicPr>
                        <pic:blipFill>
                          <a:blip r:embed="rId19"/>
                          <a:stretch>
                            <a:fillRect/>
                          </a:stretch>
                        </pic:blipFill>
                        <pic:spPr>
                          <a:xfrm>
                            <a:off x="0" y="0"/>
                            <a:ext cx="1830070" cy="2540635"/>
                          </a:xfrm>
                          <a:prstGeom prst="rect">
                            <a:avLst/>
                          </a:prstGeom>
                        </pic:spPr>
                      </pic:pic>
                    </a:graphicData>
                  </a:graphic>
                </wp:anchor>
              </w:drawing>
            </w:r>
            <w:r>
              <w:rPr>
                <w:rFonts w:hint="eastAsia" w:ascii="宋体" w:hAnsi="宋体" w:cs="宋体"/>
                <w:color w:val="FF0000"/>
                <w:sz w:val="21"/>
                <w:szCs w:val="21"/>
                <w:lang w:val="en-US" w:eastAsia="zh-CN"/>
              </w:rPr>
              <w:drawing>
                <wp:anchor distT="0" distB="0" distL="114300" distR="114300" simplePos="0" relativeHeight="251675648" behindDoc="0" locked="0" layoutInCell="1" allowOverlap="1">
                  <wp:simplePos x="0" y="0"/>
                  <wp:positionH relativeFrom="column">
                    <wp:posOffset>2921000</wp:posOffset>
                  </wp:positionH>
                  <wp:positionV relativeFrom="paragraph">
                    <wp:posOffset>-439420</wp:posOffset>
                  </wp:positionV>
                  <wp:extent cx="2386965" cy="3384550"/>
                  <wp:effectExtent l="0" t="0" r="6350" b="635"/>
                  <wp:wrapNone/>
                  <wp:docPr id="16" name="图片 16" descr="扫描全能王 2022-08-19 13.36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扫描全能王 2022-08-19 13.36_7"/>
                          <pic:cNvPicPr>
                            <a:picLocks noChangeAspect="1"/>
                          </pic:cNvPicPr>
                        </pic:nvPicPr>
                        <pic:blipFill>
                          <a:blip r:embed="rId20"/>
                          <a:stretch>
                            <a:fillRect/>
                          </a:stretch>
                        </pic:blipFill>
                        <pic:spPr>
                          <a:xfrm rot="16200000">
                            <a:off x="0" y="0"/>
                            <a:ext cx="2386965" cy="3384550"/>
                          </a:xfrm>
                          <a:prstGeom prst="rect">
                            <a:avLst/>
                          </a:prstGeom>
                        </pic:spPr>
                      </pic:pic>
                    </a:graphicData>
                  </a:graphic>
                </wp:anchor>
              </w:drawing>
            </w:r>
          </w:p>
          <w:p>
            <w:pPr>
              <w:pStyle w:val="2"/>
              <w:rPr>
                <w:rFonts w:hint="eastAsia" w:ascii="宋体" w:hAnsi="宋体" w:cs="宋体"/>
                <w:color w:val="FF0000"/>
                <w:sz w:val="21"/>
                <w:szCs w:val="21"/>
                <w:lang w:val="en-US" w:eastAsia="zh-CN"/>
              </w:rPr>
            </w:pPr>
          </w:p>
          <w:p>
            <w:pPr>
              <w:pStyle w:val="2"/>
              <w:rPr>
                <w:rFonts w:hint="eastAsia" w:ascii="宋体" w:hAnsi="宋体" w:cs="宋体"/>
                <w:color w:val="FF0000"/>
                <w:sz w:val="21"/>
                <w:szCs w:val="21"/>
                <w:lang w:val="en-US" w:eastAsia="zh-CN"/>
              </w:rPr>
            </w:pPr>
          </w:p>
          <w:p>
            <w:pPr>
              <w:pStyle w:val="2"/>
              <w:rPr>
                <w:rFonts w:hint="eastAsia" w:ascii="宋体" w:hAnsi="宋体" w:cs="宋体"/>
                <w:color w:val="FF0000"/>
                <w:sz w:val="21"/>
                <w:szCs w:val="21"/>
                <w:lang w:val="en-US" w:eastAsia="zh-CN"/>
              </w:rPr>
            </w:pPr>
          </w:p>
          <w:p>
            <w:pPr>
              <w:pStyle w:val="2"/>
              <w:rPr>
                <w:rFonts w:hint="eastAsia" w:ascii="宋体" w:hAnsi="宋体" w:cs="宋体"/>
                <w:color w:val="FF0000"/>
                <w:sz w:val="21"/>
                <w:szCs w:val="21"/>
                <w:lang w:val="en-US" w:eastAsia="zh-CN"/>
              </w:rPr>
            </w:pPr>
          </w:p>
          <w:p>
            <w:pPr>
              <w:pStyle w:val="2"/>
              <w:rPr>
                <w:rFonts w:hint="eastAsia" w:ascii="宋体" w:hAnsi="宋体" w:cs="宋体"/>
                <w:color w:val="FF0000"/>
                <w:sz w:val="21"/>
                <w:szCs w:val="21"/>
                <w:lang w:val="en-US" w:eastAsia="zh-CN"/>
              </w:rPr>
            </w:pPr>
          </w:p>
          <w:p>
            <w:pPr>
              <w:pStyle w:val="2"/>
              <w:rPr>
                <w:rFonts w:hint="eastAsia" w:ascii="宋体" w:hAnsi="宋体" w:cs="宋体"/>
                <w:color w:val="FF0000"/>
                <w:sz w:val="21"/>
                <w:szCs w:val="21"/>
                <w:lang w:val="en-US" w:eastAsia="zh-CN"/>
              </w:rPr>
            </w:pPr>
          </w:p>
          <w:p>
            <w:pPr>
              <w:pStyle w:val="2"/>
              <w:rPr>
                <w:rFonts w:hint="eastAsia" w:ascii="宋体" w:hAnsi="宋体" w:cs="宋体"/>
                <w:color w:val="FF0000"/>
                <w:sz w:val="21"/>
                <w:szCs w:val="21"/>
                <w:lang w:val="en-US" w:eastAsia="zh-CN"/>
              </w:rPr>
            </w:pPr>
          </w:p>
          <w:p>
            <w:pPr>
              <w:pStyle w:val="2"/>
              <w:rPr>
                <w:rFonts w:hint="eastAsia" w:ascii="宋体" w:hAnsi="宋体" w:cs="宋体"/>
                <w:color w:val="FF0000"/>
                <w:sz w:val="21"/>
                <w:szCs w:val="21"/>
                <w:lang w:val="en-US" w:eastAsia="zh-CN"/>
              </w:rPr>
            </w:pPr>
          </w:p>
          <w:p>
            <w:pPr>
              <w:pStyle w:val="2"/>
              <w:rPr>
                <w:rFonts w:hint="eastAsia" w:ascii="宋体" w:hAnsi="宋体" w:cs="宋体"/>
                <w:color w:val="FF0000"/>
                <w:sz w:val="21"/>
                <w:szCs w:val="21"/>
                <w:lang w:val="en-US" w:eastAsia="zh-CN"/>
              </w:rPr>
            </w:pPr>
          </w:p>
          <w:p>
            <w:pPr>
              <w:pStyle w:val="2"/>
              <w:rPr>
                <w:rFonts w:hint="eastAsia" w:ascii="宋体" w:hAnsi="宋体" w:cs="宋体"/>
                <w:color w:val="FF0000"/>
                <w:sz w:val="21"/>
                <w:szCs w:val="21"/>
                <w:lang w:val="en-US" w:eastAsia="zh-CN"/>
              </w:rPr>
            </w:pPr>
          </w:p>
          <w:p>
            <w:pPr>
              <w:pStyle w:val="2"/>
              <w:rPr>
                <w:rFonts w:hint="eastAsia" w:ascii="宋体" w:hAnsi="宋体" w:cs="宋体"/>
                <w:color w:val="FF0000"/>
                <w:sz w:val="21"/>
                <w:szCs w:val="21"/>
                <w:lang w:val="en-US" w:eastAsia="zh-CN"/>
              </w:rPr>
            </w:pPr>
          </w:p>
          <w:p>
            <w:pPr>
              <w:pStyle w:val="2"/>
              <w:rPr>
                <w:rFonts w:hint="eastAsia" w:ascii="宋体" w:hAnsi="宋体" w:cs="宋体"/>
                <w:color w:val="FF0000"/>
                <w:sz w:val="21"/>
                <w:szCs w:val="21"/>
                <w:lang w:val="en-US" w:eastAsia="zh-CN"/>
              </w:rPr>
            </w:pPr>
          </w:p>
          <w:p>
            <w:pPr>
              <w:spacing w:line="360" w:lineRule="auto"/>
              <w:ind w:firstLine="308" w:firstLineChars="147"/>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现场看到正在加工：</w:t>
            </w:r>
            <w:r>
              <w:rPr>
                <w:rFonts w:hint="default" w:ascii="宋体" w:hAnsi="宋体" w:cs="宋体"/>
                <w:color w:val="000000" w:themeColor="text1"/>
                <w:sz w:val="21"/>
                <w:szCs w:val="21"/>
                <w14:textFill>
                  <w14:solidFill>
                    <w14:schemeClr w14:val="tx1"/>
                  </w14:solidFill>
                </w14:textFill>
              </w:rPr>
              <w:t>产品型号：</w:t>
            </w:r>
            <w:r>
              <w:rPr>
                <w:rFonts w:hint="eastAsia" w:ascii="宋体" w:hAnsi="宋体" w:cs="宋体"/>
                <w:color w:val="000000" w:themeColor="text1"/>
                <w:sz w:val="21"/>
                <w:szCs w:val="21"/>
                <w:lang w:val="en-US" w:eastAsia="zh-CN"/>
                <w14:textFill>
                  <w14:solidFill>
                    <w14:schemeClr w14:val="tx1"/>
                  </w14:solidFill>
                </w14:textFill>
              </w:rPr>
              <w:t>YF-115G   图号G2B0321-02     名称:过渡接头Ⅱ，</w:t>
            </w:r>
          </w:p>
          <w:p>
            <w:pPr>
              <w:pStyle w:val="2"/>
              <w:spacing w:line="360" w:lineRule="auto"/>
              <w:ind w:firstLine="2100" w:firstLineChars="1000"/>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工序1：数车     数控车床，机床型号：TT200       操作者  王猛</w:t>
            </w:r>
          </w:p>
          <w:p>
            <w:pPr>
              <w:pStyle w:val="2"/>
              <w:spacing w:line="360" w:lineRule="auto"/>
              <w:ind w:firstLine="2100" w:firstLineChars="1000"/>
              <w:rPr>
                <w:rFonts w:hint="default" w:ascii="宋体" w:hAnsi="宋体" w:cs="宋体"/>
                <w:color w:val="000000" w:themeColor="text1"/>
                <w:sz w:val="21"/>
                <w:szCs w:val="21"/>
                <w:lang w:val="en-US" w:eastAsia="zh-CN"/>
                <w14:textFill>
                  <w14:solidFill>
                    <w14:schemeClr w14:val="tx1"/>
                  </w14:solidFill>
                </w14:textFill>
              </w:rPr>
            </w:pPr>
            <w:r>
              <w:rPr>
                <w:rFonts w:hint="default" w:ascii="宋体" w:hAnsi="宋体" w:cs="宋体"/>
                <w:color w:val="000000" w:themeColor="text1"/>
                <w:sz w:val="21"/>
                <w:szCs w:val="21"/>
                <w14:textFill>
                  <w14:solidFill>
                    <w14:schemeClr w14:val="tx1"/>
                  </w14:solidFill>
                </w14:textFill>
              </w:rPr>
              <w:t>产品型号：</w:t>
            </w:r>
            <w:r>
              <w:rPr>
                <w:rFonts w:hint="eastAsia" w:ascii="宋体" w:hAnsi="宋体" w:cs="宋体"/>
                <w:color w:val="000000" w:themeColor="text1"/>
                <w:sz w:val="21"/>
                <w:szCs w:val="21"/>
                <w:lang w:val="en-US" w:eastAsia="zh-CN"/>
                <w14:textFill>
                  <w14:solidFill>
                    <w14:schemeClr w14:val="tx1"/>
                  </w14:solidFill>
                </w14:textFill>
              </w:rPr>
              <w:t>YF-115G   图号G2B0306-01     名称:凸台阶接头，</w:t>
            </w:r>
          </w:p>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 xml:space="preserve">                    工序3：数铣     数控铣床，机床型号：LV-1160     操作者  申广坤</w:t>
            </w:r>
          </w:p>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FF0000"/>
                <w:sz w:val="21"/>
                <w:szCs w:val="21"/>
                <w:lang w:val="en-US" w:eastAsia="zh-CN"/>
              </w:rPr>
              <w:drawing>
                <wp:anchor distT="0" distB="0" distL="114300" distR="114300" simplePos="0" relativeHeight="251677696" behindDoc="0" locked="0" layoutInCell="1" allowOverlap="1">
                  <wp:simplePos x="0" y="0"/>
                  <wp:positionH relativeFrom="column">
                    <wp:posOffset>3041650</wp:posOffset>
                  </wp:positionH>
                  <wp:positionV relativeFrom="paragraph">
                    <wp:posOffset>228600</wp:posOffset>
                  </wp:positionV>
                  <wp:extent cx="2440940" cy="1490345"/>
                  <wp:effectExtent l="0" t="0" r="10160" b="8255"/>
                  <wp:wrapNone/>
                  <wp:docPr id="19" name="图片 19" descr="210c3bbedcaed5cf9862d007b0f3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10c3bbedcaed5cf9862d007b0f37e7"/>
                          <pic:cNvPicPr>
                            <a:picLocks noChangeAspect="1"/>
                          </pic:cNvPicPr>
                        </pic:nvPicPr>
                        <pic:blipFill>
                          <a:blip r:embed="rId21"/>
                          <a:srcRect l="331" t="5858" r="11056" b="54174"/>
                          <a:stretch>
                            <a:fillRect/>
                          </a:stretch>
                        </pic:blipFill>
                        <pic:spPr>
                          <a:xfrm>
                            <a:off x="0" y="0"/>
                            <a:ext cx="2440940" cy="1490345"/>
                          </a:xfrm>
                          <a:prstGeom prst="rect">
                            <a:avLst/>
                          </a:prstGeom>
                        </pic:spPr>
                      </pic:pic>
                    </a:graphicData>
                  </a:graphic>
                </wp:anchor>
              </w:drawing>
            </w:r>
            <w:r>
              <w:rPr>
                <w:rFonts w:hint="eastAsia" w:ascii="宋体" w:hAnsi="宋体" w:eastAsia="宋体" w:cs="宋体"/>
                <w:color w:val="000000" w:themeColor="text1"/>
                <w:sz w:val="21"/>
                <w:szCs w:val="21"/>
                <w14:textFill>
                  <w14:solidFill>
                    <w14:schemeClr w14:val="tx1"/>
                  </w14:solidFill>
                </w14:textFill>
              </w:rPr>
              <w:t>通过现场观察以上工序操作均符合操作文件要求。</w:t>
            </w:r>
          </w:p>
          <w:p>
            <w:pPr>
              <w:adjustRightInd w:val="0"/>
              <w:snapToGrid w:val="0"/>
              <w:spacing w:line="280" w:lineRule="exact"/>
              <w:ind w:right="105" w:rightChars="50"/>
              <w:textAlignment w:val="baseline"/>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FF0000"/>
                <w:sz w:val="21"/>
                <w:szCs w:val="21"/>
                <w:lang w:eastAsia="zh-CN"/>
              </w:rPr>
              <w:drawing>
                <wp:anchor distT="0" distB="0" distL="114300" distR="114300" simplePos="0" relativeHeight="251676672" behindDoc="0" locked="0" layoutInCell="1" allowOverlap="1">
                  <wp:simplePos x="0" y="0"/>
                  <wp:positionH relativeFrom="column">
                    <wp:posOffset>729615</wp:posOffset>
                  </wp:positionH>
                  <wp:positionV relativeFrom="paragraph">
                    <wp:posOffset>33655</wp:posOffset>
                  </wp:positionV>
                  <wp:extent cx="2028190" cy="1297940"/>
                  <wp:effectExtent l="0" t="0" r="3810" b="10160"/>
                  <wp:wrapNone/>
                  <wp:docPr id="17" name="图片 17" descr="68eae02b023075b9a1228ef9f328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8eae02b023075b9a1228ef9f328f6c"/>
                          <pic:cNvPicPr>
                            <a:picLocks noChangeAspect="1"/>
                          </pic:cNvPicPr>
                        </pic:nvPicPr>
                        <pic:blipFill>
                          <a:blip r:embed="rId22"/>
                          <a:srcRect l="-1006" t="6419" r="9453" b="47749"/>
                          <a:stretch>
                            <a:fillRect/>
                          </a:stretch>
                        </pic:blipFill>
                        <pic:spPr>
                          <a:xfrm>
                            <a:off x="0" y="0"/>
                            <a:ext cx="2028190" cy="1297940"/>
                          </a:xfrm>
                          <a:prstGeom prst="rect">
                            <a:avLst/>
                          </a:prstGeom>
                        </pic:spPr>
                      </pic:pic>
                    </a:graphicData>
                  </a:graphic>
                </wp:anchor>
              </w:drawing>
            </w:r>
            <w:r>
              <w:rPr>
                <w:rFonts w:hint="eastAsia" w:ascii="宋体" w:hAnsi="宋体" w:cs="宋体"/>
                <w:color w:val="000000" w:themeColor="text1"/>
                <w:sz w:val="21"/>
                <w:szCs w:val="21"/>
                <w:lang w:val="en-US" w:eastAsia="zh-CN"/>
                <w14:textFill>
                  <w14:solidFill>
                    <w14:schemeClr w14:val="tx1"/>
                  </w14:solidFill>
                </w14:textFill>
              </w:rPr>
              <w:t>提供</w:t>
            </w:r>
          </w:p>
          <w:p>
            <w:pPr>
              <w:adjustRightInd w:val="0"/>
              <w:snapToGrid w:val="0"/>
              <w:spacing w:line="280" w:lineRule="exact"/>
              <w:ind w:right="105" w:rightChars="50"/>
              <w:textAlignment w:val="baseline"/>
              <w:rPr>
                <w:rFonts w:hint="eastAsia" w:ascii="宋体" w:hAnsi="宋体" w:eastAsia="宋体" w:cs="宋体"/>
                <w:color w:val="FF0000"/>
                <w:sz w:val="21"/>
                <w:szCs w:val="21"/>
                <w:lang w:eastAsia="zh-CN"/>
              </w:rPr>
            </w:pPr>
          </w:p>
          <w:p>
            <w:pPr>
              <w:adjustRightInd w:val="0"/>
              <w:snapToGrid w:val="0"/>
              <w:spacing w:line="280" w:lineRule="exact"/>
              <w:ind w:right="105" w:rightChars="50"/>
              <w:textAlignment w:val="baseline"/>
              <w:rPr>
                <w:rFonts w:hint="eastAsia" w:ascii="宋体" w:hAnsi="宋体" w:eastAsia="宋体" w:cs="宋体"/>
                <w:color w:val="FF0000"/>
                <w:sz w:val="21"/>
                <w:szCs w:val="21"/>
              </w:rPr>
            </w:pPr>
          </w:p>
          <w:p>
            <w:pPr>
              <w:adjustRightInd w:val="0"/>
              <w:snapToGrid w:val="0"/>
              <w:spacing w:line="280" w:lineRule="exact"/>
              <w:ind w:right="105" w:rightChars="50"/>
              <w:textAlignment w:val="baseline"/>
              <w:rPr>
                <w:rFonts w:hint="eastAsia" w:ascii="宋体" w:hAnsi="宋体" w:eastAsia="宋体" w:cs="宋体"/>
                <w:color w:val="FF0000"/>
                <w:sz w:val="21"/>
                <w:szCs w:val="21"/>
              </w:rPr>
            </w:pPr>
          </w:p>
          <w:p>
            <w:pPr>
              <w:adjustRightInd w:val="0"/>
              <w:snapToGrid w:val="0"/>
              <w:spacing w:line="280" w:lineRule="exact"/>
              <w:ind w:right="105" w:rightChars="50"/>
              <w:textAlignment w:val="baseline"/>
              <w:rPr>
                <w:rFonts w:hint="eastAsia" w:ascii="宋体" w:hAnsi="宋体" w:eastAsia="宋体" w:cs="宋体"/>
                <w:color w:val="FF0000"/>
                <w:sz w:val="21"/>
                <w:szCs w:val="21"/>
              </w:rPr>
            </w:pPr>
          </w:p>
          <w:p>
            <w:pPr>
              <w:adjustRightInd w:val="0"/>
              <w:snapToGrid w:val="0"/>
              <w:spacing w:line="280" w:lineRule="exact"/>
              <w:ind w:right="105" w:rightChars="50"/>
              <w:textAlignment w:val="baseline"/>
              <w:rPr>
                <w:rFonts w:hint="eastAsia" w:ascii="宋体" w:hAnsi="宋体" w:eastAsia="宋体" w:cs="宋体"/>
                <w:color w:val="FF0000"/>
                <w:sz w:val="21"/>
                <w:szCs w:val="21"/>
              </w:rPr>
            </w:pPr>
          </w:p>
          <w:p>
            <w:pPr>
              <w:adjustRightInd w:val="0"/>
              <w:snapToGrid w:val="0"/>
              <w:spacing w:line="280" w:lineRule="exact"/>
              <w:ind w:right="105" w:rightChars="50"/>
              <w:textAlignment w:val="baseline"/>
              <w:rPr>
                <w:rFonts w:hint="eastAsia" w:ascii="宋体" w:hAnsi="宋体" w:eastAsia="宋体" w:cs="宋体"/>
                <w:color w:val="FF0000"/>
                <w:sz w:val="21"/>
                <w:szCs w:val="21"/>
              </w:rPr>
            </w:pPr>
          </w:p>
          <w:p>
            <w:pPr>
              <w:adjustRightInd w:val="0"/>
              <w:snapToGrid w:val="0"/>
              <w:spacing w:line="280" w:lineRule="exact"/>
              <w:ind w:right="105" w:rightChars="50"/>
              <w:textAlignment w:val="baseline"/>
              <w:rPr>
                <w:rFonts w:hint="eastAsia" w:ascii="宋体" w:hAnsi="宋体" w:eastAsia="宋体" w:cs="宋体"/>
                <w:color w:val="FF0000"/>
                <w:sz w:val="21"/>
                <w:szCs w:val="21"/>
              </w:rPr>
            </w:pPr>
          </w:p>
          <w:p>
            <w:pPr>
              <w:adjustRightInd w:val="0"/>
              <w:snapToGrid w:val="0"/>
              <w:spacing w:line="280" w:lineRule="exact"/>
              <w:ind w:right="105" w:rightChars="50"/>
              <w:textAlignment w:val="baseline"/>
              <w:rPr>
                <w:rFonts w:hint="eastAsia" w:ascii="宋体" w:hAnsi="宋体" w:eastAsia="宋体" w:cs="宋体"/>
                <w:kern w:val="2"/>
                <w:sz w:val="21"/>
                <w:szCs w:val="21"/>
                <w:lang w:val="en-US" w:eastAsia="zh-CN" w:bidi="ar-SA"/>
              </w:rPr>
            </w:pPr>
            <w:r>
              <w:rPr>
                <w:rFonts w:hint="eastAsia" w:ascii="宋体" w:hAnsi="宋体" w:eastAsia="宋体" w:cs="宋体"/>
                <w:color w:val="000000" w:themeColor="text1"/>
                <w:sz w:val="21"/>
                <w:szCs w:val="21"/>
                <w14:textFill>
                  <w14:solidFill>
                    <w14:schemeClr w14:val="tx1"/>
                  </w14:solidFill>
                </w14:textFill>
              </w:rPr>
              <w:t>组织生产过程的控制符合标准规定的要求。</w:t>
            </w:r>
          </w:p>
        </w:tc>
        <w:tc>
          <w:tcPr>
            <w:tcW w:w="1585" w:type="dxa"/>
          </w:tcPr>
          <w:p>
            <w:pPr>
              <w:spacing w:line="360" w:lineRule="auto"/>
              <w:rPr>
                <w:rFonts w:hint="eastAsia" w:ascii="宋体" w:hAnsi="宋体" w:eastAsia="宋体" w:cs="宋体"/>
                <w:sz w:val="21"/>
                <w:szCs w:val="21"/>
              </w:rPr>
            </w:pPr>
            <w:r>
              <w:rPr>
                <w:rFonts w:hint="eastAsia" w:ascii="宋体" w:hAnsi="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2160" w:type="dxa"/>
            <w:vAlign w:val="center"/>
          </w:tcPr>
          <w:p>
            <w:pPr>
              <w:rPr>
                <w:rFonts w:hint="eastAsia" w:ascii="宋体" w:hAnsi="宋体" w:eastAsia="宋体" w:cs="宋体"/>
                <w:sz w:val="21"/>
                <w:szCs w:val="21"/>
              </w:rPr>
            </w:pPr>
            <w:r>
              <w:rPr>
                <w:rFonts w:hint="eastAsia" w:ascii="宋体" w:hAnsi="宋体" w:eastAsia="宋体" w:cs="宋体"/>
                <w:sz w:val="21"/>
                <w:szCs w:val="21"/>
              </w:rPr>
              <w:t>标识和可追溯/产品防护</w:t>
            </w:r>
          </w:p>
        </w:tc>
        <w:tc>
          <w:tcPr>
            <w:tcW w:w="960" w:type="dxa"/>
            <w:vAlign w:val="center"/>
          </w:tcPr>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8.5.2</w:t>
            </w:r>
          </w:p>
          <w:p>
            <w:pPr>
              <w:rPr>
                <w:rFonts w:hint="eastAsia" w:ascii="宋体" w:hAnsi="宋体" w:eastAsia="宋体" w:cs="宋体"/>
                <w:sz w:val="21"/>
                <w:szCs w:val="21"/>
              </w:rPr>
            </w:pPr>
            <w:r>
              <w:rPr>
                <w:rFonts w:hint="eastAsia" w:ascii="宋体" w:hAnsi="宋体" w:eastAsia="宋体" w:cs="宋体"/>
                <w:sz w:val="21"/>
                <w:szCs w:val="21"/>
              </w:rPr>
              <w:t>8.5.4</w:t>
            </w:r>
          </w:p>
        </w:tc>
        <w:tc>
          <w:tcPr>
            <w:tcW w:w="10004" w:type="dxa"/>
            <w:vAlign w:val="center"/>
          </w:tcPr>
          <w:p>
            <w:pPr>
              <w:pStyle w:val="2"/>
              <w:spacing w:line="360" w:lineRule="auto"/>
              <w:ind w:firstLine="420" w:firstLineChars="200"/>
              <w:rPr>
                <w:rFonts w:hint="default" w:ascii="宋体" w:hAnsi="宋体" w:cs="宋体"/>
                <w:color w:val="000000" w:themeColor="text1"/>
                <w:sz w:val="21"/>
                <w:szCs w:val="21"/>
                <w:lang w:val="en-US" w:eastAsia="zh-CN"/>
              </w:rPr>
            </w:pPr>
            <w:r>
              <w:rPr>
                <w:rFonts w:hint="eastAsia" w:ascii="宋体" w:hAnsi="宋体" w:cs="宋体"/>
                <w:color w:val="000000" w:themeColor="text1"/>
                <w:sz w:val="21"/>
                <w:szCs w:val="21"/>
                <w:lang w:val="en-US" w:eastAsia="zh-CN"/>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检验合格证审核8.6条</w:t>
            </w:r>
          </w:p>
          <w:p>
            <w:pPr>
              <w:pStyle w:val="2"/>
              <w:spacing w:line="360" w:lineRule="auto"/>
              <w:ind w:firstLine="420" w:firstLineChars="200"/>
              <w:rPr>
                <w:rFonts w:hint="eastAsia" w:ascii="宋体" w:hAnsi="宋体" w:cs="宋体"/>
                <w:color w:val="000000" w:themeColor="text1"/>
                <w:sz w:val="21"/>
                <w:szCs w:val="21"/>
                <w:lang w:val="en-US" w:eastAsia="zh-CN"/>
              </w:rPr>
            </w:pPr>
            <w:r>
              <w:rPr>
                <w:rFonts w:hint="eastAsia" w:ascii="宋体" w:hAnsi="宋体" w:cs="宋体"/>
                <w:color w:val="000000" w:themeColor="text1"/>
                <w:sz w:val="21"/>
                <w:szCs w:val="21"/>
                <w:lang w:val="en-US" w:eastAsia="zh-CN"/>
              </w:rPr>
              <w:t>原材料依据不同的类型和防护要求进行防护，产品运输时防止跌落损坏等。</w:t>
            </w:r>
          </w:p>
          <w:p>
            <w:pPr>
              <w:pStyle w:val="2"/>
              <w:spacing w:line="360" w:lineRule="auto"/>
              <w:ind w:firstLine="420" w:firstLineChars="200"/>
              <w:rPr>
                <w:rFonts w:hint="eastAsia" w:ascii="宋体" w:hAnsi="宋体" w:cs="宋体"/>
                <w:color w:val="000000" w:themeColor="text1"/>
                <w:sz w:val="21"/>
                <w:szCs w:val="21"/>
                <w:lang w:val="en-US" w:eastAsia="zh-CN"/>
              </w:rPr>
            </w:pPr>
            <w:r>
              <w:rPr>
                <w:rFonts w:hint="eastAsia" w:ascii="宋体" w:hAnsi="宋体" w:cs="宋体"/>
                <w:color w:val="000000" w:themeColor="text1"/>
                <w:sz w:val="21"/>
                <w:szCs w:val="21"/>
                <w:lang w:val="en-US" w:eastAsia="zh-CN"/>
              </w:rPr>
              <w:t>生产车间现场加工的半成品、成品分别按区域放置。原材料分类分区放置在指定仓库、产品标识方法得当、未发现不同类型和状态产品发生混淆现象。标识和可追溯性基本符合标准要求。</w:t>
            </w:r>
          </w:p>
          <w:p>
            <w:pPr>
              <w:pStyle w:val="2"/>
              <w:spacing w:line="360" w:lineRule="auto"/>
              <w:ind w:firstLine="420" w:firstLineChars="200"/>
              <w:rPr>
                <w:rFonts w:hint="eastAsia" w:ascii="宋体" w:hAnsi="宋体" w:cs="宋体"/>
                <w:color w:val="000000" w:themeColor="text1"/>
                <w:sz w:val="21"/>
                <w:szCs w:val="21"/>
                <w:lang w:val="en-US" w:eastAsia="zh-CN"/>
              </w:rPr>
            </w:pPr>
            <w:r>
              <w:rPr>
                <w:rFonts w:hint="eastAsia" w:ascii="宋体" w:hAnsi="宋体" w:cs="宋体"/>
                <w:color w:val="000000" w:themeColor="text1"/>
                <w:sz w:val="21"/>
                <w:szCs w:val="21"/>
                <w:lang w:val="en-US" w:eastAsia="zh-CN"/>
              </w:rPr>
              <w:t>产品生产过程中有采取相应的措施进行防护，以确保符合要求。防护包括标识、处置、污染控制、包装、储存、运输以及保护等。产品交工、包装及交付到预定地点期间，针对产品采取适当的防护措施，贮存场所，保持标识完整、清晰。</w:t>
            </w:r>
          </w:p>
          <w:p>
            <w:pPr>
              <w:pStyle w:val="2"/>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cs="宋体"/>
                <w:color w:val="000000" w:themeColor="text1"/>
                <w:sz w:val="21"/>
                <w:szCs w:val="21"/>
                <w:lang w:val="en-US" w:eastAsia="zh-CN"/>
              </w:rPr>
              <w:t>产品标识和防护管理基本符合要求。</w:t>
            </w:r>
          </w:p>
        </w:tc>
        <w:tc>
          <w:tcPr>
            <w:tcW w:w="1585" w:type="dxa"/>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trPr>
        <w:tc>
          <w:tcPr>
            <w:tcW w:w="2160"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更改控制</w:t>
            </w:r>
          </w:p>
        </w:tc>
        <w:tc>
          <w:tcPr>
            <w:tcW w:w="960"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8.5.6</w:t>
            </w:r>
          </w:p>
        </w:tc>
        <w:tc>
          <w:tcPr>
            <w:tcW w:w="10004" w:type="dxa"/>
            <w:vAlign w:val="center"/>
          </w:tcPr>
          <w:p>
            <w:pPr>
              <w:adjustRightInd w:val="0"/>
              <w:snapToGrid w:val="0"/>
              <w:spacing w:line="360" w:lineRule="auto"/>
              <w:ind w:right="105" w:rightChars="50"/>
              <w:textAlignment w:val="baseline"/>
              <w:rPr>
                <w:rFonts w:hint="eastAsia" w:ascii="宋体" w:hAnsi="宋体" w:eastAsia="宋体" w:cs="宋体"/>
                <w:sz w:val="21"/>
                <w:szCs w:val="21"/>
              </w:rPr>
            </w:pPr>
            <w:r>
              <w:rPr>
                <w:rFonts w:hint="eastAsia" w:ascii="宋体" w:hAnsi="宋体" w:eastAsia="宋体" w:cs="宋体"/>
                <w:sz w:val="21"/>
                <w:szCs w:val="21"/>
              </w:rPr>
              <w:t>生产</w:t>
            </w:r>
            <w:r>
              <w:rPr>
                <w:rFonts w:hint="eastAsia" w:ascii="宋体" w:hAnsi="宋体" w:cs="宋体"/>
                <w:sz w:val="21"/>
                <w:szCs w:val="21"/>
                <w:lang w:val="en-US" w:eastAsia="zh-CN"/>
              </w:rPr>
              <w:t>管理室</w:t>
            </w:r>
            <w:r>
              <w:rPr>
                <w:rFonts w:hint="eastAsia" w:ascii="宋体" w:hAnsi="宋体" w:eastAsia="宋体" w:cs="宋体"/>
                <w:sz w:val="21"/>
                <w:szCs w:val="21"/>
              </w:rPr>
              <w:t>负责人介绍，当内外部环境，如客户要求、产品技术和质量要求、生产工艺、适用的法律法规和产品技术标准等有更改时，相关部门提出更改计划并进行更改，更改由原制定人负责具体实施。自体系建立以来，未发生生产和服务控制有关信息的变更。</w:t>
            </w:r>
          </w:p>
        </w:tc>
        <w:tc>
          <w:tcPr>
            <w:tcW w:w="1585" w:type="dxa"/>
          </w:tcPr>
          <w:p>
            <w:pPr>
              <w:spacing w:line="360" w:lineRule="auto"/>
              <w:rPr>
                <w:rFonts w:hint="eastAsia" w:ascii="宋体" w:hAnsi="宋体" w:eastAsia="宋体" w:cs="宋体"/>
                <w:sz w:val="21"/>
                <w:szCs w:val="21"/>
              </w:rPr>
            </w:pPr>
            <w:r>
              <w:rPr>
                <w:rFonts w:hint="eastAsia" w:ascii="宋体" w:hAnsi="宋体" w:cs="宋体"/>
                <w:sz w:val="21"/>
                <w:szCs w:val="21"/>
                <w:lang w:val="en-US" w:eastAsia="zh-CN"/>
              </w:rPr>
              <w:t>符合</w:t>
            </w:r>
            <w:bookmarkStart w:id="2" w:name="_GoBack"/>
            <w:bookmarkEnd w:id="2"/>
          </w:p>
        </w:tc>
      </w:tr>
    </w:tbl>
    <w:p>
      <w:r>
        <w:ptab w:relativeTo="margin" w:alignment="center" w:leader="none"/>
      </w:r>
    </w:p>
    <w:p/>
    <w:p/>
    <w:p>
      <w:pPr>
        <w:pStyle w:val="4"/>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5"/>
      <w:pBdr>
        <w:bottom w:val="none" w:color="auto" w:sz="0" w:space="0"/>
      </w:pBdr>
      <w:spacing w:line="320" w:lineRule="exact"/>
      <w:ind w:firstLine="756" w:firstLineChars="400"/>
      <w:jc w:val="left"/>
    </w:pPr>
    <w:r>
      <w:rPr>
        <w:rStyle w:val="14"/>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86B267"/>
    <w:multiLevelType w:val="singleLevel"/>
    <w:tmpl w:val="7386B26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JhN2U4Y2Q5MGE2Mzc1MDlkNDVmNzZkYmRlMTYyYjcifQ=="/>
  </w:docVars>
  <w:rsids>
    <w:rsidRoot w:val="00000000"/>
    <w:rsid w:val="06487926"/>
    <w:rsid w:val="17543665"/>
    <w:rsid w:val="29361D11"/>
    <w:rsid w:val="2A9D1BA0"/>
    <w:rsid w:val="35FE5A5B"/>
    <w:rsid w:val="58BF23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sz w:val="28"/>
    </w:rPr>
  </w:style>
  <w:style w:type="paragraph" w:styleId="3">
    <w:name w:val="Balloon Text"/>
    <w:basedOn w:val="1"/>
    <w:link w:val="13"/>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bCs/>
    </w:rPr>
  </w:style>
  <w:style w:type="character" w:styleId="10">
    <w:name w:val="Emphasis"/>
    <w:basedOn w:val="8"/>
    <w:qFormat/>
    <w:uiPriority w:val="20"/>
    <w:rPr>
      <w:i/>
    </w:rPr>
  </w:style>
  <w:style w:type="character" w:customStyle="1" w:styleId="11">
    <w:name w:val="页眉 Char"/>
    <w:basedOn w:val="8"/>
    <w:link w:val="5"/>
    <w:qFormat/>
    <w:uiPriority w:val="99"/>
    <w:rPr>
      <w:rFonts w:ascii="Times New Roman" w:hAnsi="Times New Roman" w:eastAsia="宋体" w:cs="Times New Roman"/>
      <w:sz w:val="18"/>
      <w:szCs w:val="18"/>
    </w:rPr>
  </w:style>
  <w:style w:type="character" w:customStyle="1" w:styleId="12">
    <w:name w:val="页脚 Char"/>
    <w:basedOn w:val="8"/>
    <w:link w:val="4"/>
    <w:qFormat/>
    <w:uiPriority w:val="99"/>
    <w:rPr>
      <w:rFonts w:ascii="Times New Roman" w:hAnsi="Times New Roman" w:eastAsia="宋体" w:cs="Times New Roman"/>
      <w:sz w:val="18"/>
      <w:szCs w:val="18"/>
    </w:rPr>
  </w:style>
  <w:style w:type="character" w:customStyle="1" w:styleId="13">
    <w:name w:val="批注框文本 Char"/>
    <w:basedOn w:val="8"/>
    <w:link w:val="3"/>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表格文字"/>
    <w:basedOn w:val="1"/>
    <w:qFormat/>
    <w:uiPriority w:val="0"/>
    <w:pPr>
      <w:spacing w:before="25" w:after="25"/>
    </w:pPr>
    <w:rPr>
      <w:bCs/>
      <w:spacing w:val="10"/>
    </w:rPr>
  </w:style>
  <w:style w:type="paragraph" w:styleId="16">
    <w:name w:val="List Paragraph"/>
    <w:basedOn w:val="1"/>
    <w:qFormat/>
    <w:uiPriority w:val="99"/>
    <w:pPr>
      <w:ind w:firstLine="42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0</TotalTime>
  <ScaleCrop>false</ScaleCrop>
  <LinksUpToDate>false</LinksUpToDate>
  <CharactersWithSpaces>101</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LIL</cp:lastModifiedBy>
  <dcterms:modified xsi:type="dcterms:W3CDTF">2022-08-23T03:50:55Z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E5F23CBDE1FB4240A37ECDB37F1B52DB</vt:lpwstr>
  </property>
  <property fmtid="{D5CDD505-2E9C-101B-9397-08002B2CF9AE}" pid="3" name="KSOProductBuildVer">
    <vt:lpwstr>2052-11.1.0.12302</vt:lpwstr>
  </property>
</Properties>
</file>