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受审核部门：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设计管理部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主管领导：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 xml:space="preserve">姜桥  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陪同人员：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万芬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审核员：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 xml:space="preserve">林兵  高粲淼 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审核时间：</w:t>
            </w: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年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22日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审核条款：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QEO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5.3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6.2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Q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8.3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EO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6.1.2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160" w:type="dxa"/>
            <w:vAlign w:val="top"/>
          </w:tcPr>
          <w:p>
            <w:pPr>
              <w:bidi w:val="0"/>
              <w:rPr>
                <w:lang w:val="en-US" w:eastAsia="zh-CN"/>
              </w:rPr>
            </w:pPr>
            <w:r>
              <w:rPr>
                <w:rFonts w:hint="eastAsia"/>
              </w:rPr>
              <w:t>组织的岗位、职责和权限</w:t>
            </w:r>
          </w:p>
        </w:tc>
        <w:tc>
          <w:tcPr>
            <w:tcW w:w="960" w:type="dxa"/>
            <w:vAlign w:val="top"/>
          </w:tcPr>
          <w:p>
            <w:pPr>
              <w:bidi w:val="0"/>
              <w:rPr>
                <w:lang w:val="en-US" w:eastAsia="zh-CN"/>
              </w:rPr>
            </w:pPr>
            <w:r>
              <w:t xml:space="preserve">QEO5.3 </w:t>
            </w:r>
          </w:p>
        </w:tc>
        <w:tc>
          <w:tcPr>
            <w:tcW w:w="10004" w:type="dxa"/>
            <w:vAlign w:val="top"/>
          </w:tcPr>
          <w:p>
            <w:p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部门的</w:t>
            </w:r>
            <w:r>
              <w:rPr>
                <w:rFonts w:hint="eastAsia"/>
              </w:rPr>
              <w:t>职责、责任和权限</w:t>
            </w:r>
            <w:r>
              <w:rPr>
                <w:rFonts w:hint="eastAsia"/>
                <w:lang w:val="en-US" w:eastAsia="zh-CN"/>
              </w:rPr>
              <w:t>未变化</w:t>
            </w:r>
            <w:r>
              <w:rPr>
                <w:rFonts w:hint="eastAsia"/>
              </w:rPr>
              <w:t>。</w:t>
            </w:r>
          </w:p>
          <w:p>
            <w:pPr>
              <w:bidi w:val="0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部门负责人</w:t>
            </w:r>
            <w:r>
              <w:rPr>
                <w:rFonts w:hint="eastAsia"/>
                <w:lang w:val="en-US" w:eastAsia="zh-CN"/>
              </w:rPr>
              <w:t>姜桥清楚</w:t>
            </w:r>
            <w:r>
              <w:rPr>
                <w:rFonts w:hint="eastAsia"/>
              </w:rPr>
              <w:t>明确</w:t>
            </w:r>
            <w:r>
              <w:rPr>
                <w:rFonts w:hint="eastAsia"/>
                <w:lang w:val="en-US" w:eastAsia="zh-CN"/>
              </w:rPr>
              <w:t>需</w:t>
            </w:r>
            <w:r>
              <w:rPr>
                <w:rFonts w:hint="eastAsia"/>
              </w:rPr>
              <w:t>完成的部门目标指标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能较好回答部门质量、环境和职业健康职责，清楚工作流程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对工作要求明确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符合要求。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160" w:type="dxa"/>
            <w:vAlign w:val="top"/>
          </w:tcPr>
          <w:p>
            <w:pPr>
              <w:bidi w:val="0"/>
              <w:rPr>
                <w:lang w:val="en-US" w:eastAsia="zh-CN"/>
              </w:rPr>
            </w:pPr>
            <w:r>
              <w:rPr>
                <w:rFonts w:hint="eastAsia"/>
              </w:rPr>
              <w:t>环境与职业健康安全目标</w:t>
            </w:r>
          </w:p>
        </w:tc>
        <w:tc>
          <w:tcPr>
            <w:tcW w:w="960" w:type="dxa"/>
            <w:vAlign w:val="top"/>
          </w:tcPr>
          <w:p>
            <w:pPr>
              <w:bidi w:val="0"/>
              <w:rPr>
                <w:lang w:val="en-US" w:eastAsia="zh-CN"/>
              </w:rPr>
            </w:pPr>
            <w:r>
              <w:t>QEO6.2</w:t>
            </w:r>
          </w:p>
        </w:tc>
        <w:tc>
          <w:tcPr>
            <w:tcW w:w="10004" w:type="dxa"/>
            <w:vAlign w:val="top"/>
          </w:tcPr>
          <w:p>
            <w:p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查</w:t>
            </w:r>
            <w:r>
              <w:rPr>
                <w:rFonts w:hint="eastAsia"/>
                <w:lang w:eastAsia="zh-CN"/>
              </w:rPr>
              <w:t>设计管理部</w:t>
            </w:r>
            <w:r>
              <w:rPr>
                <w:rFonts w:hint="eastAsia"/>
              </w:rPr>
              <w:t>部门质量、环境、职业健康安全目标已明确</w:t>
            </w:r>
            <w:r>
              <w:t>4</w:t>
            </w:r>
            <w:r>
              <w:rPr>
                <w:rFonts w:hint="eastAsia"/>
              </w:rPr>
              <w:t>项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未变化</w:t>
            </w:r>
            <w:r>
              <w:rPr>
                <w:rFonts w:hint="eastAsia"/>
              </w:rPr>
              <w:t>：</w:t>
            </w:r>
          </w:p>
          <w:p>
            <w:p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1.设计图纸出错率0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底</w:t>
            </w:r>
            <w:r>
              <w:rPr>
                <w:rFonts w:hint="eastAsia"/>
              </w:rPr>
              <w:t>实测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；</w:t>
            </w:r>
          </w:p>
          <w:p>
            <w:p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2.各类废弃物按规定处置率100%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底</w:t>
            </w:r>
            <w:r>
              <w:rPr>
                <w:rFonts w:hint="eastAsia"/>
              </w:rPr>
              <w:t>实测100%；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重大安全事故为零、轻伤发生次数为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220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底</w:t>
            </w:r>
            <w:r>
              <w:rPr>
                <w:rFonts w:hint="eastAsia"/>
              </w:rPr>
              <w:t>实测</w:t>
            </w:r>
            <w:r>
              <w:rPr>
                <w:rFonts w:hint="eastAsia"/>
                <w:lang w:val="en-US" w:eastAsia="zh-CN"/>
              </w:rPr>
              <w:t>0。</w:t>
            </w:r>
          </w:p>
          <w:p>
            <w:p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设计管理部</w:t>
            </w:r>
            <w:r>
              <w:rPr>
                <w:rFonts w:hint="eastAsia"/>
              </w:rPr>
              <w:t>环境安全管理方案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未变化</w:t>
            </w:r>
            <w:r>
              <w:rPr>
                <w:rFonts w:hint="eastAsia"/>
              </w:rPr>
              <w:t>：</w:t>
            </w:r>
            <w:bookmarkStart w:id="0" w:name="_GoBack"/>
            <w:bookmarkEnd w:id="0"/>
          </w:p>
          <w:p>
            <w:p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目标：固废分类处理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rFonts w:hint="eastAsia"/>
              </w:rPr>
              <w:t>指标：固废100%分类处理及收集；</w:t>
            </w:r>
          </w:p>
          <w:p>
            <w:p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目标：消除潜在火灾隐患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指标：火灾事故为零；</w:t>
            </w:r>
          </w:p>
          <w:p>
            <w:p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目标：不发生触电事故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 xml:space="preserve">指标：重大触电事故率为0； </w:t>
            </w:r>
          </w:p>
          <w:p>
            <w:pPr>
              <w:bidi w:val="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公司针对以上目标指标制定了管理方案，规定了时间要求、责任部门、责任人、监查部门等；通过执行相关的控制程序、管理制度、安全排查等方式对以上管理方案进行管理，定期对方案进行检查，检查结果，以上方案已完成或正在实施中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bidi w:val="0"/>
            </w:pPr>
            <w:r>
              <w:rPr>
                <w:rFonts w:hint="eastAsia"/>
              </w:rPr>
              <w:t>环境因素、危险源的识别、评价及重要环境因素和不可接收风险</w:t>
            </w:r>
          </w:p>
        </w:tc>
        <w:tc>
          <w:tcPr>
            <w:tcW w:w="960" w:type="dxa"/>
            <w:vAlign w:val="top"/>
          </w:tcPr>
          <w:p>
            <w:pPr>
              <w:bidi w:val="0"/>
            </w:pPr>
            <w:r>
              <w:t>EO</w:t>
            </w:r>
          </w:p>
          <w:p>
            <w:pPr>
              <w:bidi w:val="0"/>
            </w:pPr>
            <w:r>
              <w:rPr>
                <w:rFonts w:hint="eastAsia"/>
              </w:rPr>
              <w:t>6.1.2</w:t>
            </w:r>
          </w:p>
        </w:tc>
        <w:tc>
          <w:tcPr>
            <w:tcW w:w="10004" w:type="dxa"/>
            <w:vAlign w:val="center"/>
          </w:tcPr>
          <w:p>
            <w:pPr>
              <w:spacing w:line="24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公司制定了《环境因素识别与评价管理程序》和《危险源辨识与风险评价控制措施管理程序》，</w:t>
            </w:r>
            <w:r>
              <w:rPr>
                <w:rFonts w:hint="eastAsia"/>
                <w:szCs w:val="21"/>
                <w:lang w:val="en-US" w:eastAsia="zh-CN"/>
              </w:rPr>
              <w:t>初审以来未变化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  <w:lang w:val="en-US" w:eastAsia="zh-CN"/>
              </w:rPr>
              <w:t>2022年3月2日评审了部门环境因素和危险源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240" w:lineRule="auto"/>
              <w:ind w:firstLine="420" w:firstLineChars="20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查见“环境因素识别评价表”，有编制和批准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spacing w:line="24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识别出环境因素有：废纸的废弃、废旧灯管的废弃、水电的消耗等；</w:t>
            </w:r>
          </w:p>
          <w:p>
            <w:pPr>
              <w:spacing w:line="240" w:lineRule="auto"/>
              <w:ind w:firstLine="420" w:firstLineChars="20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对识别出的环境因素进行了评价，评价方法：打分法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spacing w:line="24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评价出重要环境因素是：1）固废的排放2）火灾</w:t>
            </w:r>
            <w:r>
              <w:rPr>
                <w:rFonts w:hint="eastAsia"/>
                <w:szCs w:val="21"/>
                <w:lang w:val="en-US" w:eastAsia="zh-CN"/>
              </w:rPr>
              <w:t>等，</w:t>
            </w:r>
            <w:r>
              <w:rPr>
                <w:rFonts w:hint="eastAsia"/>
                <w:szCs w:val="21"/>
              </w:rPr>
              <w:t>已列入公司重要环境因素清单。</w:t>
            </w:r>
          </w:p>
          <w:p>
            <w:pPr>
              <w:spacing w:line="24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填写人为</w:t>
            </w:r>
            <w:r>
              <w:rPr>
                <w:rFonts w:hint="eastAsia"/>
                <w:szCs w:val="21"/>
                <w:lang w:val="en-US" w:eastAsia="zh-CN"/>
              </w:rPr>
              <w:t>姜桥</w:t>
            </w:r>
            <w:r>
              <w:rPr>
                <w:rFonts w:hint="eastAsia"/>
                <w:szCs w:val="21"/>
              </w:rPr>
              <w:t>，审批为</w:t>
            </w:r>
            <w:r>
              <w:rPr>
                <w:rFonts w:hint="eastAsia"/>
                <w:szCs w:val="21"/>
                <w:lang w:val="en-US" w:eastAsia="zh-CN"/>
              </w:rPr>
              <w:t>郭华厅</w:t>
            </w:r>
            <w:r>
              <w:rPr>
                <w:rFonts w:hint="eastAsia"/>
                <w:szCs w:val="21"/>
              </w:rPr>
              <w:t>，时间为</w:t>
            </w:r>
            <w:r>
              <w:rPr>
                <w:rFonts w:hint="eastAsia"/>
                <w:szCs w:val="21"/>
                <w:lang w:eastAsia="zh-CN"/>
              </w:rPr>
              <w:t>2022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；询问审核周期内，</w:t>
            </w:r>
            <w:r>
              <w:rPr>
                <w:rFonts w:hint="eastAsia"/>
                <w:szCs w:val="21"/>
                <w:lang w:val="en-US" w:eastAsia="zh-CN"/>
              </w:rPr>
              <w:t>产品类别都是铝模租赁</w:t>
            </w:r>
            <w:r>
              <w:rPr>
                <w:rFonts w:hint="eastAsia"/>
                <w:szCs w:val="21"/>
              </w:rPr>
              <w:t>，所开发的新品与原有</w:t>
            </w:r>
            <w:r>
              <w:rPr>
                <w:rFonts w:hint="eastAsia"/>
                <w:szCs w:val="21"/>
                <w:lang w:val="en-US" w:eastAsia="zh-CN"/>
              </w:rPr>
              <w:t>服务</w:t>
            </w:r>
            <w:r>
              <w:rPr>
                <w:rFonts w:hint="eastAsia"/>
                <w:szCs w:val="21"/>
              </w:rPr>
              <w:t>基本一致，环境因素无重大变化情况。</w:t>
            </w:r>
          </w:p>
          <w:p>
            <w:pPr>
              <w:spacing w:line="240" w:lineRule="auto"/>
              <w:ind w:firstLine="420" w:firstLineChars="20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查见“危险源辩识与风险评价清单”，有编制和批准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spacing w:line="24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识别出的危险源是：办公场所火灾导致人员伤害、物体坠落造成人体伤害、照明设备漏电触电、不安全操作导致触电、检测设备电线老化起火导致人员伤害等，并对识别出的危险源进行了评价，评价方法：采用LEC法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</w:rPr>
              <w:t>评价出不可接受风险清单是：火灾、触电</w:t>
            </w:r>
            <w:r>
              <w:rPr>
                <w:rFonts w:hint="eastAsia"/>
                <w:szCs w:val="21"/>
                <w:lang w:val="en-US" w:eastAsia="zh-CN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已列入公司不可接受风险控制清单。</w:t>
            </w:r>
          </w:p>
          <w:p>
            <w:pPr>
              <w:spacing w:line="24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填写人为</w:t>
            </w:r>
            <w:r>
              <w:rPr>
                <w:rFonts w:hint="eastAsia"/>
                <w:szCs w:val="21"/>
                <w:lang w:val="en-US" w:eastAsia="zh-CN"/>
              </w:rPr>
              <w:t>姜桥</w:t>
            </w:r>
            <w:r>
              <w:rPr>
                <w:rFonts w:hint="eastAsia"/>
                <w:szCs w:val="21"/>
              </w:rPr>
              <w:t>，审批为</w:t>
            </w:r>
            <w:r>
              <w:rPr>
                <w:rFonts w:hint="eastAsia"/>
                <w:szCs w:val="21"/>
                <w:lang w:val="en-US" w:eastAsia="zh-CN"/>
              </w:rPr>
              <w:t>郭华厅</w:t>
            </w:r>
            <w:r>
              <w:rPr>
                <w:rFonts w:hint="eastAsia"/>
                <w:szCs w:val="21"/>
              </w:rPr>
              <w:t>，时间为</w:t>
            </w:r>
            <w:r>
              <w:rPr>
                <w:rFonts w:hint="eastAsia"/>
                <w:szCs w:val="21"/>
                <w:lang w:eastAsia="zh-CN"/>
              </w:rPr>
              <w:t>2022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；询问审核周期内，</w:t>
            </w:r>
            <w:r>
              <w:rPr>
                <w:rFonts w:hint="eastAsia"/>
                <w:szCs w:val="21"/>
                <w:lang w:val="en-US" w:eastAsia="zh-CN"/>
              </w:rPr>
              <w:t>部门活动均在办公室内完成</w:t>
            </w:r>
            <w:r>
              <w:rPr>
                <w:rFonts w:hint="eastAsia"/>
                <w:szCs w:val="21"/>
              </w:rPr>
              <w:t>，危险源无重大变化情况。</w:t>
            </w:r>
          </w:p>
          <w:p>
            <w:pPr>
              <w:spacing w:line="24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控制基本符合要求。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  <w:p/>
          <w:p/>
          <w:p/>
          <w:p/>
          <w:p/>
          <w:p/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产品和服务的设计和开发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ind w:firstLine="8" w:firstLineChars="4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8.3</w:t>
            </w:r>
          </w:p>
        </w:tc>
        <w:tc>
          <w:tcPr>
            <w:tcW w:w="10004" w:type="dxa"/>
            <w:vAlign w:val="center"/>
          </w:tcPr>
          <w:p>
            <w:pPr>
              <w:spacing w:line="24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查管理手册</w:t>
            </w:r>
            <w:r>
              <w:rPr>
                <w:rFonts w:hint="eastAsia"/>
                <w:szCs w:val="21"/>
                <w:lang w:val="en-US" w:eastAsia="zh-CN"/>
              </w:rPr>
              <w:t>8.3条款</w:t>
            </w:r>
            <w:r>
              <w:rPr>
                <w:rFonts w:hint="eastAsia"/>
                <w:szCs w:val="21"/>
              </w:rPr>
              <w:t>对设计开发的控制要求作了规定，</w:t>
            </w:r>
            <w:r>
              <w:rPr>
                <w:rFonts w:hint="eastAsia"/>
                <w:szCs w:val="21"/>
                <w:lang w:val="en-US" w:eastAsia="zh-CN"/>
              </w:rPr>
              <w:t>未变化，持续</w:t>
            </w:r>
            <w:r>
              <w:rPr>
                <w:rFonts w:hint="eastAsia"/>
                <w:szCs w:val="21"/>
              </w:rPr>
              <w:t>符合要求；</w:t>
            </w:r>
          </w:p>
          <w:p>
            <w:pPr>
              <w:spacing w:line="240" w:lineRule="auto"/>
              <w:ind w:firstLine="420" w:firstLineChars="2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目前公司</w:t>
            </w:r>
            <w:r>
              <w:rPr>
                <w:rFonts w:hint="eastAsia"/>
                <w:szCs w:val="21"/>
                <w:lang w:val="en-US" w:eastAsia="zh-CN"/>
              </w:rPr>
              <w:t>提供的</w:t>
            </w:r>
            <w:r>
              <w:rPr>
                <w:rFonts w:hint="eastAsia"/>
                <w:szCs w:val="21"/>
              </w:rPr>
              <w:t>铝合金模板租赁</w:t>
            </w:r>
            <w:r>
              <w:rPr>
                <w:rFonts w:hint="eastAsia"/>
                <w:szCs w:val="21"/>
                <w:lang w:val="en-US" w:eastAsia="zh-CN"/>
              </w:rPr>
              <w:t>服务过程中，因铝合金模板的使用需与建筑施工的图纸匹配，设计管理部</w:t>
            </w:r>
            <w:r>
              <w:rPr>
                <w:rFonts w:hint="eastAsia"/>
                <w:szCs w:val="21"/>
              </w:rPr>
              <w:t>主要根据</w:t>
            </w:r>
            <w:r>
              <w:rPr>
                <w:rFonts w:hint="eastAsia"/>
                <w:szCs w:val="21"/>
                <w:lang w:val="en-US" w:eastAsia="zh-CN"/>
              </w:rPr>
              <w:t>项目方提供的建筑图纸和结构图纸进行</w:t>
            </w:r>
            <w:r>
              <w:rPr>
                <w:rFonts w:hint="eastAsia"/>
                <w:szCs w:val="21"/>
              </w:rPr>
              <w:t>技术</w:t>
            </w:r>
            <w:r>
              <w:rPr>
                <w:rFonts w:hint="eastAsia"/>
                <w:szCs w:val="21"/>
                <w:lang w:val="en-US" w:eastAsia="zh-CN"/>
              </w:rPr>
              <w:t>转化，使用制图软件，转化为铝合金模板的深化图，经客户确认后再提供相应模板的租赁服务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24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提供了设计开发项目：</w:t>
            </w:r>
            <w:r>
              <w:rPr>
                <w:rFonts w:hint="eastAsia"/>
                <w:szCs w:val="21"/>
                <w:lang w:val="en-US" w:eastAsia="zh-CN"/>
              </w:rPr>
              <w:t>江苏省连云港市海州区万象紫东城一标</w:t>
            </w:r>
            <w:r>
              <w:rPr>
                <w:rFonts w:hint="eastAsia"/>
                <w:szCs w:val="21"/>
              </w:rPr>
              <w:t>项目</w:t>
            </w:r>
            <w:r>
              <w:rPr>
                <w:rFonts w:hint="eastAsia"/>
                <w:szCs w:val="21"/>
                <w:lang w:val="en-US" w:eastAsia="zh-CN"/>
              </w:rPr>
              <w:t>的标准层</w:t>
            </w:r>
            <w:r>
              <w:rPr>
                <w:rFonts w:hint="eastAsia"/>
                <w:szCs w:val="21"/>
              </w:rPr>
              <w:t>铝模租赁：</w:t>
            </w:r>
            <w:r>
              <w:rPr>
                <w:szCs w:val="21"/>
              </w:rPr>
              <w:t xml:space="preserve"> </w:t>
            </w:r>
          </w:p>
          <w:p>
            <w:pPr>
              <w:spacing w:line="24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</w:rPr>
              <w:t>《项目建议书》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：建议人</w:t>
            </w:r>
            <w:r>
              <w:rPr>
                <w:rFonts w:hint="eastAsia"/>
                <w:szCs w:val="21"/>
                <w:lang w:val="en-US" w:eastAsia="zh-CN"/>
              </w:rPr>
              <w:t>为市场管理</w:t>
            </w:r>
            <w:r>
              <w:rPr>
                <w:rFonts w:hint="eastAsia"/>
                <w:szCs w:val="21"/>
              </w:rPr>
              <w:t>部</w:t>
            </w:r>
            <w:r>
              <w:rPr>
                <w:rFonts w:hint="eastAsia"/>
                <w:szCs w:val="21"/>
                <w:lang w:val="en-US" w:eastAsia="zh-CN"/>
              </w:rPr>
              <w:t>孙伟</w:t>
            </w:r>
            <w:r>
              <w:rPr>
                <w:rFonts w:hint="eastAsia"/>
                <w:szCs w:val="21"/>
              </w:rPr>
              <w:t>，根据</w:t>
            </w:r>
            <w:r>
              <w:rPr>
                <w:rFonts w:hint="eastAsia"/>
                <w:szCs w:val="21"/>
                <w:lang w:val="en-US" w:eastAsia="zh-CN"/>
              </w:rPr>
              <w:t>合同和建筑图纸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要求设计项目深化图，给租赁实施提供技术支撑，由总经理签字确认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24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2.</w:t>
            </w:r>
            <w:r>
              <w:rPr>
                <w:rFonts w:hint="eastAsia"/>
                <w:szCs w:val="21"/>
              </w:rPr>
              <w:t>当天下达了《设计开发任务书》，</w:t>
            </w:r>
            <w:r>
              <w:rPr>
                <w:rFonts w:hint="eastAsia"/>
                <w:szCs w:val="21"/>
                <w:lang w:eastAsia="zh-CN"/>
              </w:rPr>
              <w:t>设计管理部</w:t>
            </w:r>
            <w:r>
              <w:rPr>
                <w:rFonts w:hint="eastAsia"/>
                <w:szCs w:val="21"/>
              </w:rPr>
              <w:t>门及项目负责人</w:t>
            </w:r>
            <w:r>
              <w:rPr>
                <w:rFonts w:hint="eastAsia"/>
                <w:szCs w:val="21"/>
                <w:lang w:val="en-US" w:eastAsia="zh-CN"/>
              </w:rPr>
              <w:t>姜桥</w:t>
            </w:r>
            <w:r>
              <w:rPr>
                <w:rFonts w:hint="eastAsia"/>
                <w:szCs w:val="21"/>
              </w:rPr>
              <w:t>，由总经理</w:t>
            </w:r>
            <w:r>
              <w:rPr>
                <w:rFonts w:hint="eastAsia"/>
                <w:szCs w:val="21"/>
                <w:lang w:val="en-US" w:eastAsia="zh-CN"/>
              </w:rPr>
              <w:t>郭华厅</w:t>
            </w:r>
            <w:r>
              <w:rPr>
                <w:rFonts w:hint="eastAsia"/>
                <w:szCs w:val="21"/>
              </w:rPr>
              <w:t>下达。</w:t>
            </w:r>
          </w:p>
          <w:p>
            <w:pPr>
              <w:spacing w:line="24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3.提供</w:t>
            </w:r>
            <w:r>
              <w:rPr>
                <w:rFonts w:hint="eastAsia"/>
                <w:szCs w:val="21"/>
              </w:rPr>
              <w:t>《设计开发计划书》，明确了开发时间2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21年11月底前完成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评审工作由公司各部门负责人参加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240" w:lineRule="auto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</w:rPr>
              <w:t>提供了设计开发输入清单，包括</w:t>
            </w:r>
            <w:r>
              <w:rPr>
                <w:rFonts w:hint="eastAsia"/>
                <w:szCs w:val="21"/>
                <w:lang w:val="en-US" w:eastAsia="zh-CN"/>
              </w:rPr>
              <w:t>铝合金模板技术规范、产品标准、项目合同</w:t>
            </w:r>
            <w:r>
              <w:rPr>
                <w:rFonts w:hint="eastAsia"/>
                <w:szCs w:val="21"/>
              </w:rPr>
              <w:t>、设计任务书、</w:t>
            </w:r>
            <w:r>
              <w:rPr>
                <w:rFonts w:hint="eastAsia"/>
                <w:szCs w:val="21"/>
                <w:lang w:val="en-US" w:eastAsia="zh-CN"/>
              </w:rPr>
              <w:t>建筑图、项目结构图、适用的设计软件（CAD/BIM/铝模插件）</w:t>
            </w:r>
            <w:r>
              <w:rPr>
                <w:rFonts w:hint="eastAsia"/>
                <w:szCs w:val="21"/>
              </w:rPr>
              <w:t>等。</w:t>
            </w:r>
          </w:p>
          <w:p>
            <w:pPr>
              <w:spacing w:line="24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5.</w:t>
            </w:r>
            <w:r>
              <w:rPr>
                <w:rFonts w:hint="eastAsia"/>
                <w:szCs w:val="21"/>
              </w:rPr>
              <w:t>根据进度设计</w:t>
            </w:r>
            <w:r>
              <w:rPr>
                <w:rFonts w:hint="eastAsia"/>
                <w:szCs w:val="21"/>
                <w:lang w:val="en-US" w:eastAsia="zh-CN"/>
              </w:rPr>
              <w:t>输入，输出设计深化图初稿，由公司各相关部门进行内部评审，经确认后由公司盖章形成完善图纸。</w:t>
            </w:r>
          </w:p>
          <w:p>
            <w:pPr>
              <w:spacing w:line="24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6.根据确认的深化图纸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由物资管理部发厂家按图纸进行小批量试装，提供试装报告确认验证后，再批量实施租赁服务过程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24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7.</w:t>
            </w:r>
            <w:r>
              <w:rPr>
                <w:rFonts w:hint="eastAsia"/>
                <w:szCs w:val="21"/>
              </w:rPr>
              <w:t>针对设计开发过程，进行了设计开发评审、验证和确认工作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</w:rPr>
              <w:t>查</w:t>
            </w:r>
            <w:r>
              <w:rPr>
                <w:rFonts w:hint="eastAsia"/>
                <w:szCs w:val="21"/>
                <w:lang w:val="en-US" w:eastAsia="zh-CN"/>
              </w:rPr>
              <w:t>2021年11月28日的《铝模板工程图纸答疑确认表》，确认内容为53项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见江苏万象建工集团有限公司盖章确认，</w:t>
            </w:r>
            <w:r>
              <w:rPr>
                <w:rFonts w:hint="eastAsia"/>
                <w:szCs w:val="21"/>
              </w:rPr>
              <w:t>基本</w:t>
            </w:r>
            <w:r>
              <w:rPr>
                <w:rFonts w:hint="eastAsia"/>
                <w:szCs w:val="21"/>
                <w:lang w:val="en-US" w:eastAsia="zh-CN"/>
              </w:rPr>
              <w:t>完整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240" w:lineRule="auto"/>
              <w:ind w:firstLine="420" w:firstLineChars="2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8.设计开发客户确认后，进行租赁服务提供。</w:t>
            </w:r>
          </w:p>
          <w:p>
            <w:pPr>
              <w:spacing w:line="240" w:lineRule="auto"/>
              <w:ind w:firstLine="420" w:firstLineChars="2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综上，</w:t>
            </w:r>
            <w:r>
              <w:rPr>
                <w:rFonts w:hint="eastAsia"/>
                <w:szCs w:val="21"/>
              </w:rPr>
              <w:t>设计开发</w:t>
            </w:r>
            <w:r>
              <w:rPr>
                <w:rFonts w:hint="eastAsia"/>
                <w:szCs w:val="21"/>
                <w:lang w:val="en-US" w:eastAsia="zh-CN"/>
              </w:rPr>
              <w:t>过程控制</w:t>
            </w:r>
            <w:r>
              <w:rPr>
                <w:rFonts w:hint="eastAsia"/>
                <w:szCs w:val="21"/>
              </w:rPr>
              <w:t>基本符合要求。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运行策划和控制</w:t>
            </w:r>
          </w:p>
          <w:p>
            <w:pPr>
              <w:spacing w:line="280" w:lineRule="exac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编制与环境、安全管理体系运行控制有关的文件有《环境因素识别与评价管理程序》、《危险源辨识与风险评价控制措施管理程序》、《对相关方施加影响管理程序》等。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1.固废管控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主要为生活垃圾，办公室有垃圾篓，收集后倒入垃圾站由市政环卫运送至统一地点集中处理；危废（墨盒、硒鼓、灯管）排放由办公用品供应商回收。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2.废水管控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办公场所为写字楼，主要生活废水排入政府污水管网统一处理。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3.能源资源管控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设计和开发过程注意节水、节电、节油，人走关闭开关，未发现有漏水和浪费电能的现象。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4.潜在火灾管控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公司办公室现场配有灭火器和消防栓，有相应的检查维护记录；配套应急预案和演练措施。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5.安全防护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疫情期间进出公司人员进行温度登记，查看健康码；公司给员工发放口罩等劳保用品；不允许私拉乱扔等。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0" w:type="auto"/>
            <w:vAlign w:val="top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应急响应和准备</w:t>
            </w:r>
          </w:p>
        </w:tc>
        <w:tc>
          <w:tcPr>
            <w:tcW w:w="0" w:type="auto"/>
            <w:vAlign w:val="top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8.2</w:t>
            </w:r>
          </w:p>
        </w:tc>
        <w:tc>
          <w:tcPr>
            <w:tcW w:w="0" w:type="auto"/>
            <w:vAlign w:val="center"/>
          </w:tcPr>
          <w:p>
            <w:pPr>
              <w:pStyle w:val="17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组织</w:t>
            </w:r>
            <w:r>
              <w:rPr>
                <w:rFonts w:hint="eastAsia"/>
                <w:sz w:val="21"/>
                <w:szCs w:val="21"/>
              </w:rPr>
              <w:t>编制了《应急准备和响应管理程序》，策划了应急预案包括触电、火灾、中暑、台风等应急预案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内容基本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无变化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default" w:ascii="Calibri" w:hAnsi="Calibri" w:eastAsia="宋体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Cs w:val="21"/>
              </w:rPr>
              <w:t>查消防灭火演练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：</w:t>
            </w:r>
            <w:r>
              <w:rPr>
                <w:rFonts w:hint="eastAsia" w:ascii="Calibri" w:hAnsi="Calibri"/>
                <w:szCs w:val="21"/>
              </w:rPr>
              <w:t>演练时间</w:t>
            </w:r>
            <w:r>
              <w:rPr>
                <w:rFonts w:hint="eastAsia" w:ascii="Calibri" w:hAnsi="Calibri"/>
                <w:szCs w:val="21"/>
                <w:lang w:eastAsia="zh-CN"/>
              </w:rPr>
              <w:t>：</w:t>
            </w:r>
            <w:r>
              <w:rPr>
                <w:rFonts w:hint="eastAsia" w:ascii="Calibri" w:hAnsi="Calibri"/>
                <w:szCs w:val="21"/>
              </w:rPr>
              <w:t>20</w:t>
            </w:r>
            <w:r>
              <w:rPr>
                <w:rFonts w:ascii="Calibri" w:hAnsi="Calibri"/>
                <w:szCs w:val="21"/>
              </w:rPr>
              <w:t>2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2</w:t>
            </w:r>
            <w:r>
              <w:rPr>
                <w:rFonts w:ascii="Calibri" w:hAnsi="Calibri"/>
                <w:szCs w:val="21"/>
              </w:rPr>
              <w:t>.4.20</w:t>
            </w:r>
            <w:r>
              <w:rPr>
                <w:rFonts w:hint="eastAsia" w:ascii="Calibri" w:hAnsi="Calibri"/>
                <w:szCs w:val="21"/>
                <w:lang w:eastAsia="zh-CN"/>
              </w:rPr>
              <w:t>；</w:t>
            </w:r>
            <w:r>
              <w:rPr>
                <w:rFonts w:hint="eastAsia" w:ascii="Calibri" w:hAnsi="Calibri"/>
                <w:szCs w:val="21"/>
              </w:rPr>
              <w:t>地点</w:t>
            </w:r>
            <w:r>
              <w:rPr>
                <w:rFonts w:hint="eastAsia" w:ascii="Calibri" w:hAnsi="Calibri"/>
                <w:szCs w:val="21"/>
                <w:lang w:eastAsia="zh-CN"/>
              </w:rPr>
              <w:t>：</w:t>
            </w:r>
            <w:r>
              <w:rPr>
                <w:rFonts w:hint="eastAsia" w:ascii="Calibri" w:hAnsi="Calibri"/>
                <w:szCs w:val="21"/>
              </w:rPr>
              <w:t>办公大楼前</w:t>
            </w:r>
            <w:r>
              <w:rPr>
                <w:rFonts w:hint="eastAsia" w:ascii="Calibri" w:hAnsi="Calibri"/>
                <w:szCs w:val="21"/>
                <w:lang w:eastAsia="zh-CN"/>
              </w:rPr>
              <w:t>；</w:t>
            </w:r>
            <w:r>
              <w:rPr>
                <w:rFonts w:hint="eastAsia" w:ascii="Calibri" w:hAnsi="Calibri"/>
                <w:szCs w:val="21"/>
              </w:rPr>
              <w:t>对演练过程进行了描述，并对预案的有效性进行了评价。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设计管理部人员参与了演练。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/>
                <w:szCs w:val="21"/>
              </w:rPr>
              <w:t>目前未发生火灾、人身伤害等事故。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pPr>
        <w:pStyle w:val="8"/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符合标注Y，</w:t>
      </w:r>
      <w:r>
        <w:rPr>
          <w:rFonts w:hint="eastAsia"/>
        </w:rPr>
        <w:t>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-45720</wp:posOffset>
          </wp:positionH>
          <wp:positionV relativeFrom="paragraph">
            <wp:posOffset>19685</wp:posOffset>
          </wp:positionV>
          <wp:extent cx="485775" cy="485775"/>
          <wp:effectExtent l="0" t="0" r="1905" b="190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9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xNmFjM2JiM2E0NTA2NDBlNDc5ZjJlODAzODVlOTAifQ=="/>
  </w:docVars>
  <w:rsids>
    <w:rsidRoot w:val="00DD4B80"/>
    <w:rsid w:val="0001713F"/>
    <w:rsid w:val="000259AC"/>
    <w:rsid w:val="00046370"/>
    <w:rsid w:val="00060CE2"/>
    <w:rsid w:val="00063F67"/>
    <w:rsid w:val="000841F8"/>
    <w:rsid w:val="000B7900"/>
    <w:rsid w:val="000D6436"/>
    <w:rsid w:val="001032CB"/>
    <w:rsid w:val="001538EB"/>
    <w:rsid w:val="001541DA"/>
    <w:rsid w:val="001A2755"/>
    <w:rsid w:val="001E2BA0"/>
    <w:rsid w:val="002D1F1C"/>
    <w:rsid w:val="00323D68"/>
    <w:rsid w:val="00376607"/>
    <w:rsid w:val="003852FD"/>
    <w:rsid w:val="003E6474"/>
    <w:rsid w:val="00411CE7"/>
    <w:rsid w:val="0044635D"/>
    <w:rsid w:val="00477697"/>
    <w:rsid w:val="004B16A6"/>
    <w:rsid w:val="004E074C"/>
    <w:rsid w:val="004E08A4"/>
    <w:rsid w:val="00500C21"/>
    <w:rsid w:val="00514D77"/>
    <w:rsid w:val="005E51DA"/>
    <w:rsid w:val="005F58CE"/>
    <w:rsid w:val="006350F0"/>
    <w:rsid w:val="0064766E"/>
    <w:rsid w:val="0066443D"/>
    <w:rsid w:val="0068005C"/>
    <w:rsid w:val="006C3B64"/>
    <w:rsid w:val="006E7A70"/>
    <w:rsid w:val="007420C5"/>
    <w:rsid w:val="007536EE"/>
    <w:rsid w:val="007B1A3B"/>
    <w:rsid w:val="007F5845"/>
    <w:rsid w:val="007F6B96"/>
    <w:rsid w:val="00802252"/>
    <w:rsid w:val="008048DA"/>
    <w:rsid w:val="00834B09"/>
    <w:rsid w:val="008722E9"/>
    <w:rsid w:val="00893291"/>
    <w:rsid w:val="008E0C8E"/>
    <w:rsid w:val="008E45B6"/>
    <w:rsid w:val="0094266C"/>
    <w:rsid w:val="00954EA8"/>
    <w:rsid w:val="009B7866"/>
    <w:rsid w:val="009C3AF7"/>
    <w:rsid w:val="00A07938"/>
    <w:rsid w:val="00A3276E"/>
    <w:rsid w:val="00A537CA"/>
    <w:rsid w:val="00A942EA"/>
    <w:rsid w:val="00AA2D83"/>
    <w:rsid w:val="00AB7281"/>
    <w:rsid w:val="00B01EF6"/>
    <w:rsid w:val="00B325A1"/>
    <w:rsid w:val="00BB5BDD"/>
    <w:rsid w:val="00BB6546"/>
    <w:rsid w:val="00BE0E37"/>
    <w:rsid w:val="00BF540D"/>
    <w:rsid w:val="00C23315"/>
    <w:rsid w:val="00C343F0"/>
    <w:rsid w:val="00CB6525"/>
    <w:rsid w:val="00D5752A"/>
    <w:rsid w:val="00DD4B80"/>
    <w:rsid w:val="00E113F1"/>
    <w:rsid w:val="00E238F5"/>
    <w:rsid w:val="00E345F7"/>
    <w:rsid w:val="00E412FC"/>
    <w:rsid w:val="00E5540F"/>
    <w:rsid w:val="00E9666B"/>
    <w:rsid w:val="00EF3EBB"/>
    <w:rsid w:val="00F13AB9"/>
    <w:rsid w:val="00F66D86"/>
    <w:rsid w:val="00F67463"/>
    <w:rsid w:val="00F922A5"/>
    <w:rsid w:val="00FB75CB"/>
    <w:rsid w:val="00FD12F5"/>
    <w:rsid w:val="00FD6519"/>
    <w:rsid w:val="04F155F7"/>
    <w:rsid w:val="05C96F48"/>
    <w:rsid w:val="08FC141C"/>
    <w:rsid w:val="0D011D0F"/>
    <w:rsid w:val="13985A13"/>
    <w:rsid w:val="14AD36BE"/>
    <w:rsid w:val="177F1539"/>
    <w:rsid w:val="1FAF5778"/>
    <w:rsid w:val="202F059C"/>
    <w:rsid w:val="20F247B5"/>
    <w:rsid w:val="2351427D"/>
    <w:rsid w:val="27010B22"/>
    <w:rsid w:val="28236AC8"/>
    <w:rsid w:val="2F066B82"/>
    <w:rsid w:val="2F1011C2"/>
    <w:rsid w:val="32B7644F"/>
    <w:rsid w:val="34671F4A"/>
    <w:rsid w:val="361A0D13"/>
    <w:rsid w:val="37036BDB"/>
    <w:rsid w:val="37DF4E61"/>
    <w:rsid w:val="3C684A53"/>
    <w:rsid w:val="3CE219B6"/>
    <w:rsid w:val="402E65D5"/>
    <w:rsid w:val="428C07D7"/>
    <w:rsid w:val="43376039"/>
    <w:rsid w:val="445A0B44"/>
    <w:rsid w:val="44F92825"/>
    <w:rsid w:val="45DA1F71"/>
    <w:rsid w:val="47706491"/>
    <w:rsid w:val="48416628"/>
    <w:rsid w:val="48CC6159"/>
    <w:rsid w:val="4D0A7D7C"/>
    <w:rsid w:val="4EFF5F2B"/>
    <w:rsid w:val="51257C25"/>
    <w:rsid w:val="54E96F60"/>
    <w:rsid w:val="57567FB5"/>
    <w:rsid w:val="581A4428"/>
    <w:rsid w:val="5C22621E"/>
    <w:rsid w:val="5C425FF2"/>
    <w:rsid w:val="5EC849CA"/>
    <w:rsid w:val="60690297"/>
    <w:rsid w:val="62A56734"/>
    <w:rsid w:val="63E15E8F"/>
    <w:rsid w:val="645812F3"/>
    <w:rsid w:val="64694BEA"/>
    <w:rsid w:val="675B4EC8"/>
    <w:rsid w:val="684375E5"/>
    <w:rsid w:val="74534249"/>
    <w:rsid w:val="748A1BB3"/>
    <w:rsid w:val="75F223AC"/>
    <w:rsid w:val="76370214"/>
    <w:rsid w:val="76D640F4"/>
    <w:rsid w:val="7924354E"/>
    <w:rsid w:val="7F9D1F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rPr>
      <w:sz w:val="24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6">
    <w:name w:val="Body Text Indent"/>
    <w:basedOn w:val="1"/>
    <w:link w:val="19"/>
    <w:qFormat/>
    <w:uiPriority w:val="0"/>
    <w:pPr>
      <w:ind w:left="360"/>
    </w:pPr>
    <w:rPr>
      <w:rFonts w:ascii="宋体"/>
      <w:sz w:val="20"/>
    </w:rPr>
  </w:style>
  <w:style w:type="paragraph" w:styleId="7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3">
    <w:name w:val="页眉 字符"/>
    <w:basedOn w:val="11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1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18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9">
    <w:name w:val="正文文本缩进 字符"/>
    <w:basedOn w:val="11"/>
    <w:link w:val="6"/>
    <w:qFormat/>
    <w:uiPriority w:val="0"/>
    <w:rPr>
      <w:rFonts w:ascii="宋体" w:hAnsi="Times New Roman" w:eastAsia="宋体" w:cs="Times New Roman"/>
      <w:kern w:val="2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2748</Words>
  <Characters>2867</Characters>
  <Lines>19</Lines>
  <Paragraphs>5</Paragraphs>
  <TotalTime>0</TotalTime>
  <ScaleCrop>false</ScaleCrop>
  <LinksUpToDate>false</LinksUpToDate>
  <CharactersWithSpaces>2902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2020-11-07T03:22:00Z</dcterms:created>
  <dc:creator>微软用户</dc:creator>
  <cp:lastModifiedBy>wangxianhua</cp:lastModifiedBy>
  <dcterms:modified xsi:type="dcterms:W3CDTF">2022-08-31T08:16:36Z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29EA14A7547D432AB61462859C696EA1</vt:lpwstr>
  </property>
</Properties>
</file>