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60" w:type="dxa"/>
            <w:vMerge w:val="restart"/>
            <w:vAlign w:val="center"/>
          </w:tcPr>
          <w:p>
            <w:pPr>
              <w:spacing w:before="120"/>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过程与活动、</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抽样计划</w:t>
            </w:r>
          </w:p>
        </w:tc>
        <w:tc>
          <w:tcPr>
            <w:tcW w:w="960" w:type="dxa"/>
            <w:vMerge w:val="restart"/>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涉及</w:t>
            </w:r>
          </w:p>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条款</w:t>
            </w:r>
          </w:p>
        </w:tc>
        <w:tc>
          <w:tcPr>
            <w:tcW w:w="10004" w:type="dxa"/>
            <w:vAlign w:val="center"/>
          </w:tcPr>
          <w:p>
            <w:pP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受审核部门：综合管理部   主管领导：</w:t>
            </w:r>
            <w:r>
              <w:rPr>
                <w:rFonts w:hint="eastAsia" w:ascii="华文细黑" w:hAnsi="华文细黑" w:eastAsia="华文细黑" w:cs="华文细黑"/>
                <w:sz w:val="21"/>
                <w:szCs w:val="21"/>
                <w:lang w:val="en-US" w:eastAsia="zh-CN"/>
              </w:rPr>
              <w:t>朱海玲</w:t>
            </w:r>
            <w:r>
              <w:rPr>
                <w:rFonts w:hint="eastAsia" w:ascii="华文细黑" w:hAnsi="华文细黑" w:eastAsia="华文细黑" w:cs="华文细黑"/>
                <w:sz w:val="21"/>
                <w:szCs w:val="21"/>
              </w:rPr>
              <w:t xml:space="preserve">   陪同人员：</w:t>
            </w:r>
            <w:r>
              <w:rPr>
                <w:rFonts w:hint="eastAsia" w:ascii="华文细黑" w:hAnsi="华文细黑" w:eastAsia="华文细黑" w:cs="华文细黑"/>
                <w:sz w:val="21"/>
                <w:szCs w:val="21"/>
                <w:lang w:val="en-US" w:eastAsia="zh-CN"/>
              </w:rPr>
              <w:t>万芬</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before="12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rPr>
              <w:t>审核员：</w:t>
            </w:r>
            <w:r>
              <w:rPr>
                <w:rFonts w:hint="eastAsia" w:ascii="华文细黑" w:hAnsi="华文细黑" w:eastAsia="华文细黑" w:cs="华文细黑"/>
                <w:sz w:val="21"/>
                <w:szCs w:val="21"/>
                <w:lang w:val="en-US" w:eastAsia="zh-CN"/>
              </w:rPr>
              <w:t>王献华</w:t>
            </w:r>
            <w:r>
              <w:rPr>
                <w:rFonts w:hint="eastAsia" w:ascii="华文细黑" w:hAnsi="华文细黑" w:cs="华文细黑"/>
                <w:sz w:val="21"/>
                <w:szCs w:val="21"/>
                <w:lang w:val="en-US" w:eastAsia="zh-CN"/>
              </w:rPr>
              <w:t>（</w:t>
            </w:r>
            <w:r>
              <w:rPr>
                <w:rFonts w:hint="eastAsia"/>
                <w:lang w:val="en-US" w:eastAsia="zh-CN"/>
              </w:rPr>
              <w:t>微信视频、文字</w:t>
            </w:r>
            <w:r>
              <w:rPr>
                <w:rFonts w:hint="eastAsia" w:ascii="华文细黑" w:hAnsi="华文细黑" w:cs="华文细黑"/>
                <w:sz w:val="21"/>
                <w:szCs w:val="21"/>
                <w:lang w:val="en-US" w:eastAsia="zh-CN"/>
              </w:rPr>
              <w:t>）</w:t>
            </w:r>
            <w:bookmarkStart w:id="0" w:name="_GoBack"/>
            <w:bookmarkEnd w:id="0"/>
            <w:r>
              <w:rPr>
                <w:rFonts w:hint="eastAsia" w:ascii="华文细黑" w:hAnsi="华文细黑" w:eastAsia="华文细黑" w:cs="华文细黑"/>
                <w:sz w:val="21"/>
                <w:szCs w:val="21"/>
              </w:rPr>
              <w:t>审核时间：</w:t>
            </w:r>
            <w:r>
              <w:rPr>
                <w:rFonts w:hint="eastAsia" w:ascii="华文细黑" w:hAnsi="华文细黑" w:eastAsia="华文细黑" w:cs="华文细黑"/>
                <w:sz w:val="21"/>
                <w:szCs w:val="21"/>
                <w:lang w:val="en-US" w:eastAsia="zh-CN"/>
              </w:rPr>
              <w:t>2022.8.22下午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细黑" w:hAnsi="华文细黑" w:eastAsia="华文细黑" w:cs="华文细黑"/>
                <w:sz w:val="21"/>
                <w:szCs w:val="21"/>
              </w:rPr>
            </w:pPr>
          </w:p>
        </w:tc>
        <w:tc>
          <w:tcPr>
            <w:tcW w:w="960" w:type="dxa"/>
            <w:vMerge w:val="continue"/>
            <w:vAlign w:val="center"/>
          </w:tcPr>
          <w:p>
            <w:pPr>
              <w:rPr>
                <w:rFonts w:hint="eastAsia" w:ascii="华文细黑" w:hAnsi="华文细黑" w:eastAsia="华文细黑" w:cs="华文细黑"/>
                <w:sz w:val="21"/>
                <w:szCs w:val="21"/>
              </w:rPr>
            </w:pPr>
          </w:p>
        </w:tc>
        <w:tc>
          <w:tcPr>
            <w:tcW w:w="10004" w:type="dxa"/>
            <w:vAlign w:val="center"/>
          </w:tcPr>
          <w:p>
            <w:pPr>
              <w:spacing w:line="280" w:lineRule="exact"/>
              <w:rPr>
                <w:rFonts w:hint="eastAsia"/>
                <w:sz w:val="21"/>
                <w:szCs w:val="21"/>
                <w:lang w:val="en-US" w:eastAsia="zh-CN"/>
              </w:rPr>
            </w:pPr>
            <w:r>
              <w:rPr>
                <w:rFonts w:hint="eastAsia"/>
                <w:sz w:val="21"/>
                <w:szCs w:val="21"/>
                <w:lang w:val="en-US" w:eastAsia="zh-CN"/>
              </w:rPr>
              <w:t>审核内容：</w:t>
            </w:r>
          </w:p>
          <w:p>
            <w:pPr>
              <w:numPr>
                <w:ilvl w:val="0"/>
                <w:numId w:val="2"/>
              </w:numPr>
              <w:spacing w:line="300" w:lineRule="exact"/>
              <w:jc w:val="both"/>
              <w:rPr>
                <w:rFonts w:hint="eastAsia"/>
                <w:sz w:val="21"/>
                <w:szCs w:val="21"/>
                <w:lang w:val="en-US" w:eastAsia="zh-CN"/>
              </w:rPr>
            </w:pPr>
            <w:r>
              <w:rPr>
                <w:rFonts w:hint="eastAsia"/>
                <w:sz w:val="21"/>
                <w:szCs w:val="21"/>
                <w:lang w:val="en-US" w:eastAsia="zh-CN"/>
              </w:rPr>
              <w:t>部门职能与权限；2.目标分解落实情况；3.环境因素和危险源辨识；4.合规义务及其合规性评价；5.环境和职业健康安全运行控制；6.应急准备和响应</w:t>
            </w:r>
          </w:p>
          <w:p>
            <w:pPr>
              <w:numPr>
                <w:ilvl w:val="0"/>
                <w:numId w:val="2"/>
              </w:numPr>
              <w:spacing w:line="300" w:lineRule="exact"/>
              <w:jc w:val="both"/>
              <w:rPr>
                <w:rFonts w:hint="eastAsia"/>
                <w:sz w:val="21"/>
                <w:szCs w:val="21"/>
                <w:lang w:val="en-US" w:eastAsia="zh-CN"/>
              </w:rPr>
            </w:pPr>
            <w:r>
              <w:rPr>
                <w:rFonts w:hint="eastAsia"/>
                <w:sz w:val="21"/>
                <w:szCs w:val="21"/>
                <w:lang w:val="en-US" w:eastAsia="zh-CN"/>
              </w:rPr>
              <w:t>涉及条款：</w:t>
            </w:r>
          </w:p>
          <w:p>
            <w:pPr>
              <w:spacing w:line="300" w:lineRule="exact"/>
              <w:jc w:val="left"/>
              <w:rPr>
                <w:rFonts w:hint="eastAsia"/>
                <w:sz w:val="21"/>
                <w:szCs w:val="21"/>
                <w:lang w:val="en-US" w:eastAsia="zh-CN"/>
              </w:rPr>
            </w:pPr>
            <w:r>
              <w:rPr>
                <w:rFonts w:hint="eastAsia"/>
                <w:sz w:val="21"/>
                <w:szCs w:val="21"/>
                <w:lang w:val="en-US" w:eastAsia="zh-CN"/>
              </w:rPr>
              <w:t>QEO：5.3、6.2</w:t>
            </w:r>
          </w:p>
          <w:p>
            <w:pPr>
              <w:spacing w:line="280" w:lineRule="exact"/>
              <w:rPr>
                <w:rFonts w:hint="default"/>
                <w:sz w:val="21"/>
                <w:szCs w:val="21"/>
                <w:lang w:val="en-US" w:eastAsia="zh-CN"/>
              </w:rPr>
            </w:pPr>
            <w:r>
              <w:rPr>
                <w:rFonts w:hint="eastAsia"/>
                <w:sz w:val="21"/>
                <w:szCs w:val="21"/>
                <w:lang w:val="en-US" w:eastAsia="zh-CN"/>
              </w:rPr>
              <w:t>EO：6.1.2、6.1.3/9.1.2、8.1、8.2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bidi w:val="0"/>
            </w:pPr>
            <w:r>
              <w:rPr>
                <w:rFonts w:hint="eastAsia"/>
              </w:rPr>
              <w:t>组织的岗位、职责和权限</w:t>
            </w:r>
          </w:p>
          <w:p>
            <w:pPr>
              <w:bidi w:val="0"/>
            </w:pPr>
          </w:p>
        </w:tc>
        <w:tc>
          <w:tcPr>
            <w:tcW w:w="960" w:type="dxa"/>
          </w:tcPr>
          <w:p>
            <w:pPr>
              <w:bidi w:val="0"/>
            </w:pPr>
            <w:r>
              <w:t>QEO5.3</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在手册中确定了办公室部门的的职能，人员职责、权限和相互关系。</w:t>
            </w:r>
          </w:p>
          <w:p>
            <w:pPr>
              <w:spacing w:line="280" w:lineRule="exact"/>
              <w:ind w:firstLine="420" w:firstLineChars="200"/>
              <w:rPr>
                <w:rFonts w:hint="eastAsia" w:ascii="宋体" w:hAnsi="宋体" w:cs="宋体"/>
                <w:szCs w:val="21"/>
              </w:rPr>
            </w:pPr>
            <w:r>
              <w:rPr>
                <w:rFonts w:hint="eastAsia" w:ascii="宋体" w:hAnsi="宋体" w:cs="宋体"/>
                <w:szCs w:val="21"/>
              </w:rPr>
              <w:t>a)负责协助领导层建立质量、环境、职业健康安全一体化管理体系，并负责监督和检查工作，以保持其持续有效运行；</w:t>
            </w:r>
          </w:p>
          <w:p>
            <w:pPr>
              <w:spacing w:line="280" w:lineRule="exact"/>
              <w:ind w:firstLine="420" w:firstLineChars="200"/>
              <w:rPr>
                <w:rFonts w:hint="eastAsia" w:ascii="宋体" w:hAnsi="宋体" w:cs="宋体"/>
                <w:szCs w:val="21"/>
              </w:rPr>
            </w:pPr>
            <w:r>
              <w:rPr>
                <w:rFonts w:hint="eastAsia" w:ascii="宋体" w:hAnsi="宋体" w:cs="宋体"/>
                <w:szCs w:val="21"/>
              </w:rPr>
              <w:t>b) 负责监督、检查和考核公司一体化方针、目标及管理方案的贯彻执行情况；</w:t>
            </w:r>
          </w:p>
          <w:p>
            <w:pPr>
              <w:spacing w:line="280" w:lineRule="exact"/>
              <w:ind w:firstLine="420" w:firstLineChars="200"/>
              <w:rPr>
                <w:rFonts w:hint="eastAsia" w:ascii="宋体" w:hAnsi="宋体" w:cs="宋体"/>
                <w:szCs w:val="21"/>
              </w:rPr>
            </w:pPr>
            <w:r>
              <w:rPr>
                <w:rFonts w:hint="eastAsia" w:ascii="宋体" w:hAnsi="宋体" w:cs="宋体"/>
                <w:szCs w:val="21"/>
              </w:rPr>
              <w:t>c) 负责公司规程、制度、记录等文件及形成文件的信息的制订、修订、审查、建立健全及管理、归档工作，并监督检查各部门执行情况；</w:t>
            </w:r>
          </w:p>
          <w:p>
            <w:pPr>
              <w:spacing w:line="280" w:lineRule="exact"/>
              <w:ind w:firstLine="420" w:firstLineChars="200"/>
              <w:rPr>
                <w:rFonts w:hint="eastAsia" w:ascii="宋体" w:hAnsi="宋体" w:cs="宋体"/>
                <w:szCs w:val="21"/>
              </w:rPr>
            </w:pPr>
            <w:r>
              <w:rPr>
                <w:rFonts w:hint="eastAsia" w:ascii="宋体" w:hAnsi="宋体" w:cs="宋体"/>
                <w:szCs w:val="21"/>
              </w:rPr>
              <w:t>d) 负责一体化管理体系实施过程中法律法规或其它外来文件的收集、整理、识别、更新、发放、记录归档工作等管理工作；</w:t>
            </w:r>
          </w:p>
          <w:p>
            <w:pPr>
              <w:spacing w:line="280" w:lineRule="exact"/>
              <w:ind w:firstLine="420" w:firstLineChars="200"/>
              <w:rPr>
                <w:rFonts w:hint="eastAsia" w:ascii="宋体" w:hAnsi="宋体" w:cs="宋体"/>
                <w:szCs w:val="21"/>
              </w:rPr>
            </w:pPr>
            <w:r>
              <w:rPr>
                <w:rFonts w:hint="eastAsia" w:ascii="宋体" w:hAnsi="宋体" w:cs="宋体"/>
                <w:szCs w:val="21"/>
              </w:rPr>
              <w:t>e) 建立并管理公司信息交流渠道，负责公司内外部信息的传递、汇总和处理；</w:t>
            </w:r>
          </w:p>
          <w:p>
            <w:pPr>
              <w:spacing w:line="280" w:lineRule="exact"/>
              <w:ind w:firstLine="420" w:firstLineChars="200"/>
              <w:rPr>
                <w:rFonts w:hint="eastAsia" w:ascii="宋体" w:hAnsi="宋体" w:cs="宋体"/>
                <w:szCs w:val="21"/>
              </w:rPr>
            </w:pPr>
            <w:r>
              <w:rPr>
                <w:rFonts w:hint="eastAsia" w:ascii="宋体" w:hAnsi="宋体" w:cs="宋体"/>
                <w:szCs w:val="21"/>
              </w:rPr>
              <w:t>f) 按照《文件管理程序》要求做好本公司文件的编写、印发、登记、管理、更改、作废、评审工作，以及文件控制的监督检查，确保各相关场所使用的文件为有效版本；</w:t>
            </w:r>
          </w:p>
          <w:p>
            <w:pPr>
              <w:spacing w:line="280" w:lineRule="exact"/>
              <w:ind w:firstLine="420" w:firstLineChars="200"/>
              <w:rPr>
                <w:rFonts w:hint="eastAsia" w:ascii="宋体" w:hAnsi="宋体" w:cs="宋体"/>
                <w:szCs w:val="21"/>
              </w:rPr>
            </w:pPr>
            <w:r>
              <w:rPr>
                <w:rFonts w:hint="eastAsia" w:ascii="宋体" w:hAnsi="宋体" w:cs="宋体"/>
                <w:szCs w:val="21"/>
              </w:rPr>
              <w:t>g) 负责员工劳动保护、健康体检等事宜；</w:t>
            </w:r>
          </w:p>
          <w:p>
            <w:pPr>
              <w:spacing w:line="280" w:lineRule="exact"/>
              <w:ind w:firstLine="420" w:firstLineChars="200"/>
              <w:rPr>
                <w:rFonts w:hint="eastAsia" w:ascii="宋体" w:hAnsi="宋体" w:cs="宋体"/>
                <w:szCs w:val="21"/>
              </w:rPr>
            </w:pPr>
            <w:r>
              <w:rPr>
                <w:rFonts w:hint="eastAsia" w:ascii="宋体" w:hAnsi="宋体" w:cs="宋体"/>
                <w:szCs w:val="21"/>
              </w:rPr>
              <w:t>h) 负责协助总经理和管理者代表具体实施管理评审和内部审核工作；</w:t>
            </w:r>
          </w:p>
          <w:p>
            <w:pPr>
              <w:spacing w:line="280" w:lineRule="exact"/>
              <w:ind w:firstLine="420" w:firstLineChars="200"/>
              <w:rPr>
                <w:rFonts w:hint="eastAsia" w:ascii="宋体" w:hAnsi="宋体" w:cs="宋体"/>
                <w:szCs w:val="21"/>
              </w:rPr>
            </w:pPr>
            <w:r>
              <w:rPr>
                <w:rFonts w:hint="eastAsia" w:ascii="宋体" w:hAnsi="宋体" w:cs="宋体"/>
                <w:szCs w:val="21"/>
              </w:rPr>
              <w:t>i) 负责人力资源的评价、培训、招聘、员工档案的综合管理，组织管理人员及员工进行安全教育培训、考核工作；</w:t>
            </w:r>
          </w:p>
          <w:p>
            <w:pPr>
              <w:spacing w:line="280" w:lineRule="exact"/>
              <w:ind w:firstLine="420" w:firstLineChars="200"/>
              <w:rPr>
                <w:rFonts w:hint="eastAsia" w:ascii="宋体" w:hAnsi="宋体" w:cs="宋体"/>
                <w:szCs w:val="21"/>
              </w:rPr>
            </w:pPr>
            <w:r>
              <w:rPr>
                <w:rFonts w:hint="eastAsia" w:ascii="宋体" w:hAnsi="宋体" w:cs="宋体"/>
                <w:szCs w:val="21"/>
              </w:rPr>
              <w:t>j）负责组织各部门识别环境因素和危险源，并负责评价环境因素和危险因素，确定重要环境因素和不可接受危险因素；</w:t>
            </w:r>
          </w:p>
          <w:p>
            <w:pPr>
              <w:spacing w:line="280" w:lineRule="exact"/>
              <w:ind w:firstLine="420" w:firstLineChars="200"/>
              <w:rPr>
                <w:rFonts w:hint="eastAsia" w:ascii="宋体" w:hAnsi="宋体" w:cs="宋体"/>
                <w:szCs w:val="21"/>
              </w:rPr>
            </w:pPr>
            <w:r>
              <w:rPr>
                <w:rFonts w:hint="eastAsia" w:ascii="宋体" w:hAnsi="宋体" w:cs="宋体"/>
                <w:szCs w:val="21"/>
              </w:rPr>
              <w:t>k）组织公司人员进行应急演练;</w:t>
            </w:r>
          </w:p>
          <w:p>
            <w:pPr>
              <w:spacing w:line="280" w:lineRule="exact"/>
              <w:ind w:firstLine="420" w:firstLineChars="200"/>
              <w:rPr>
                <w:rFonts w:hint="eastAsia" w:ascii="宋体" w:hAnsi="宋体" w:cs="宋体"/>
                <w:szCs w:val="21"/>
              </w:rPr>
            </w:pPr>
            <w:r>
              <w:rPr>
                <w:rFonts w:hint="eastAsia" w:ascii="宋体" w:hAnsi="宋体" w:cs="宋体"/>
                <w:szCs w:val="21"/>
              </w:rPr>
              <w:t>l）完成公司领导交办的工作任务。</w:t>
            </w:r>
          </w:p>
          <w:p>
            <w:pPr>
              <w:spacing w:line="280" w:lineRule="exact"/>
              <w:ind w:firstLine="420" w:firstLineChars="200"/>
              <w:rPr>
                <w:rFonts w:ascii="宋体" w:hAnsi="宋体" w:cs="宋体"/>
                <w:szCs w:val="21"/>
              </w:rPr>
            </w:pPr>
            <w:r>
              <w:rPr>
                <w:rFonts w:hint="eastAsia" w:ascii="宋体" w:hAnsi="宋体" w:cs="宋体"/>
                <w:szCs w:val="21"/>
              </w:rPr>
              <w:t>询问综合管理部人员，基本清楚本部门职责。</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bidi w:val="0"/>
            </w:pPr>
            <w:r>
              <w:rPr>
                <w:rFonts w:hint="eastAsia"/>
              </w:rPr>
              <w:t>环境因素识别、危险源识别</w:t>
            </w:r>
          </w:p>
        </w:tc>
        <w:tc>
          <w:tcPr>
            <w:tcW w:w="960" w:type="dxa"/>
          </w:tcPr>
          <w:p>
            <w:pPr>
              <w:bidi w:val="0"/>
            </w:pPr>
            <w:r>
              <w:rPr>
                <w:rFonts w:hint="eastAsia"/>
              </w:rPr>
              <w:t>E</w:t>
            </w:r>
            <w:r>
              <w:t>O6.1</w:t>
            </w:r>
            <w:r>
              <w:rPr>
                <w:rFonts w:hint="eastAsia"/>
              </w:rPr>
              <w:t>.</w:t>
            </w:r>
            <w:r>
              <w:t>2</w:t>
            </w:r>
          </w:p>
        </w:tc>
        <w:tc>
          <w:tcPr>
            <w:tcW w:w="10004" w:type="dxa"/>
            <w:vAlign w:val="center"/>
          </w:tcPr>
          <w:p>
            <w:pPr>
              <w:spacing w:line="280" w:lineRule="exact"/>
              <w:ind w:firstLine="420" w:firstLineChars="200"/>
              <w:rPr>
                <w:rFonts w:hint="eastAsia" w:ascii="Times New Roman" w:hAnsi="Times New Roman" w:cs="Times New Roman"/>
              </w:rPr>
            </w:pPr>
            <w:r>
              <w:rPr>
                <w:rFonts w:hint="eastAsia" w:ascii="Times New Roman" w:hAnsi="Times New Roman" w:cs="Times New Roman"/>
                <w:lang w:val="en-US" w:eastAsia="zh-CN"/>
              </w:rPr>
              <w:t>组织制定了</w:t>
            </w:r>
            <w:r>
              <w:rPr>
                <w:rFonts w:hint="eastAsia" w:ascii="Times New Roman" w:hAnsi="Times New Roman" w:cs="Times New Roman"/>
              </w:rPr>
              <w:t>《环境因素识别与评价管理程序》</w:t>
            </w:r>
            <w:r>
              <w:rPr>
                <w:rFonts w:hint="eastAsia" w:ascii="Times New Roman" w:hAnsi="Times New Roman" w:cs="Times New Roman"/>
                <w:lang w:eastAsia="zh-CN"/>
              </w:rPr>
              <w:t>，</w:t>
            </w:r>
            <w:r>
              <w:rPr>
                <w:rFonts w:hint="eastAsia" w:ascii="Times New Roman" w:hAnsi="Times New Roman" w:cs="Times New Roman"/>
              </w:rPr>
              <w:t>用以指导进行环境因素的识别、登记评价，以确定重要环境因素以及对环境因素的定期更新，环境因素的识别和确定考虑生命周期观点。</w:t>
            </w:r>
          </w:p>
          <w:p>
            <w:pPr>
              <w:spacing w:line="280" w:lineRule="exact"/>
              <w:ind w:firstLine="420" w:firstLineChars="200"/>
              <w:rPr>
                <w:rFonts w:hint="eastAsia" w:ascii="Times New Roman" w:hAnsi="Times New Roman" w:cs="Times New Roman"/>
              </w:rPr>
            </w:pPr>
            <w:r>
              <w:rPr>
                <w:rFonts w:hint="eastAsia" w:ascii="Times New Roman" w:hAnsi="Times New Roman" w:cs="Times New Roman"/>
              </w:rPr>
              <w:t>提供了</w:t>
            </w:r>
            <w:r>
              <w:rPr>
                <w:rFonts w:hint="eastAsia" w:ascii="Times New Roman" w:hAnsi="Times New Roman" w:cs="Times New Roman"/>
                <w:lang w:eastAsia="zh-CN"/>
              </w:rPr>
              <w:t>《</w:t>
            </w:r>
            <w:r>
              <w:rPr>
                <w:rFonts w:hint="eastAsia" w:ascii="Times New Roman" w:hAnsi="Times New Roman" w:cs="Times New Roman"/>
              </w:rPr>
              <w:t>环境因素</w:t>
            </w:r>
            <w:r>
              <w:rPr>
                <w:rFonts w:hint="eastAsia" w:ascii="Times New Roman" w:hAnsi="Times New Roman" w:cs="Times New Roman"/>
                <w:lang w:val="en-US" w:eastAsia="zh-CN"/>
              </w:rPr>
              <w:t>调查评价表</w:t>
            </w:r>
            <w:r>
              <w:rPr>
                <w:rFonts w:hint="eastAsia" w:ascii="Times New Roman" w:hAnsi="Times New Roman" w:cs="Times New Roman"/>
                <w:lang w:eastAsia="zh-CN"/>
              </w:rPr>
              <w:t>》：</w:t>
            </w:r>
            <w:r>
              <w:rPr>
                <w:rFonts w:hint="eastAsia" w:ascii="Times New Roman" w:hAnsi="Times New Roman" w:cs="Times New Roman"/>
              </w:rPr>
              <w:t>识别的环境因素标明时态、状态和对环境的影响；</w:t>
            </w:r>
            <w:r>
              <w:rPr>
                <w:rFonts w:hint="eastAsia" w:ascii="Times New Roman" w:hAnsi="Times New Roman" w:cs="Times New Roman"/>
                <w:lang w:val="en-US" w:eastAsia="zh-CN"/>
              </w:rPr>
              <w:t>识别的环境因素包括</w:t>
            </w:r>
            <w:r>
              <w:rPr>
                <w:rFonts w:hint="eastAsia" w:ascii="Times New Roman" w:hAnsi="Times New Roman" w:cs="Times New Roman"/>
              </w:rPr>
              <w:t>办公活动中产生的危险固废的排放、水电消耗、潜在火灾、生活垃圾的排放等</w:t>
            </w:r>
            <w:r>
              <w:rPr>
                <w:rFonts w:hint="eastAsia" w:ascii="Times New Roman" w:hAnsi="Times New Roman" w:cs="Times New Roman"/>
                <w:lang w:eastAsia="zh-CN"/>
              </w:rPr>
              <w:t>，</w:t>
            </w:r>
            <w:r>
              <w:rPr>
                <w:rFonts w:hint="eastAsia" w:ascii="Times New Roman" w:hAnsi="Times New Roman" w:cs="Times New Roman"/>
                <w:lang w:val="en-US" w:eastAsia="zh-CN"/>
              </w:rPr>
              <w:t>并</w:t>
            </w:r>
            <w:r>
              <w:rPr>
                <w:rFonts w:hint="eastAsia" w:ascii="Times New Roman" w:hAnsi="Times New Roman" w:cs="Times New Roman"/>
              </w:rPr>
              <w:t>考虑</w:t>
            </w:r>
            <w:r>
              <w:rPr>
                <w:rFonts w:hint="eastAsia" w:ascii="Times New Roman" w:hAnsi="Times New Roman" w:cs="Times New Roman"/>
                <w:lang w:val="en-US" w:eastAsia="zh-CN"/>
              </w:rPr>
              <w:t>了</w:t>
            </w:r>
            <w:r>
              <w:rPr>
                <w:rFonts w:hint="eastAsia" w:ascii="Times New Roman" w:hAnsi="Times New Roman" w:cs="Times New Roman"/>
              </w:rPr>
              <w:t>环境管理体系发生变更时可能产生的环境因素。</w:t>
            </w:r>
          </w:p>
          <w:p>
            <w:pPr>
              <w:spacing w:line="280" w:lineRule="exact"/>
              <w:ind w:firstLine="420" w:firstLineChars="200"/>
              <w:rPr>
                <w:rFonts w:hint="eastAsia" w:ascii="Times New Roman" w:hAnsi="Times New Roman" w:cs="Times New Roman"/>
              </w:rPr>
            </w:pPr>
            <w:r>
              <w:rPr>
                <w:rFonts w:hint="eastAsia" w:ascii="Times New Roman" w:hAnsi="Times New Roman" w:cs="Times New Roman"/>
              </w:rPr>
              <w:t>重要环境因素采用经验/直接判断法，由各部门有管理经验的人员共同讨论、采用直接判断的方法确定重要环境因素，提供了</w:t>
            </w:r>
            <w:r>
              <w:rPr>
                <w:rFonts w:hint="eastAsia" w:ascii="Times New Roman" w:hAnsi="Times New Roman" w:cs="Times New Roman"/>
                <w:lang w:eastAsia="zh-CN"/>
              </w:rPr>
              <w:t>《</w:t>
            </w:r>
            <w:r>
              <w:rPr>
                <w:rFonts w:hint="eastAsia" w:ascii="Times New Roman" w:hAnsi="Times New Roman" w:cs="Times New Roman"/>
              </w:rPr>
              <w:t>重要环境因素清单</w:t>
            </w:r>
            <w:r>
              <w:rPr>
                <w:rFonts w:hint="eastAsia" w:ascii="Times New Roman" w:hAnsi="Times New Roman" w:cs="Times New Roman"/>
                <w:lang w:eastAsia="zh-CN"/>
              </w:rPr>
              <w:t>》</w:t>
            </w:r>
            <w:r>
              <w:rPr>
                <w:rFonts w:hint="eastAsia" w:ascii="Times New Roman" w:hAnsi="Times New Roman" w:cs="Times New Roman"/>
              </w:rPr>
              <w:t>：重要环境因素</w:t>
            </w:r>
            <w:r>
              <w:rPr>
                <w:rFonts w:hint="eastAsia" w:ascii="Times New Roman" w:hAnsi="Times New Roman" w:cs="Times New Roman"/>
                <w:lang w:val="en-US" w:eastAsia="zh-CN"/>
              </w:rPr>
              <w:t>包括</w:t>
            </w:r>
            <w:r>
              <w:rPr>
                <w:rFonts w:hint="eastAsia" w:ascii="Times New Roman" w:hAnsi="Times New Roman" w:cs="Times New Roman"/>
              </w:rPr>
              <w:t>：危险固废的排放、水电消耗、潜在火灾、生活垃圾的排放；提供了针对重要环境因素</w:t>
            </w:r>
            <w:r>
              <w:rPr>
                <w:rFonts w:hint="eastAsia" w:ascii="Times New Roman" w:hAnsi="Times New Roman" w:cs="Times New Roman"/>
                <w:lang w:val="en-US" w:eastAsia="zh-CN"/>
              </w:rPr>
              <w:t>编制</w:t>
            </w:r>
            <w:r>
              <w:rPr>
                <w:rFonts w:hint="eastAsia" w:ascii="Times New Roman" w:hAnsi="Times New Roman" w:cs="Times New Roman"/>
              </w:rPr>
              <w:t>的环境目标、指标及管理方案，内容包括目标指标、实施方法与预计资金、完成日期、检查部门等。</w:t>
            </w:r>
          </w:p>
          <w:p>
            <w:pPr>
              <w:spacing w:line="280" w:lineRule="exact"/>
              <w:ind w:firstLine="420" w:firstLineChars="200"/>
              <w:rPr>
                <w:rFonts w:hint="eastAsia" w:ascii="Times New Roman" w:hAnsi="Times New Roman" w:cs="Times New Roman"/>
              </w:rPr>
            </w:pPr>
            <w:r>
              <w:rPr>
                <w:rFonts w:hint="eastAsia" w:ascii="Times New Roman" w:hAnsi="Times New Roman" w:cs="Times New Roman"/>
                <w:lang w:val="en-US" w:eastAsia="zh-CN"/>
              </w:rPr>
              <w:t>组织</w:t>
            </w:r>
            <w:r>
              <w:rPr>
                <w:rFonts w:hint="eastAsia" w:ascii="Times New Roman" w:hAnsi="Times New Roman" w:cs="Times New Roman"/>
              </w:rPr>
              <w:t>制定</w:t>
            </w:r>
            <w:r>
              <w:rPr>
                <w:rFonts w:hint="eastAsia" w:ascii="Times New Roman" w:hAnsi="Times New Roman" w:cs="Times New Roman"/>
                <w:lang w:val="en-US" w:eastAsia="zh-CN"/>
              </w:rPr>
              <w:t>了</w:t>
            </w:r>
            <w:r>
              <w:rPr>
                <w:rFonts w:hint="eastAsia" w:ascii="Times New Roman" w:hAnsi="Times New Roman" w:cs="Times New Roman"/>
              </w:rPr>
              <w:t>《危险源辨识与风险评价控制措施管理程序》</w:t>
            </w:r>
            <w:r>
              <w:rPr>
                <w:rFonts w:hint="eastAsia" w:ascii="Times New Roman" w:hAnsi="Times New Roman" w:cs="Times New Roman"/>
                <w:lang w:eastAsia="zh-CN"/>
              </w:rPr>
              <w:t>，</w:t>
            </w:r>
            <w:r>
              <w:rPr>
                <w:rFonts w:hint="eastAsia" w:ascii="Times New Roman" w:hAnsi="Times New Roman" w:cs="Times New Roman"/>
                <w:lang w:val="en-US" w:eastAsia="zh-CN"/>
              </w:rPr>
              <w:t>以</w:t>
            </w:r>
            <w:r>
              <w:rPr>
                <w:rFonts w:hint="eastAsia" w:ascii="Times New Roman" w:hAnsi="Times New Roman" w:cs="Times New Roman"/>
              </w:rPr>
              <w:t>确保在所有管理活动或服务过程中能最大限度、充分地进行危险源辨识与风险性评价，确定不可接受风险并及时更新，实现对危险源与不可接受风险的有效控制。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ascii="Times New Roman" w:hAnsi="Times New Roman" w:cs="Times New Roman"/>
              </w:rPr>
            </w:pPr>
            <w:r>
              <w:rPr>
                <w:rFonts w:hint="eastAsia" w:ascii="Times New Roman" w:hAnsi="Times New Roman" w:cs="Times New Roman"/>
              </w:rPr>
              <w:t>提供了</w:t>
            </w:r>
            <w:r>
              <w:rPr>
                <w:rFonts w:hint="eastAsia" w:ascii="Times New Roman" w:hAnsi="Times New Roman" w:cs="Times New Roman"/>
                <w:lang w:eastAsia="zh-CN"/>
              </w:rPr>
              <w:t>《</w:t>
            </w:r>
            <w:r>
              <w:rPr>
                <w:rFonts w:hint="eastAsia" w:ascii="Times New Roman" w:hAnsi="Times New Roman" w:cs="Times New Roman"/>
              </w:rPr>
              <w:t>职业健康安全危险源调查评价表</w:t>
            </w:r>
            <w:r>
              <w:rPr>
                <w:rFonts w:hint="eastAsia" w:ascii="Times New Roman" w:hAnsi="Times New Roman" w:cs="Times New Roman"/>
                <w:lang w:eastAsia="zh-CN"/>
              </w:rPr>
              <w:t>》：</w:t>
            </w:r>
            <w:r>
              <w:rPr>
                <w:rFonts w:hint="eastAsia" w:ascii="Times New Roman" w:hAnsi="Times New Roman" w:cs="Times New Roman"/>
              </w:rPr>
              <w:t>对活动场所产生的危险源辨识并进行风险评价，以确定控制措施，经查阅已辨识外出触电、潜在火灾事故、交通事故、意外工伤事故等危险因素。</w:t>
            </w:r>
          </w:p>
          <w:p>
            <w:pPr>
              <w:spacing w:line="280" w:lineRule="exact"/>
              <w:ind w:firstLine="420" w:firstLineChars="200"/>
              <w:rPr>
                <w:rFonts w:hint="eastAsia" w:ascii="Times New Roman" w:hAnsi="Times New Roman" w:cs="Times New Roman"/>
              </w:rPr>
            </w:pPr>
            <w:r>
              <w:rPr>
                <w:rFonts w:hint="eastAsia" w:ascii="Times New Roman" w:hAnsi="Times New Roman" w:cs="Times New Roman"/>
              </w:rPr>
              <w:t>提供了</w:t>
            </w:r>
            <w:r>
              <w:rPr>
                <w:rFonts w:hint="eastAsia" w:ascii="Times New Roman" w:hAnsi="Times New Roman" w:cs="Times New Roman"/>
                <w:lang w:eastAsia="zh-CN"/>
              </w:rPr>
              <w:t>《</w:t>
            </w:r>
            <w:r>
              <w:rPr>
                <w:rFonts w:hint="eastAsia" w:ascii="Times New Roman" w:hAnsi="Times New Roman" w:cs="Times New Roman"/>
              </w:rPr>
              <w:t>不可接受风险清单</w:t>
            </w:r>
            <w:r>
              <w:rPr>
                <w:rFonts w:hint="eastAsia" w:ascii="Times New Roman" w:hAnsi="Times New Roman" w:cs="Times New Roman"/>
                <w:lang w:eastAsia="zh-CN"/>
              </w:rPr>
              <w:t>》：</w:t>
            </w:r>
            <w:r>
              <w:rPr>
                <w:rFonts w:hint="eastAsia" w:ascii="Times New Roman" w:hAnsi="Times New Roman" w:cs="Times New Roman"/>
              </w:rPr>
              <w:t>不可接受风险</w:t>
            </w:r>
            <w:r>
              <w:rPr>
                <w:rFonts w:hint="eastAsia" w:ascii="Times New Roman" w:hAnsi="Times New Roman" w:cs="Times New Roman"/>
                <w:lang w:val="en-US" w:eastAsia="zh-CN"/>
              </w:rPr>
              <w:t>包括</w:t>
            </w:r>
            <w:r>
              <w:rPr>
                <w:rFonts w:hint="eastAsia" w:ascii="Times New Roman" w:hAnsi="Times New Roman" w:cs="Times New Roman"/>
              </w:rPr>
              <w:t>触电、潜在火灾事故、交通事故、意外工伤事故；针对不可接受风险编制了职业健康安全目标、指标及管理方案，内容包括目标指标、实施方法与预计资金、完成日期、检查部门等。</w:t>
            </w:r>
          </w:p>
          <w:p>
            <w:pPr>
              <w:spacing w:line="280" w:lineRule="exact"/>
              <w:ind w:firstLine="420" w:firstLineChars="200"/>
              <w:rPr>
                <w:rFonts w:hint="default" w:ascii="Times New Roman" w:hAnsi="Times New Roman" w:eastAsia="华文细黑" w:cs="Times New Roman"/>
                <w:lang w:val="en-US" w:eastAsia="zh-CN"/>
              </w:rPr>
            </w:pPr>
            <w:r>
              <w:rPr>
                <w:rFonts w:hint="eastAsia" w:ascii="Times New Roman" w:hAnsi="Times New Roman" w:cs="Times New Roman"/>
                <w:lang w:val="en-US" w:eastAsia="zh-CN"/>
              </w:rPr>
              <w:t>综上，组织环境因素和危险源的辨识及控制基本能够满足要求。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tcPr>
          <w:p>
            <w:pPr>
              <w:bidi w:val="0"/>
            </w:pPr>
            <w:r>
              <w:rPr>
                <w:rFonts w:hint="eastAsia"/>
              </w:rPr>
              <w:t>环境和职业健康安全的合规义务</w:t>
            </w:r>
          </w:p>
          <w:p>
            <w:pPr>
              <w:bidi w:val="0"/>
            </w:pPr>
            <w:r>
              <w:rPr>
                <w:rFonts w:hint="eastAsia"/>
              </w:rPr>
              <w:t>合规性评价</w:t>
            </w:r>
          </w:p>
        </w:tc>
        <w:tc>
          <w:tcPr>
            <w:tcW w:w="960" w:type="dxa"/>
          </w:tcPr>
          <w:p>
            <w:pPr>
              <w:bidi w:val="0"/>
            </w:pPr>
            <w:r>
              <w:t>EO6.1.3</w:t>
            </w:r>
            <w:r>
              <w:rPr>
                <w:rFonts w:hint="eastAsia"/>
                <w:lang w:val="en-US" w:eastAsia="zh-CN"/>
              </w:rPr>
              <w:t>/</w:t>
            </w:r>
            <w:r>
              <w:t>9.1.2</w:t>
            </w:r>
          </w:p>
        </w:tc>
        <w:tc>
          <w:tcPr>
            <w:tcW w:w="10004" w:type="dxa"/>
            <w:vAlign w:val="center"/>
          </w:tcPr>
          <w:p>
            <w:p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组织制定了《文件控制/法律法规及其它要求控制程序》和</w:t>
            </w:r>
            <w:r>
              <w:rPr>
                <w:rFonts w:hint="eastAsia" w:ascii="Times New Roman" w:hAnsi="Times New Roman" w:cs="Times New Roman"/>
              </w:rPr>
              <w:t>《合规性评价管理程序》</w:t>
            </w:r>
            <w:r>
              <w:rPr>
                <w:rFonts w:hint="eastAsia" w:ascii="Times New Roman" w:hAnsi="Times New Roman" w:cs="Times New Roman"/>
                <w:lang w:eastAsia="zh-CN"/>
              </w:rPr>
              <w:t>，</w:t>
            </w:r>
            <w:r>
              <w:rPr>
                <w:rFonts w:hint="eastAsia" w:ascii="Times New Roman" w:hAnsi="Times New Roman" w:cs="Times New Roman"/>
              </w:rPr>
              <w:t>对合规义务和合规性评价进行了管理。</w:t>
            </w:r>
            <w:r>
              <w:rPr>
                <w:rFonts w:hint="eastAsia" w:ascii="Times New Roman" w:hAnsi="Times New Roman" w:cs="Times New Roman"/>
                <w:lang w:val="en-US" w:eastAsia="zh-CN"/>
              </w:rPr>
              <w:t>组织通过程序文件要求</w:t>
            </w:r>
            <w:r>
              <w:rPr>
                <w:rFonts w:hint="eastAsia" w:ascii="Times New Roman" w:hAnsi="Times New Roman" w:cs="Times New Roman"/>
              </w:rPr>
              <w:t>识别与活动、产品和服务有关的法律、法规和其它要求，并建立获取这些要求的渠道。确定适用的法律、法规和其它要求如何运用到公司的活动、产品和服务以及相关的环境因素和风险因素。</w:t>
            </w:r>
          </w:p>
          <w:p>
            <w:p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查所提供的环境、职业健康安全的《管理法律法规及其他要求一览表》，基本涵盖所涉及的活动。</w:t>
            </w:r>
          </w:p>
          <w:p>
            <w:pPr>
              <w:spacing w:line="28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查提供的环境、职业健康安全的《法律法规合规性评价表》：对适用的法律法规的合规性进行评价，如《中华人民共和国安全生产法》的适用条款为：第17-24条、第28-52条、第69-70条、第73-74条等；对应公式活动为：相应安全管理活动；遵守情况：基本遵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w:t>
            </w:r>
            <w:r>
              <w:rPr>
                <w:rFonts w:hint="eastAsia"/>
                <w:szCs w:val="21"/>
                <w:lang w:val="en-US" w:eastAsia="zh-CN"/>
              </w:rPr>
              <w:t>EO</w:t>
            </w:r>
            <w:r>
              <w:rPr>
                <w:rFonts w:hint="eastAsia"/>
                <w:szCs w:val="21"/>
              </w:rPr>
              <w:t>6.2</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组织</w:t>
            </w:r>
            <w:r>
              <w:rPr>
                <w:rFonts w:hint="eastAsia" w:ascii="宋体" w:hAnsi="宋体" w:cs="宋体"/>
                <w:szCs w:val="21"/>
              </w:rPr>
              <w:t>对管理体系所需的相关职能、层次和过程设定管理目标。</w:t>
            </w:r>
            <w:r>
              <w:rPr>
                <w:rFonts w:hint="eastAsia" w:ascii="宋体" w:hAnsi="宋体" w:cs="宋体"/>
                <w:szCs w:val="21"/>
                <w:lang w:val="en-US" w:eastAsia="zh-CN"/>
              </w:rPr>
              <w:t>行政管理部</w:t>
            </w:r>
            <w:r>
              <w:rPr>
                <w:rFonts w:hint="eastAsia" w:ascii="宋体" w:hAnsi="宋体" w:cs="宋体"/>
                <w:szCs w:val="21"/>
              </w:rPr>
              <w:t>涉及的目标及实现情况</w:t>
            </w:r>
            <w:r>
              <w:rPr>
                <w:rFonts w:hint="eastAsia" w:ascii="宋体" w:hAnsi="宋体" w:cs="宋体"/>
                <w:szCs w:val="21"/>
                <w:lang w:val="en-US" w:eastAsia="zh-CN"/>
              </w:rPr>
              <w:t>如下</w:t>
            </w: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szCs w:val="21"/>
              </w:rPr>
              <w:t>1文件发放及时率≥99%</w:t>
            </w:r>
          </w:p>
          <w:p>
            <w:pPr>
              <w:ind w:firstLine="420" w:firstLineChars="200"/>
              <w:rPr>
                <w:rFonts w:hint="eastAsia" w:ascii="宋体" w:hAnsi="宋体" w:cs="宋体"/>
                <w:szCs w:val="21"/>
              </w:rPr>
            </w:pPr>
            <w:r>
              <w:rPr>
                <w:rFonts w:hint="eastAsia" w:ascii="宋体" w:hAnsi="宋体" w:cs="宋体"/>
                <w:szCs w:val="21"/>
              </w:rPr>
              <w:t>2设备完好率≥98%</w:t>
            </w:r>
          </w:p>
          <w:p>
            <w:pPr>
              <w:ind w:firstLine="420" w:firstLineChars="200"/>
              <w:rPr>
                <w:rFonts w:hint="eastAsia" w:ascii="宋体" w:hAnsi="宋体" w:cs="宋体"/>
                <w:szCs w:val="21"/>
              </w:rPr>
            </w:pPr>
            <w:r>
              <w:rPr>
                <w:rFonts w:hint="eastAsia" w:ascii="宋体" w:hAnsi="宋体" w:cs="宋体"/>
                <w:szCs w:val="21"/>
              </w:rPr>
              <w:t>3.培训计划实施率100%</w:t>
            </w:r>
          </w:p>
          <w:p>
            <w:pPr>
              <w:ind w:firstLine="420" w:firstLineChars="200"/>
              <w:rPr>
                <w:rFonts w:hint="eastAsia" w:ascii="宋体" w:hAnsi="宋体" w:cs="宋体"/>
                <w:szCs w:val="21"/>
              </w:rPr>
            </w:pPr>
            <w:r>
              <w:rPr>
                <w:rFonts w:hint="eastAsia" w:ascii="宋体" w:hAnsi="宋体" w:cs="宋体"/>
                <w:szCs w:val="21"/>
              </w:rPr>
              <w:t>4.法律法规及时更新率100%，合规性评价执行率100%；</w:t>
            </w:r>
          </w:p>
          <w:p>
            <w:pPr>
              <w:ind w:firstLine="420" w:firstLineChars="200"/>
              <w:rPr>
                <w:rFonts w:hint="eastAsia" w:ascii="宋体" w:hAnsi="宋体" w:cs="宋体"/>
                <w:szCs w:val="21"/>
              </w:rPr>
            </w:pPr>
            <w:r>
              <w:rPr>
                <w:rFonts w:hint="eastAsia" w:ascii="宋体" w:hAnsi="宋体" w:cs="宋体"/>
                <w:szCs w:val="21"/>
              </w:rPr>
              <w:t>5.各类废弃物按规定处置率100%</w:t>
            </w:r>
          </w:p>
          <w:p>
            <w:pPr>
              <w:ind w:firstLine="420" w:firstLineChars="200"/>
              <w:rPr>
                <w:rFonts w:ascii="宋体" w:hAnsi="宋体" w:cs="宋体"/>
                <w:szCs w:val="21"/>
              </w:rPr>
            </w:pPr>
            <w:r>
              <w:rPr>
                <w:rFonts w:hint="eastAsia" w:ascii="宋体" w:hAnsi="宋体" w:cs="宋体"/>
                <w:szCs w:val="21"/>
              </w:rPr>
              <w:t>6.重大安全事故为零、轻伤发生次数为零。</w:t>
            </w:r>
          </w:p>
          <w:p>
            <w:pPr>
              <w:ind w:firstLine="420" w:firstLineChars="200"/>
              <w:rPr>
                <w:rFonts w:ascii="宋体" w:hAnsi="宋体" w:cs="宋体"/>
                <w:szCs w:val="21"/>
              </w:rPr>
            </w:pPr>
            <w:r>
              <w:rPr>
                <w:rFonts w:hint="eastAsia" w:ascii="宋体" w:hAnsi="宋体" w:cs="宋体"/>
                <w:szCs w:val="21"/>
              </w:rPr>
              <w:t xml:space="preserve">目标可测量，与管理方针一致。有实施落实的方案， </w:t>
            </w:r>
            <w:r>
              <w:rPr>
                <w:rFonts w:hint="eastAsia" w:ascii="宋体" w:hAnsi="宋体" w:cs="宋体"/>
                <w:szCs w:val="21"/>
                <w:lang w:val="en-US" w:eastAsia="zh-CN"/>
              </w:rPr>
              <w:t>查2021年6月至今的</w:t>
            </w:r>
            <w:r>
              <w:rPr>
                <w:rFonts w:hint="eastAsia" w:ascii="宋体" w:hAnsi="宋体" w:cs="宋体"/>
                <w:szCs w:val="21"/>
              </w:rPr>
              <w:t>统计结果，目标均已完成。</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spacing w:line="280" w:lineRule="exact"/>
              <w:rPr>
                <w:szCs w:val="21"/>
              </w:rPr>
            </w:pPr>
            <w:r>
              <w:rPr>
                <w:rFonts w:hint="eastAsia"/>
                <w:szCs w:val="21"/>
              </w:rPr>
              <w:t>运行策划和控制</w:t>
            </w:r>
          </w:p>
          <w:p>
            <w:pPr>
              <w:spacing w:line="280" w:lineRule="exact"/>
              <w:rPr>
                <w:b/>
                <w:szCs w:val="21"/>
              </w:rPr>
            </w:pPr>
          </w:p>
        </w:tc>
        <w:tc>
          <w:tcPr>
            <w:tcW w:w="960"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0" w:firstLineChars="200"/>
              <w:rPr>
                <w:rFonts w:hint="default" w:eastAsia="华文细黑"/>
                <w:lang w:val="en-US" w:eastAsia="zh-CN"/>
              </w:rPr>
            </w:pPr>
            <w:r>
              <w:rPr>
                <w:rFonts w:hint="eastAsia"/>
                <w:lang w:val="en-US" w:eastAsia="zh-CN"/>
              </w:rPr>
              <w:t>组织</w:t>
            </w:r>
            <w:r>
              <w:rPr>
                <w:rFonts w:hint="eastAsia"/>
              </w:rPr>
              <w:t>编制与环境、安全管理体系运行控制有关的文件有《环境因素识别与评价管理程序》、《危险源辨识与风险评价控制措施管理程序》、《对相关方施加影响管理程序》</w:t>
            </w:r>
            <w:r>
              <w:rPr>
                <w:rFonts w:hint="eastAsia"/>
                <w:lang w:eastAsia="zh-CN"/>
              </w:rPr>
              <w:t>、《运行控制管理程序》</w:t>
            </w:r>
            <w:r>
              <w:rPr>
                <w:rFonts w:hint="eastAsia"/>
              </w:rPr>
              <w:t>等。</w:t>
            </w:r>
            <w:r>
              <w:rPr>
                <w:rFonts w:hint="eastAsia"/>
                <w:lang w:val="en-US" w:eastAsia="zh-CN"/>
              </w:rPr>
              <w:t>结合现场审核发现，组织的环境与安全运行控制情况如下：</w:t>
            </w:r>
          </w:p>
          <w:p>
            <w:pPr>
              <w:spacing w:line="280" w:lineRule="exact"/>
              <w:ind w:firstLine="420" w:firstLineChars="200"/>
            </w:pPr>
            <w:r>
              <w:rPr>
                <w:rFonts w:hint="eastAsia"/>
                <w:lang w:val="en-US" w:eastAsia="zh-CN"/>
              </w:rPr>
              <w:t>1.</w:t>
            </w:r>
            <w:r>
              <w:rPr>
                <w:rFonts w:hint="eastAsia"/>
              </w:rPr>
              <w:t>固废管控</w:t>
            </w:r>
          </w:p>
          <w:p>
            <w:pPr>
              <w:spacing w:line="280" w:lineRule="exact"/>
              <w:ind w:firstLine="420" w:firstLineChars="200"/>
              <w:rPr>
                <w:rFonts w:hint="eastAsia" w:eastAsia="华文细黑"/>
                <w:lang w:eastAsia="zh-CN"/>
              </w:rPr>
            </w:pPr>
            <w:r>
              <w:rPr>
                <w:rFonts w:hint="eastAsia"/>
              </w:rPr>
              <w:t>主要为生活垃圾，办公室有垃圾篓集中倒入垃圾站由市政环卫运送至统一地点集中处理。危废（墨盒、硒鼓、灯管）排放由杭州</w:t>
            </w:r>
            <w:r>
              <w:rPr>
                <w:rFonts w:hint="eastAsia"/>
                <w:lang w:val="en-US" w:eastAsia="zh-CN"/>
              </w:rPr>
              <w:t>市江干区凡松电子产品商行</w:t>
            </w:r>
            <w:r>
              <w:rPr>
                <w:rFonts w:hint="eastAsia"/>
              </w:rPr>
              <w:t>回收</w:t>
            </w:r>
            <w:r>
              <w:rPr>
                <w:rFonts w:hint="eastAsia"/>
                <w:lang w:eastAsia="zh-CN"/>
              </w:rPr>
              <w:t>。</w:t>
            </w:r>
          </w:p>
          <w:p>
            <w:pPr>
              <w:spacing w:line="280" w:lineRule="exact"/>
              <w:ind w:firstLine="420" w:firstLineChars="200"/>
            </w:pPr>
            <w:r>
              <w:rPr>
                <w:rFonts w:hint="eastAsia"/>
                <w:lang w:val="en-US" w:eastAsia="zh-CN"/>
              </w:rPr>
              <w:t>2.</w:t>
            </w:r>
            <w:r>
              <w:rPr>
                <w:rFonts w:hint="eastAsia"/>
              </w:rPr>
              <w:t>废水管控</w:t>
            </w:r>
          </w:p>
          <w:p>
            <w:pPr>
              <w:spacing w:line="280" w:lineRule="exact"/>
              <w:ind w:firstLine="420" w:firstLineChars="200"/>
            </w:pPr>
            <w:r>
              <w:rPr>
                <w:rFonts w:hint="eastAsia"/>
              </w:rPr>
              <w:t>主要生活废水排入政府污水管网统一处理。</w:t>
            </w:r>
          </w:p>
          <w:p>
            <w:pPr>
              <w:pStyle w:val="15"/>
              <w:numPr>
                <w:ilvl w:val="0"/>
                <w:numId w:val="0"/>
              </w:numPr>
              <w:spacing w:line="280" w:lineRule="exact"/>
              <w:ind w:left="420" w:leftChars="0"/>
            </w:pPr>
            <w:r>
              <w:rPr>
                <w:rFonts w:hint="eastAsia"/>
                <w:lang w:val="en-US" w:eastAsia="zh-CN"/>
              </w:rPr>
              <w:t>3.</w:t>
            </w:r>
            <w:r>
              <w:rPr>
                <w:rFonts w:hint="eastAsia"/>
              </w:rPr>
              <w:t>能源资源管控</w:t>
            </w:r>
          </w:p>
          <w:p>
            <w:pPr>
              <w:spacing w:line="280" w:lineRule="exact"/>
              <w:ind w:firstLine="420" w:firstLineChars="200"/>
              <w:rPr>
                <w:rFonts w:hint="eastAsia"/>
              </w:rPr>
            </w:pPr>
            <w:r>
              <w:rPr>
                <w:rFonts w:hint="eastAsia"/>
                <w:lang w:val="en-US" w:eastAsia="zh-CN"/>
              </w:rPr>
              <w:t>办公</w:t>
            </w:r>
            <w:r>
              <w:rPr>
                <w:rFonts w:hint="eastAsia"/>
              </w:rPr>
              <w:t>过程注意节水、节电、节油，人走关闭开关，未发现有漏水和浪费电能的现象。</w:t>
            </w:r>
          </w:p>
          <w:p>
            <w:pPr>
              <w:spacing w:line="280" w:lineRule="exact"/>
              <w:ind w:firstLine="420" w:firstLineChars="200"/>
            </w:pPr>
            <w:r>
              <w:rPr>
                <w:rFonts w:hint="eastAsia"/>
                <w:lang w:val="en-US" w:eastAsia="zh-CN"/>
              </w:rPr>
              <w:t>4.</w:t>
            </w:r>
            <w:r>
              <w:rPr>
                <w:rFonts w:hint="eastAsia"/>
              </w:rPr>
              <w:t>潜在火灾管控</w:t>
            </w:r>
          </w:p>
          <w:p>
            <w:pPr>
              <w:spacing w:line="280" w:lineRule="exact"/>
              <w:ind w:firstLine="420" w:firstLineChars="200"/>
              <w:rPr>
                <w:rFonts w:hint="eastAsia"/>
              </w:rPr>
            </w:pPr>
            <w:r>
              <w:rPr>
                <w:rFonts w:hint="eastAsia"/>
                <w:lang w:val="en-US" w:eastAsia="zh-CN"/>
              </w:rPr>
              <w:t>组织</w:t>
            </w:r>
            <w:r>
              <w:rPr>
                <w:rFonts w:hint="eastAsia"/>
              </w:rPr>
              <w:t>办公室现场配有灭火器</w:t>
            </w:r>
            <w:r>
              <w:rPr>
                <w:rFonts w:hint="eastAsia"/>
                <w:lang w:eastAsia="zh-CN"/>
              </w:rPr>
              <w:t>，</w:t>
            </w:r>
            <w:r>
              <w:rPr>
                <w:rFonts w:hint="eastAsia"/>
                <w:lang w:val="en-US" w:eastAsia="zh-CN"/>
              </w:rPr>
              <w:t>维护检查记录完整，有</w:t>
            </w:r>
            <w:r>
              <w:rPr>
                <w:rFonts w:hint="eastAsia"/>
              </w:rPr>
              <w:t>应急预案</w:t>
            </w:r>
            <w:r>
              <w:rPr>
                <w:rFonts w:hint="eastAsia"/>
                <w:lang w:val="en-US" w:eastAsia="zh-CN"/>
              </w:rPr>
              <w:t>及其演练记录，见EO8.2</w:t>
            </w:r>
            <w:r>
              <w:rPr>
                <w:rFonts w:hint="eastAsia"/>
              </w:rPr>
              <w:t>。</w:t>
            </w:r>
          </w:p>
          <w:p>
            <w:pPr>
              <w:spacing w:line="280" w:lineRule="exact"/>
              <w:ind w:firstLine="420" w:firstLineChars="200"/>
            </w:pPr>
            <w:r>
              <w:rPr>
                <w:rFonts w:hint="eastAsia"/>
                <w:lang w:val="en-US" w:eastAsia="zh-CN"/>
              </w:rPr>
              <w:t>5.</w:t>
            </w:r>
            <w:r>
              <w:rPr>
                <w:rFonts w:hint="eastAsia"/>
              </w:rPr>
              <w:t>安全防护</w:t>
            </w:r>
          </w:p>
          <w:p>
            <w:pPr>
              <w:spacing w:line="280" w:lineRule="exact"/>
              <w:ind w:firstLine="420" w:firstLineChars="200"/>
              <w:rPr>
                <w:rFonts w:hint="default" w:eastAsia="宋体"/>
                <w:lang w:val="en-US" w:eastAsia="zh-CN"/>
              </w:rPr>
            </w:pPr>
            <w:r>
              <w:rPr>
                <w:rFonts w:hint="eastAsia"/>
              </w:rPr>
              <w:t>疫情期间进出人员进行温度登记，查看</w:t>
            </w:r>
            <w:r>
              <w:rPr>
                <w:rFonts w:hint="eastAsia"/>
                <w:lang w:val="en-US" w:eastAsia="zh-CN"/>
              </w:rPr>
              <w:t>双</w:t>
            </w:r>
            <w:r>
              <w:rPr>
                <w:rFonts w:hint="eastAsia"/>
              </w:rPr>
              <w:t>码</w:t>
            </w:r>
            <w:r>
              <w:rPr>
                <w:rFonts w:hint="eastAsia"/>
                <w:lang w:eastAsia="zh-CN"/>
              </w:rPr>
              <w:t>；</w:t>
            </w:r>
            <w:r>
              <w:rPr>
                <w:rFonts w:hint="eastAsia"/>
              </w:rPr>
              <w:t>给员工发放口罩等劳保用品</w:t>
            </w:r>
            <w:r>
              <w:rPr>
                <w:rFonts w:hint="eastAsia"/>
                <w:lang w:eastAsia="zh-CN"/>
              </w:rPr>
              <w:t>，</w:t>
            </w:r>
            <w:r>
              <w:rPr>
                <w:rFonts w:hint="eastAsia"/>
                <w:lang w:val="en-US" w:eastAsia="zh-CN"/>
              </w:rPr>
              <w:t>提供了《劳保用品发放（借用）登记表》。</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60" w:type="dxa"/>
          </w:tcPr>
          <w:p>
            <w:pPr>
              <w:spacing w:line="280" w:lineRule="exact"/>
              <w:rPr>
                <w:b/>
                <w:szCs w:val="21"/>
              </w:rPr>
            </w:pPr>
            <w:r>
              <w:rPr>
                <w:rFonts w:hint="eastAsia" w:ascii="宋体" w:hAnsi="宋体" w:cs="宋体"/>
                <w:szCs w:val="21"/>
              </w:rPr>
              <w:t>应急响应和准备</w:t>
            </w:r>
          </w:p>
        </w:tc>
        <w:tc>
          <w:tcPr>
            <w:tcW w:w="960"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4"/>
              <w:spacing w:line="280" w:lineRule="exact"/>
              <w:rPr>
                <w:sz w:val="21"/>
                <w:szCs w:val="21"/>
              </w:rPr>
            </w:pPr>
            <w:r>
              <w:rPr>
                <w:rFonts w:hint="eastAsia"/>
                <w:sz w:val="21"/>
                <w:szCs w:val="21"/>
                <w:lang w:val="en-US" w:eastAsia="zh-CN"/>
              </w:rPr>
              <w:t>组织</w:t>
            </w:r>
            <w:r>
              <w:rPr>
                <w:rFonts w:hint="eastAsia"/>
                <w:sz w:val="21"/>
                <w:szCs w:val="21"/>
              </w:rPr>
              <w:t>编制了《应急准备和响应管理程序》，策划了应急预案包括触电、火灾、中暑、台风等应急预案</w:t>
            </w:r>
            <w:r>
              <w:rPr>
                <w:rFonts w:hint="eastAsia"/>
                <w:sz w:val="21"/>
                <w:szCs w:val="21"/>
                <w:lang w:eastAsia="zh-CN"/>
              </w:rPr>
              <w:t>，</w:t>
            </w:r>
            <w:r>
              <w:rPr>
                <w:rFonts w:hint="eastAsia"/>
                <w:sz w:val="21"/>
                <w:szCs w:val="21"/>
              </w:rPr>
              <w:t>内容基本</w:t>
            </w:r>
            <w:r>
              <w:rPr>
                <w:rFonts w:hint="eastAsia"/>
                <w:sz w:val="21"/>
                <w:szCs w:val="21"/>
                <w:lang w:val="en-US" w:eastAsia="zh-CN"/>
              </w:rPr>
              <w:t>无变化</w:t>
            </w:r>
            <w:r>
              <w:rPr>
                <w:rFonts w:hint="eastAsia"/>
                <w:sz w:val="21"/>
                <w:szCs w:val="21"/>
              </w:rPr>
              <w:t>。</w:t>
            </w:r>
          </w:p>
          <w:p>
            <w:pPr>
              <w:spacing w:line="280" w:lineRule="exact"/>
              <w:ind w:firstLine="420" w:firstLineChars="200"/>
              <w:rPr>
                <w:rFonts w:hint="eastAsia" w:ascii="Calibri" w:hAnsi="Calibri"/>
                <w:szCs w:val="21"/>
              </w:rPr>
            </w:pPr>
            <w:r>
              <w:rPr>
                <w:rFonts w:hint="eastAsia" w:ascii="Calibri" w:hAnsi="Calibri"/>
                <w:szCs w:val="21"/>
              </w:rPr>
              <w:t>查消防灭火演练</w:t>
            </w:r>
            <w:r>
              <w:rPr>
                <w:rFonts w:hint="eastAsia" w:ascii="Calibri" w:hAnsi="Calibri"/>
                <w:szCs w:val="21"/>
                <w:lang w:val="en-US" w:eastAsia="zh-CN"/>
              </w:rPr>
              <w:t>：</w:t>
            </w:r>
            <w:r>
              <w:rPr>
                <w:rFonts w:hint="eastAsia" w:ascii="Calibri" w:hAnsi="Calibri"/>
                <w:szCs w:val="21"/>
              </w:rPr>
              <w:t>演练时间</w:t>
            </w:r>
            <w:r>
              <w:rPr>
                <w:rFonts w:hint="eastAsia" w:ascii="Calibri" w:hAnsi="Calibri"/>
                <w:szCs w:val="21"/>
                <w:lang w:eastAsia="zh-CN"/>
              </w:rPr>
              <w:t>：</w:t>
            </w:r>
            <w:r>
              <w:rPr>
                <w:rFonts w:hint="eastAsia" w:ascii="Calibri" w:hAnsi="Calibri"/>
                <w:szCs w:val="21"/>
              </w:rPr>
              <w:t>20</w:t>
            </w:r>
            <w:r>
              <w:rPr>
                <w:rFonts w:ascii="Calibri" w:hAnsi="Calibri"/>
                <w:szCs w:val="21"/>
              </w:rPr>
              <w:t>2</w:t>
            </w:r>
            <w:r>
              <w:rPr>
                <w:rFonts w:hint="eastAsia" w:ascii="Calibri" w:hAnsi="Calibri"/>
                <w:szCs w:val="21"/>
                <w:lang w:val="en-US" w:eastAsia="zh-CN"/>
              </w:rPr>
              <w:t>2</w:t>
            </w:r>
            <w:r>
              <w:rPr>
                <w:rFonts w:ascii="Calibri" w:hAnsi="Calibri"/>
                <w:szCs w:val="21"/>
              </w:rPr>
              <w:t>.4.20</w:t>
            </w:r>
            <w:r>
              <w:rPr>
                <w:rFonts w:hint="eastAsia" w:ascii="Calibri" w:hAnsi="Calibri"/>
                <w:szCs w:val="21"/>
                <w:lang w:eastAsia="zh-CN"/>
              </w:rPr>
              <w:t>；</w:t>
            </w:r>
            <w:r>
              <w:rPr>
                <w:rFonts w:hint="eastAsia" w:ascii="Calibri" w:hAnsi="Calibri"/>
                <w:szCs w:val="21"/>
              </w:rPr>
              <w:t>地点</w:t>
            </w:r>
            <w:r>
              <w:rPr>
                <w:rFonts w:hint="eastAsia" w:ascii="Calibri" w:hAnsi="Calibri"/>
                <w:szCs w:val="21"/>
                <w:lang w:eastAsia="zh-CN"/>
              </w:rPr>
              <w:t>：</w:t>
            </w:r>
            <w:r>
              <w:rPr>
                <w:rFonts w:hint="eastAsia" w:ascii="Calibri" w:hAnsi="Calibri"/>
                <w:szCs w:val="21"/>
              </w:rPr>
              <w:t>办公大楼前</w:t>
            </w:r>
            <w:r>
              <w:rPr>
                <w:rFonts w:hint="eastAsia" w:ascii="Calibri" w:hAnsi="Calibri"/>
                <w:szCs w:val="21"/>
                <w:lang w:eastAsia="zh-CN"/>
              </w:rPr>
              <w:t>；</w:t>
            </w:r>
            <w:r>
              <w:rPr>
                <w:rFonts w:hint="eastAsia" w:ascii="Calibri" w:hAnsi="Calibri"/>
                <w:szCs w:val="21"/>
              </w:rPr>
              <w:t>对演练过程进行了描述，并对预案的有效性进行了评价。</w:t>
            </w:r>
          </w:p>
          <w:p>
            <w:pPr>
              <w:spacing w:line="280" w:lineRule="exact"/>
              <w:ind w:firstLine="420" w:firstLineChars="200"/>
              <w:rPr>
                <w:rFonts w:ascii="Calibri" w:hAnsi="Calibri"/>
                <w:szCs w:val="21"/>
              </w:rPr>
            </w:pPr>
            <w:r>
              <w:rPr>
                <w:rFonts w:hint="eastAsia" w:ascii="Calibri" w:hAnsi="Calibri"/>
                <w:szCs w:val="21"/>
              </w:rPr>
              <w:t>目前未发生火灾、人身伤害等事故。</w:t>
            </w:r>
          </w:p>
        </w:tc>
        <w:tc>
          <w:tcPr>
            <w:tcW w:w="1585" w:type="dxa"/>
          </w:tcPr>
          <w:p>
            <w:r>
              <w:rPr>
                <w:rFonts w:hint="eastAsia"/>
              </w:rPr>
              <w:t>Y</w:t>
            </w:r>
          </w:p>
        </w:tc>
      </w:tr>
    </w:tbl>
    <w:p>
      <w:r>
        <w:ptab w:relativeTo="margin" w:alignment="center" w:leader="none"/>
      </w:r>
    </w:p>
    <w:p>
      <w:pPr>
        <w:pStyle w:val="4"/>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6EB3E"/>
    <w:multiLevelType w:val="singleLevel"/>
    <w:tmpl w:val="C796EB3E"/>
    <w:lvl w:ilvl="0" w:tentative="0">
      <w:start w:val="1"/>
      <w:numFmt w:val="decimal"/>
      <w:lvlText w:val="%1."/>
      <w:lvlJc w:val="left"/>
      <w:pPr>
        <w:tabs>
          <w:tab w:val="left" w:pos="312"/>
        </w:tabs>
      </w:pPr>
    </w:lvl>
  </w:abstractNum>
  <w:abstractNum w:abstractNumId="1">
    <w:nsid w:val="59F02D1B"/>
    <w:multiLevelType w:val="multilevel"/>
    <w:tmpl w:val="59F02D1B"/>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B19FF"/>
    <w:rsid w:val="001C57A3"/>
    <w:rsid w:val="001F0E7B"/>
    <w:rsid w:val="001F37CF"/>
    <w:rsid w:val="001F77E0"/>
    <w:rsid w:val="002533F4"/>
    <w:rsid w:val="00273847"/>
    <w:rsid w:val="002871F4"/>
    <w:rsid w:val="00287457"/>
    <w:rsid w:val="002B36EC"/>
    <w:rsid w:val="002C22A6"/>
    <w:rsid w:val="002E29A0"/>
    <w:rsid w:val="002E55EA"/>
    <w:rsid w:val="002F05BD"/>
    <w:rsid w:val="003015FB"/>
    <w:rsid w:val="003273C2"/>
    <w:rsid w:val="003445A0"/>
    <w:rsid w:val="003541E0"/>
    <w:rsid w:val="00364D71"/>
    <w:rsid w:val="00382525"/>
    <w:rsid w:val="00384FEF"/>
    <w:rsid w:val="00397D3F"/>
    <w:rsid w:val="003C254E"/>
    <w:rsid w:val="003E434A"/>
    <w:rsid w:val="0042030E"/>
    <w:rsid w:val="0043712F"/>
    <w:rsid w:val="004450A7"/>
    <w:rsid w:val="0047490C"/>
    <w:rsid w:val="004819AB"/>
    <w:rsid w:val="004832CA"/>
    <w:rsid w:val="00497971"/>
    <w:rsid w:val="004B20B2"/>
    <w:rsid w:val="004B4B24"/>
    <w:rsid w:val="004D14C1"/>
    <w:rsid w:val="004D6FC5"/>
    <w:rsid w:val="004E6448"/>
    <w:rsid w:val="004E7665"/>
    <w:rsid w:val="004E7D7E"/>
    <w:rsid w:val="004F4E79"/>
    <w:rsid w:val="00503F34"/>
    <w:rsid w:val="005074C4"/>
    <w:rsid w:val="00507E17"/>
    <w:rsid w:val="00516205"/>
    <w:rsid w:val="00532DE5"/>
    <w:rsid w:val="00551E35"/>
    <w:rsid w:val="0056074B"/>
    <w:rsid w:val="00567182"/>
    <w:rsid w:val="005676DC"/>
    <w:rsid w:val="005A2330"/>
    <w:rsid w:val="005A23B2"/>
    <w:rsid w:val="005B6C34"/>
    <w:rsid w:val="005D2531"/>
    <w:rsid w:val="005F04E5"/>
    <w:rsid w:val="00621578"/>
    <w:rsid w:val="00621EA2"/>
    <w:rsid w:val="006256EF"/>
    <w:rsid w:val="00646303"/>
    <w:rsid w:val="0066353B"/>
    <w:rsid w:val="00663A52"/>
    <w:rsid w:val="00665E60"/>
    <w:rsid w:val="00672093"/>
    <w:rsid w:val="00672CC5"/>
    <w:rsid w:val="00680222"/>
    <w:rsid w:val="006842EC"/>
    <w:rsid w:val="006E4E1C"/>
    <w:rsid w:val="006F2650"/>
    <w:rsid w:val="006F2C8A"/>
    <w:rsid w:val="00713C1D"/>
    <w:rsid w:val="00715292"/>
    <w:rsid w:val="007469D5"/>
    <w:rsid w:val="0075560B"/>
    <w:rsid w:val="00756C63"/>
    <w:rsid w:val="00761387"/>
    <w:rsid w:val="00774749"/>
    <w:rsid w:val="007861D2"/>
    <w:rsid w:val="00797BA7"/>
    <w:rsid w:val="007B4E33"/>
    <w:rsid w:val="007C5A7D"/>
    <w:rsid w:val="007C6A31"/>
    <w:rsid w:val="007D3A58"/>
    <w:rsid w:val="007E6050"/>
    <w:rsid w:val="00814B16"/>
    <w:rsid w:val="008242EA"/>
    <w:rsid w:val="008265BB"/>
    <w:rsid w:val="00834CE8"/>
    <w:rsid w:val="0085042B"/>
    <w:rsid w:val="008631F9"/>
    <w:rsid w:val="008667F0"/>
    <w:rsid w:val="008A1509"/>
    <w:rsid w:val="008B3B2F"/>
    <w:rsid w:val="008C01A2"/>
    <w:rsid w:val="008D2E87"/>
    <w:rsid w:val="008D3475"/>
    <w:rsid w:val="00911D5E"/>
    <w:rsid w:val="0092791F"/>
    <w:rsid w:val="00954D65"/>
    <w:rsid w:val="00955C0E"/>
    <w:rsid w:val="00976860"/>
    <w:rsid w:val="00991AEB"/>
    <w:rsid w:val="00992529"/>
    <w:rsid w:val="009977CF"/>
    <w:rsid w:val="009B1072"/>
    <w:rsid w:val="00A01526"/>
    <w:rsid w:val="00A23D1B"/>
    <w:rsid w:val="00A30F85"/>
    <w:rsid w:val="00A52229"/>
    <w:rsid w:val="00A76F84"/>
    <w:rsid w:val="00A86196"/>
    <w:rsid w:val="00A94706"/>
    <w:rsid w:val="00AB5CFD"/>
    <w:rsid w:val="00AE6698"/>
    <w:rsid w:val="00B007F3"/>
    <w:rsid w:val="00B03AA7"/>
    <w:rsid w:val="00B119B7"/>
    <w:rsid w:val="00B361C1"/>
    <w:rsid w:val="00B531A8"/>
    <w:rsid w:val="00B53B05"/>
    <w:rsid w:val="00B6239E"/>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A22FF"/>
    <w:rsid w:val="00DE1A2C"/>
    <w:rsid w:val="00DE2FCE"/>
    <w:rsid w:val="00DF19AB"/>
    <w:rsid w:val="00E0114F"/>
    <w:rsid w:val="00E11BD3"/>
    <w:rsid w:val="00E17655"/>
    <w:rsid w:val="00E219A3"/>
    <w:rsid w:val="00E41911"/>
    <w:rsid w:val="00E556FE"/>
    <w:rsid w:val="00E707CA"/>
    <w:rsid w:val="00E944DC"/>
    <w:rsid w:val="00E97080"/>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5026"/>
    <w:rsid w:val="00FB6FAA"/>
    <w:rsid w:val="00FF01F3"/>
    <w:rsid w:val="00FF0A51"/>
    <w:rsid w:val="00FF1D21"/>
    <w:rsid w:val="00FF5E6D"/>
    <w:rsid w:val="030900C2"/>
    <w:rsid w:val="04633544"/>
    <w:rsid w:val="04F77579"/>
    <w:rsid w:val="05201F9D"/>
    <w:rsid w:val="084D7206"/>
    <w:rsid w:val="0A755CD1"/>
    <w:rsid w:val="113A1798"/>
    <w:rsid w:val="11B844E6"/>
    <w:rsid w:val="12B96A38"/>
    <w:rsid w:val="17020797"/>
    <w:rsid w:val="17E13BBF"/>
    <w:rsid w:val="1EED5939"/>
    <w:rsid w:val="21A86451"/>
    <w:rsid w:val="256E766A"/>
    <w:rsid w:val="26E517A8"/>
    <w:rsid w:val="3157033C"/>
    <w:rsid w:val="31790611"/>
    <w:rsid w:val="33F233DA"/>
    <w:rsid w:val="34716ED2"/>
    <w:rsid w:val="372A73A8"/>
    <w:rsid w:val="3906200D"/>
    <w:rsid w:val="39726E4C"/>
    <w:rsid w:val="3E7522F8"/>
    <w:rsid w:val="42561536"/>
    <w:rsid w:val="441D7BE0"/>
    <w:rsid w:val="45F74876"/>
    <w:rsid w:val="4CDE6AB5"/>
    <w:rsid w:val="4CE92A73"/>
    <w:rsid w:val="4D473F5A"/>
    <w:rsid w:val="4DED56EF"/>
    <w:rsid w:val="4E3E5A58"/>
    <w:rsid w:val="4F3A6B2A"/>
    <w:rsid w:val="500A7061"/>
    <w:rsid w:val="550F5964"/>
    <w:rsid w:val="57090958"/>
    <w:rsid w:val="58D83B72"/>
    <w:rsid w:val="5BB10D9A"/>
    <w:rsid w:val="610F200D"/>
    <w:rsid w:val="6ADB6F8D"/>
    <w:rsid w:val="6E627AEB"/>
    <w:rsid w:val="71101ED6"/>
    <w:rsid w:val="723F5D3D"/>
    <w:rsid w:val="72FA6307"/>
    <w:rsid w:val="747D06DB"/>
    <w:rsid w:val="74E223D0"/>
    <w:rsid w:val="76B812C6"/>
    <w:rsid w:val="773F1043"/>
    <w:rsid w:val="777E4899"/>
    <w:rsid w:val="79FD7E32"/>
    <w:rsid w:val="7CA5296F"/>
    <w:rsid w:val="7E754D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rPr>
      <w:rFonts w:ascii="仿宋_GB2312" w:eastAsia="仿宋_GB2312"/>
      <w:b/>
      <w:sz w:val="32"/>
      <w:szCs w:val="32"/>
    </w:rPr>
  </w:style>
  <w:style w:type="paragraph" w:customStyle="1" w:styleId="14">
    <w:name w:val="_Style 2"/>
    <w:basedOn w:val="1"/>
    <w:qFormat/>
    <w:uiPriority w:val="34"/>
    <w:pPr>
      <w:ind w:firstLine="420" w:firstLineChars="200"/>
    </w:pPr>
    <w:rPr>
      <w:rFonts w:ascii="Calibri" w:hAnsi="Calibri"/>
      <w:sz w:val="24"/>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779</Words>
  <Characters>4442</Characters>
  <Lines>37</Lines>
  <Paragraphs>10</Paragraphs>
  <TotalTime>0</TotalTime>
  <ScaleCrop>false</ScaleCrop>
  <LinksUpToDate>false</LinksUpToDate>
  <CharactersWithSpaces>5211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wangxianhua</cp:lastModifiedBy>
  <dcterms:modified xsi:type="dcterms:W3CDTF">2022-08-31T06:44:31Z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97CE2B4AB7F242C5A2AB199C1428AB67</vt:lpwstr>
  </property>
</Properties>
</file>