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49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916"/>
        <w:gridCol w:w="11577"/>
        <w:gridCol w:w="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08" w:type="pct"/>
            <w:vMerge w:val="restart"/>
            <w:vAlign w:val="center"/>
          </w:tcPr>
          <w:p>
            <w:pPr>
              <w:spacing w:after="0" w:line="24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过程与活动、抽样计划</w:t>
            </w:r>
          </w:p>
        </w:tc>
        <w:tc>
          <w:tcPr>
            <w:tcW w:w="308" w:type="pct"/>
            <w:vMerge w:val="restart"/>
            <w:vAlign w:val="center"/>
          </w:tcPr>
          <w:p>
            <w:pPr>
              <w:spacing w:after="0" w:line="24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涉及</w:t>
            </w:r>
          </w:p>
          <w:p>
            <w:pPr>
              <w:spacing w:after="0" w:line="24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条款</w:t>
            </w:r>
          </w:p>
        </w:tc>
        <w:tc>
          <w:tcPr>
            <w:tcW w:w="3896" w:type="pct"/>
            <w:vAlign w:val="center"/>
          </w:tcPr>
          <w:p>
            <w:pPr>
              <w:spacing w:after="0" w:line="24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受审核部门：物资管理部  主管领导： 黄立新  陪同人员：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万芬</w:t>
            </w:r>
          </w:p>
        </w:tc>
        <w:tc>
          <w:tcPr>
            <w:tcW w:w="186" w:type="pct"/>
            <w:vMerge w:val="restart"/>
            <w:vAlign w:val="top"/>
          </w:tcPr>
          <w:p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8" w:type="pct"/>
            <w:vMerge w:val="continue"/>
            <w:vAlign w:val="center"/>
          </w:tcPr>
          <w:p>
            <w:pPr>
              <w:spacing w:after="0" w:line="24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308" w:type="pct"/>
            <w:vMerge w:val="continue"/>
            <w:vAlign w:val="center"/>
          </w:tcPr>
          <w:p>
            <w:pPr>
              <w:spacing w:after="0" w:line="24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3896" w:type="pct"/>
            <w:vAlign w:val="center"/>
          </w:tcPr>
          <w:p>
            <w:pPr>
              <w:spacing w:after="0" w:line="240" w:lineRule="auto"/>
              <w:rPr>
                <w:rFonts w:hint="default" w:ascii="华文细黑" w:hAnsi="华文细黑" w:eastAsia="华文细黑" w:cs="华文细黑"/>
                <w:sz w:val="21"/>
                <w:szCs w:val="21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审核员：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王献华（</w:t>
            </w:r>
            <w:r>
              <w:rPr>
                <w:rFonts w:hint="eastAsia"/>
                <w:lang w:val="en-US" w:eastAsia="zh-CN"/>
              </w:rPr>
              <w:t>微信视频、文字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审核时间：</w:t>
            </w:r>
            <w:bookmarkStart w:id="0" w:name="审核日期"/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2022.8.2</w:t>
            </w:r>
            <w:bookmarkEnd w:id="0"/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3上午</w:t>
            </w:r>
            <w:bookmarkStart w:id="1" w:name="_GoBack"/>
            <w:bookmarkEnd w:id="1"/>
          </w:p>
        </w:tc>
        <w:tc>
          <w:tcPr>
            <w:tcW w:w="186" w:type="pct"/>
            <w:vMerge w:val="continue"/>
            <w:vAlign w:val="top"/>
          </w:tcPr>
          <w:p>
            <w:pPr>
              <w:spacing w:line="240" w:lineRule="auto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8" w:type="pct"/>
            <w:vMerge w:val="continue"/>
            <w:vAlign w:val="center"/>
          </w:tcPr>
          <w:p>
            <w:pPr>
              <w:spacing w:after="0" w:line="24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308" w:type="pct"/>
            <w:vMerge w:val="continue"/>
            <w:vAlign w:val="center"/>
          </w:tcPr>
          <w:p>
            <w:pPr>
              <w:spacing w:after="0" w:line="24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3896" w:type="pct"/>
            <w:vAlign w:val="center"/>
          </w:tcPr>
          <w:p>
            <w:pPr>
              <w:spacing w:after="0" w:line="240" w:lineRule="auto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内容：</w:t>
            </w:r>
          </w:p>
          <w:p>
            <w:pPr>
              <w:spacing w:after="0" w:line="240" w:lineRule="auto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1.部门职能与权限；2.目标分解落实情况；3.采购过程控制；4.环境因素和危险源辨识；5.环境和职业健康安全运行控制；6.应急准备和响应</w:t>
            </w:r>
          </w:p>
          <w:p>
            <w:pPr>
              <w:spacing w:after="0" w:line="240" w:lineRule="auto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spacing w:after="0" w:line="240" w:lineRule="auto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QEO：5.3、6.2</w:t>
            </w:r>
          </w:p>
          <w:p>
            <w:pPr>
              <w:spacing w:after="0" w:line="240" w:lineRule="auto"/>
              <w:rPr>
                <w:rFonts w:hint="default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Q：8.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4、8.5.3</w:t>
            </w:r>
          </w:p>
          <w:p>
            <w:pPr>
              <w:spacing w:after="0" w:line="240" w:lineRule="auto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EO：6.1.2、8.1、8.2</w:t>
            </w:r>
          </w:p>
        </w:tc>
        <w:tc>
          <w:tcPr>
            <w:tcW w:w="186" w:type="pct"/>
            <w:vMerge w:val="continue"/>
            <w:vAlign w:val="top"/>
          </w:tcPr>
          <w:p>
            <w:pPr>
              <w:spacing w:line="240" w:lineRule="auto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608" w:type="pct"/>
            <w:vAlign w:val="top"/>
          </w:tcPr>
          <w:p>
            <w:pPr>
              <w:bidi w:val="0"/>
            </w:pPr>
            <w:r>
              <w:rPr>
                <w:rFonts w:hint="eastAsia"/>
              </w:rPr>
              <w:t>组织的岗位、职责和权限</w:t>
            </w:r>
          </w:p>
          <w:p>
            <w:pPr>
              <w:bidi w:val="0"/>
              <w:rPr>
                <w:lang w:val="en-US" w:eastAsia="zh-CN"/>
              </w:rPr>
            </w:pPr>
          </w:p>
        </w:tc>
        <w:tc>
          <w:tcPr>
            <w:tcW w:w="308" w:type="pct"/>
            <w:vAlign w:val="top"/>
          </w:tcPr>
          <w:p>
            <w:pPr>
              <w:bidi w:val="0"/>
              <w:rPr>
                <w:lang w:val="en-US" w:eastAsia="zh-CN"/>
              </w:rPr>
            </w:pPr>
            <w:r>
              <w:t>QEO5.3</w:t>
            </w:r>
          </w:p>
        </w:tc>
        <w:tc>
          <w:tcPr>
            <w:tcW w:w="3896" w:type="pct"/>
            <w:vAlign w:val="center"/>
          </w:tcPr>
          <w:p>
            <w:pPr>
              <w:spacing w:after="0" w:line="24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在手册中确定了物资管理部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的职责如下：</w:t>
            </w:r>
          </w:p>
          <w:p>
            <w:pPr>
              <w:spacing w:after="0" w:line="24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a）负责各项目物资采购发货及时无延误，保证项目正常施工。</w:t>
            </w:r>
          </w:p>
          <w:p>
            <w:pPr>
              <w:spacing w:after="0" w:line="24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b)对货物运输费用进行合理管控，物资退场快速无遗失，维护公司财产利益。</w:t>
            </w:r>
          </w:p>
          <w:p>
            <w:pPr>
              <w:spacing w:after="0" w:line="24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c）账务工作清晰无误，工程项目账款结算顺利。</w:t>
            </w:r>
          </w:p>
          <w:p>
            <w:pPr>
              <w:spacing w:after="0" w:line="24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d)负责供应商和外部供方的控制;</w:t>
            </w:r>
          </w:p>
          <w:p>
            <w:pPr>
              <w:spacing w:after="0" w:line="24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e）负责识别本部门环境因素和危险源，并负责评价环境因素和危险因素，确定重要环境因素和不可接受危险因素,制订控制措施；</w:t>
            </w:r>
          </w:p>
          <w:p>
            <w:pPr>
              <w:spacing w:after="0" w:line="24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f）积极参加公司组织进行的应急演练;</w:t>
            </w:r>
          </w:p>
          <w:p>
            <w:pPr>
              <w:spacing w:after="0" w:line="24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g）完成公司领导交办的工作任务。</w:t>
            </w:r>
          </w:p>
          <w:p>
            <w:pPr>
              <w:spacing w:after="0" w:line="24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部门的的职能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未变化，</w:t>
            </w:r>
            <w:r>
              <w:rPr>
                <w:rFonts w:hint="eastAsia" w:ascii="宋体" w:hAnsi="宋体" w:cs="宋体"/>
                <w:sz w:val="21"/>
                <w:szCs w:val="21"/>
              </w:rPr>
              <w:t>询问物资管理部人员，基本清楚本部门职责。</w:t>
            </w:r>
          </w:p>
        </w:tc>
        <w:tc>
          <w:tcPr>
            <w:tcW w:w="186" w:type="pct"/>
            <w:vAlign w:val="top"/>
          </w:tcPr>
          <w:p>
            <w:pPr>
              <w:spacing w:line="240" w:lineRule="auto"/>
              <w:jc w:val="both"/>
              <w:rPr>
                <w:rFonts w:hint="eastAsia" w:eastAsia="华文细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08" w:type="pct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环境因素识别、危险源识别</w:t>
            </w:r>
            <w:r>
              <w:rPr>
                <w:rFonts w:hint="eastAsia"/>
                <w:lang w:val="en-US" w:eastAsia="zh-CN"/>
              </w:rPr>
              <w:t>及其控制</w:t>
            </w:r>
          </w:p>
        </w:tc>
        <w:tc>
          <w:tcPr>
            <w:tcW w:w="308" w:type="pct"/>
            <w:vAlign w:val="top"/>
          </w:tcPr>
          <w:p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  <w:lang w:val="en-US" w:eastAsia="zh-CN"/>
              </w:rPr>
              <w:t>O</w:t>
            </w:r>
            <w:r>
              <w:t>6.1</w:t>
            </w:r>
            <w:r>
              <w:rPr>
                <w:rFonts w:hint="eastAsia"/>
              </w:rPr>
              <w:t>.</w:t>
            </w:r>
            <w:r>
              <w:t>2</w:t>
            </w:r>
          </w:p>
        </w:tc>
        <w:tc>
          <w:tcPr>
            <w:tcW w:w="3896" w:type="pct"/>
            <w:vAlign w:val="center"/>
          </w:tcPr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提供了《环境因素调查评价表》：识别的环境因素标明时态、状态和对环境的影响；识别的环境因素包括办公活动中产生的危险固废的排放、水电消耗、潜在火灾、生活垃圾的排放等，并考虑了环境管理体系发生变更时可能产生的环境因素。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提供了《重要环境因素清单》：涉及物资管理部的重要环境因素包括：危险固废的排放、水电消耗、潜在火灾、生活垃圾的排放；提供了针对重要环境因素编制的环境目标、指标及管理方案，内容包括目标指标、实施方法与预计资金、完成日期、检查部门等。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提供了《职业健康安全危险源调查评价表》：对活动场所产生的危险源辨识并进行风险评价，以确定控制措施，经查阅已辨识外出触电、潜在火灾事故、交通事故、意外工伤事故等危险因素。</w:t>
            </w:r>
          </w:p>
          <w:p>
            <w:pPr>
              <w:spacing w:after="0"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提供了《不可接受风险清单》：涉及物资管理部的不可接受风险包括触电、潜在火灾事故、交通事故、意外工伤事故；针对不可接受风险编制了职业健康安全目标、指标及管理方案，内容包括目标指标、实施方法与预计资金、完成日期、检查部门等。</w:t>
            </w:r>
          </w:p>
        </w:tc>
        <w:tc>
          <w:tcPr>
            <w:tcW w:w="186" w:type="pct"/>
            <w:vAlign w:val="top"/>
          </w:tcPr>
          <w:p>
            <w:pPr>
              <w:spacing w:line="240" w:lineRule="auto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608" w:type="pct"/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管理目标及其实现的策划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8" w:type="pct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Q6.2</w:t>
            </w:r>
          </w:p>
        </w:tc>
        <w:tc>
          <w:tcPr>
            <w:tcW w:w="3896" w:type="pct"/>
            <w:vAlign w:val="center"/>
          </w:tcPr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组织对管理体系所需的相关职能、层次和过程设定管理目标。物资管理部相关的目标及实现情况如下：</w:t>
            </w:r>
          </w:p>
          <w:p>
            <w:pPr>
              <w:spacing w:after="0" w:line="240" w:lineRule="auto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drawing>
                <wp:inline distT="0" distB="0" distL="114300" distR="114300">
                  <wp:extent cx="6940550" cy="1371600"/>
                  <wp:effectExtent l="0" t="0" r="6350" b="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目标可测量，与管理方针一致。有实施落实的方案， 查21年6月至今的统计结果，目标均已完成。</w:t>
            </w:r>
          </w:p>
        </w:tc>
        <w:tc>
          <w:tcPr>
            <w:tcW w:w="186" w:type="pct"/>
            <w:vAlign w:val="top"/>
          </w:tcPr>
          <w:p>
            <w:pPr>
              <w:spacing w:line="240" w:lineRule="auto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8" w:type="pct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采购</w:t>
            </w:r>
          </w:p>
        </w:tc>
        <w:tc>
          <w:tcPr>
            <w:tcW w:w="308" w:type="pct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t>Q</w:t>
            </w:r>
            <w:r>
              <w:rPr>
                <w:rFonts w:hint="eastAsia"/>
              </w:rPr>
              <w:t>8</w:t>
            </w:r>
            <w:r>
              <w:t>.4</w:t>
            </w:r>
          </w:p>
        </w:tc>
        <w:tc>
          <w:tcPr>
            <w:tcW w:w="3896" w:type="pct"/>
            <w:vAlign w:val="center"/>
          </w:tcPr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组织编制《外部提供产品、服务和过程控制程序》、《供方绩效准则》对采购过程进行了管理。外部提供的过程、产品和服务主要包括铝模及相关配件（如支撑柱托头、梁面板、楼板内转角、面板、流星锤等）的供应以及物流服务等，以合同约定和后续评价作为主要控制方式，基本满足要求。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查采购合同1：合同编号：YH-CG20220516-001；供方：安徽首地铝业科技有限公司；合同内容：铁背楞、吊架、方管等铝模配件采购；合同要求明确，双方签章确认。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查采购合同2：合同编号：YH-CG20211216001；供方：武汉绿之华科技有限公司；合同内容：水性脱模剂采购；合同要求明确，双方盖章确认。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查采购合同3：合同编号：YHCG20220308-001；供方：河北民俊建材科技有限公司；合同内容：对拉杆螺母、K板螺母等配件采购；合同要求明确。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查采购合同4：合同编号：YHCG20220614-001；供方：南通佳坤新材料科技有限公司；合同内容：废旧铝模板型材加工；合同要求明确，双方盖章确认。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查采购合同5：合同编号：XBBJ-S-2021033001；供方：福建旭邦建筑工程有限公司；合同内容：铁背楞、吊架、方管等铝模配件采购；合同要求明确，双方盖章确认。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查采购合同6：合同编号：YH-CG20211108-001；供方：凤阳阳兴新材料有限公司；合同内容：废旧铝模板型材加工；合同要求明确，双方盖章确认。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查采购合同7：合同编号：XBBJ-S-2021033001；供方：福建旭邦建筑工程有限公司；合同内容：铁背楞、吊架、方管等铝模配件改制。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提供与上海信盛物流有限公司签订的物流运输合同：合同就运输物品及包装要求、报价、托运要求、费用结算等作了约定；合同期限至2022年8月31日，双方盖章确认。</w:t>
            </w:r>
          </w:p>
          <w:p>
            <w:pPr>
              <w:spacing w:after="0" w:line="280" w:lineRule="exact"/>
              <w:ind w:firstLine="420" w:firstLineChars="20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提供河北民俊建材科技有限公司的产品质检报告、常州金迈焊接新材料有限公司的背楞原材料质量证明书、南通佳坤新材料科技有限公司的铝合金产品质量证明书等。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提供2022年6月截止的合格供方名单：包括安徽首地铝业科技有限公司、武汉绿之华科技有限公司、河北民俊建材科技有限公司等，提供了供方调查评价表、营业执照等信息。</w:t>
            </w:r>
          </w:p>
          <w:p>
            <w:pPr>
              <w:spacing w:after="0" w:line="280" w:lineRule="exact"/>
              <w:ind w:firstLine="420" w:firstLineChars="20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综上，组织对外部供应商的控制类型和程度基本能够满足控制要求。</w:t>
            </w:r>
          </w:p>
        </w:tc>
        <w:tc>
          <w:tcPr>
            <w:tcW w:w="186" w:type="pct"/>
            <w:vAlign w:val="top"/>
          </w:tcPr>
          <w:p>
            <w:pPr>
              <w:spacing w:line="240" w:lineRule="auto"/>
              <w:jc w:val="both"/>
              <w:rPr>
                <w:rFonts w:hint="eastAsia" w:eastAsia="华文细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8" w:type="pct"/>
            <w:vAlign w:val="top"/>
          </w:tcPr>
          <w:p>
            <w:pPr>
              <w:spacing w:after="0" w:line="280" w:lineRule="exact"/>
              <w:rPr>
                <w:rFonts w:hint="eastAsia" w:ascii="Times New Roman" w:hAnsi="Times New Roman" w:eastAsia="华文细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外供方财产</w:t>
            </w:r>
          </w:p>
        </w:tc>
        <w:tc>
          <w:tcPr>
            <w:tcW w:w="308" w:type="pct"/>
            <w:vAlign w:val="top"/>
          </w:tcPr>
          <w:p>
            <w:pPr>
              <w:spacing w:after="0" w:line="280" w:lineRule="exact"/>
              <w:rPr>
                <w:rFonts w:hint="eastAsia" w:ascii="Times New Roman" w:hAnsi="Times New Roman" w:eastAsia="华文细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Q8.5.3</w:t>
            </w:r>
          </w:p>
        </w:tc>
        <w:tc>
          <w:tcPr>
            <w:tcW w:w="3896" w:type="pct"/>
            <w:vAlign w:val="top"/>
          </w:tcPr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外部供方的财产包括：提供的资质证明文件（如营业执照和其它资质文件）、银行账号、联系方式、经营地址及档案资料等信息，由部门专门人员负责管理，分类登记放置。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eastAsia="华文细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未发生损坏丢失等现象。</w:t>
            </w:r>
          </w:p>
        </w:tc>
        <w:tc>
          <w:tcPr>
            <w:tcW w:w="186" w:type="pct"/>
            <w:vAlign w:val="top"/>
          </w:tcPr>
          <w:p>
            <w:pPr>
              <w:spacing w:line="240" w:lineRule="auto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0" w:type="auto"/>
            <w:vAlign w:val="top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运行策划和控制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O</w:t>
            </w:r>
            <w:r>
              <w:rPr>
                <w:rFonts w:hint="eastAsia"/>
                <w:sz w:val="21"/>
                <w:szCs w:val="21"/>
              </w:rPr>
              <w:t>8.1</w:t>
            </w:r>
          </w:p>
        </w:tc>
        <w:tc>
          <w:tcPr>
            <w:tcW w:w="0" w:type="auto"/>
            <w:vAlign w:val="center"/>
          </w:tcPr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组织编制与环境、安全管理体系运行控制有关的文件有《环境因素识别与评价管理程序》、《危险源辨识与风险评价控制措施管理程序》、《对相关方施加影响管理程序》等，未变化。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部门内的环境因素和危险源管理：废水管控、固废管控、产品周期的环境管控、能源资源管控、潜在火灾管控、安全防护等方面与行政管理部一致。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相关的相关方，以告知书的形式施加影响。</w:t>
            </w:r>
          </w:p>
        </w:tc>
        <w:tc>
          <w:tcPr>
            <w:tcW w:w="0" w:type="auto"/>
          </w:tcPr>
          <w:p>
            <w:pPr>
              <w:spacing w:line="240" w:lineRule="auto"/>
              <w:jc w:val="both"/>
              <w:rPr>
                <w:rFonts w:hint="eastAsia" w:eastAsia="华文细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608" w:type="pct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应急响应和准备</w:t>
            </w:r>
          </w:p>
        </w:tc>
        <w:tc>
          <w:tcPr>
            <w:tcW w:w="308" w:type="pct"/>
            <w:vAlign w:val="top"/>
          </w:tcPr>
          <w:p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O</w:t>
            </w:r>
            <w:r>
              <w:rPr>
                <w:rFonts w:hint="eastAsia"/>
                <w:sz w:val="21"/>
                <w:szCs w:val="21"/>
              </w:rPr>
              <w:t>8.2</w:t>
            </w:r>
          </w:p>
        </w:tc>
        <w:tc>
          <w:tcPr>
            <w:tcW w:w="3896" w:type="pct"/>
            <w:vAlign w:val="center"/>
          </w:tcPr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组织编制了《应急准备和响应管理程序》，策划了应急预案包括触电、火灾、中暑、台风等应急预案，内容基本无变化。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查消防灭火演练：演练时间：2022.4.20；地点：办公大楼前；记录 显示物资管理部人员有参与演练，并对演练过程进行了描述，并对预案的有效性进行了评价。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目前未发生火灾、人身伤害等事故。</w:t>
            </w:r>
          </w:p>
        </w:tc>
        <w:tc>
          <w:tcPr>
            <w:tcW w:w="0" w:type="auto"/>
          </w:tcPr>
          <w:p>
            <w:pPr>
              <w:spacing w:line="240" w:lineRule="auto"/>
              <w:jc w:val="both"/>
              <w:rPr>
                <w:rFonts w:hint="eastAsia" w:eastAsia="华文细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pPr>
        <w:pStyle w:val="5"/>
        <w:spacing w:line="360" w:lineRule="auto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DjWOEL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NmFjM2JiM2E0NTA2NDBlNDc5ZjJlODAzODVlOTAifQ=="/>
  </w:docVars>
  <w:rsids>
    <w:rsidRoot w:val="00000000"/>
    <w:rsid w:val="005C0BDD"/>
    <w:rsid w:val="053B7182"/>
    <w:rsid w:val="066B4160"/>
    <w:rsid w:val="07A16C5E"/>
    <w:rsid w:val="095542B4"/>
    <w:rsid w:val="0B1F4349"/>
    <w:rsid w:val="0C004C46"/>
    <w:rsid w:val="0D4E004E"/>
    <w:rsid w:val="0E8A1E6B"/>
    <w:rsid w:val="0EF43232"/>
    <w:rsid w:val="12BC524A"/>
    <w:rsid w:val="135C409A"/>
    <w:rsid w:val="13E0229D"/>
    <w:rsid w:val="15826BD5"/>
    <w:rsid w:val="185C58A7"/>
    <w:rsid w:val="19236690"/>
    <w:rsid w:val="1D355AED"/>
    <w:rsid w:val="1DD13720"/>
    <w:rsid w:val="20A14A6D"/>
    <w:rsid w:val="24393AC1"/>
    <w:rsid w:val="260A7DBD"/>
    <w:rsid w:val="26C74DB3"/>
    <w:rsid w:val="27867C06"/>
    <w:rsid w:val="2DD80E6F"/>
    <w:rsid w:val="2DF37267"/>
    <w:rsid w:val="31485C14"/>
    <w:rsid w:val="33004250"/>
    <w:rsid w:val="35981659"/>
    <w:rsid w:val="38251072"/>
    <w:rsid w:val="396B3EB4"/>
    <w:rsid w:val="3A070207"/>
    <w:rsid w:val="3B0F06C0"/>
    <w:rsid w:val="3C0E352E"/>
    <w:rsid w:val="3E543072"/>
    <w:rsid w:val="3F167215"/>
    <w:rsid w:val="400049BA"/>
    <w:rsid w:val="40380529"/>
    <w:rsid w:val="44975B14"/>
    <w:rsid w:val="46A37CAE"/>
    <w:rsid w:val="46D34142"/>
    <w:rsid w:val="4C650E03"/>
    <w:rsid w:val="4EF82E9D"/>
    <w:rsid w:val="516A556C"/>
    <w:rsid w:val="51D13D7D"/>
    <w:rsid w:val="537D42F8"/>
    <w:rsid w:val="557467B6"/>
    <w:rsid w:val="5610716F"/>
    <w:rsid w:val="5C4F3653"/>
    <w:rsid w:val="5FAB3BB8"/>
    <w:rsid w:val="5FCF132F"/>
    <w:rsid w:val="60622EE1"/>
    <w:rsid w:val="629A3ED5"/>
    <w:rsid w:val="68A963A6"/>
    <w:rsid w:val="695D7CE2"/>
    <w:rsid w:val="6A9212D6"/>
    <w:rsid w:val="6C122D4F"/>
    <w:rsid w:val="6D5E65AD"/>
    <w:rsid w:val="6EA32620"/>
    <w:rsid w:val="6EFA3B98"/>
    <w:rsid w:val="71226C95"/>
    <w:rsid w:val="729249AA"/>
    <w:rsid w:val="736055E9"/>
    <w:rsid w:val="744A3547"/>
    <w:rsid w:val="78EC78E8"/>
    <w:rsid w:val="7D78177F"/>
    <w:rsid w:val="7DDF384A"/>
    <w:rsid w:val="7E0D1F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qFormat/>
    <w:uiPriority w:val="0"/>
    <w:pPr>
      <w:ind w:left="360"/>
    </w:pPr>
    <w:rPr>
      <w:sz w:val="2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wangxianhua</cp:lastModifiedBy>
  <dcterms:modified xsi:type="dcterms:W3CDTF">2022-08-31T06:45:20Z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D3322FD2BED14CBCBF3F8BDC50EEBC77</vt:lpwstr>
  </property>
  <property fmtid="{D5CDD505-2E9C-101B-9397-08002B2CF9AE}" pid="3" name="KSOProductBuildVer">
    <vt:lpwstr>2052-11.1.0.11365</vt:lpwstr>
  </property>
</Properties>
</file>