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207"/>
        <w:gridCol w:w="1040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5" w:type="pct"/>
            <w:vMerge w:val="restart"/>
            <w:vAlign w:val="center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过程与活动、</w:t>
            </w:r>
          </w:p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抽样计划</w:t>
            </w:r>
          </w:p>
        </w:tc>
        <w:tc>
          <w:tcPr>
            <w:tcW w:w="406" w:type="pct"/>
            <w:vMerge w:val="restart"/>
            <w:vAlign w:val="center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</w:t>
            </w:r>
          </w:p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条款</w:t>
            </w:r>
          </w:p>
        </w:tc>
        <w:tc>
          <w:tcPr>
            <w:tcW w:w="3497" w:type="pct"/>
            <w:vAlign w:val="center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受审核部门：催收管理部/商务管理中心/营销中心   主管领导：焦双龙/孙伟/孙守伟  陪同人员：万芬</w:t>
            </w:r>
          </w:p>
        </w:tc>
        <w:tc>
          <w:tcPr>
            <w:tcW w:w="391" w:type="pct"/>
            <w:vMerge w:val="restart"/>
            <w:vAlign w:val="center"/>
          </w:tcPr>
          <w:p>
            <w:pPr>
              <w:bidi w:val="0"/>
              <w:rPr>
                <w:szCs w:val="24"/>
              </w:rPr>
            </w:pPr>
            <w:r>
              <w:rPr>
                <w:rFonts w:hint="eastAsia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5" w:type="pct"/>
            <w:vMerge w:val="continue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6" w:type="pct"/>
            <w:vMerge w:val="continue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97" w:type="pct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审核员：王献华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微信视频、文字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审核时间：20222.8.22下午</w:t>
            </w:r>
          </w:p>
        </w:tc>
        <w:tc>
          <w:tcPr>
            <w:tcW w:w="391" w:type="pct"/>
            <w:vMerge w:val="continue"/>
            <w:vAlign w:val="top"/>
          </w:tcPr>
          <w:p>
            <w:pPr>
              <w:spacing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5" w:type="pct"/>
            <w:vMerge w:val="continue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6" w:type="pct"/>
            <w:vMerge w:val="continue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97" w:type="pct"/>
            <w:vAlign w:val="center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审核内容：</w:t>
            </w:r>
          </w:p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1.部门职能与权限；2.目标分解落实情况；3.销售过程控制；4.顾客财产控制；5.售后服务；6.顾客满意度情况；7.环境因素和危险源辨识；8.环境和职业健康安全运行控制；9.应急准备和响应</w:t>
            </w:r>
          </w:p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QEO：5.3、6.2</w:t>
            </w:r>
          </w:p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Q：8.2、8.5.3、8.5.5、9.1.2</w:t>
            </w:r>
          </w:p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EO：6.1.2、8.1、8.2</w:t>
            </w:r>
          </w:p>
        </w:tc>
        <w:tc>
          <w:tcPr>
            <w:tcW w:w="391" w:type="pct"/>
            <w:vMerge w:val="continue"/>
            <w:vAlign w:val="top"/>
          </w:tcPr>
          <w:p>
            <w:pPr>
              <w:spacing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pct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组织的岗位、职责和权限</w:t>
            </w:r>
          </w:p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06" w:type="pct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QEO5.3</w:t>
            </w:r>
          </w:p>
        </w:tc>
        <w:tc>
          <w:tcPr>
            <w:tcW w:w="3497" w:type="pct"/>
            <w:vAlign w:val="center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在手册中确定了部门的的职能，人员职责、权限和相互关系。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催收管理部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a）负责与客户确认每月回款，核对金额正确。对逾期客户进行催收。对沟通无果客户发起诉讼，相关诉讼工作；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b）负责识别本部门环境因素和危险源，并负责评价环境因素和危险因素，确定重要环境因素和不可接受危险因素,制订控制措施；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c）积极参加公司组织进行的应急演练;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d）完成公司领导交办的工作任务。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商务管理中心 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a）项目承接到合同签订，拟定及把控与商务核算、付款条件等相关条款，从基础上把控项目的预期利润水平，负责合同的评审。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b）各项目施工过程中，在工程中心、催收管理部及财务等部门的配合下进行商务管理，并完成与项目各合同方的过程中核算工作及收付款目标。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c）项目竣工，与各合同方进行最终结算，并形成该项目的成本及利润统计表，从中总结经验为后续项目的管理做基础;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d）负责识别本部门环境因素和危险源，并负责评价环境因素和危险因素，确定重要环境因素和不可接受危险因素,制订控制措施；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e）积极参加公司组织进行的应急演练;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f）完成公司领导交办的工作任务。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营销中心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a）拟定并实施年、季、月度销售和回款计划确保公司经营目标的实现及销售任务的达成；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b)积极开展市场调查、分析和预测。做好市场信息的收集、整理和反馈，掌握市场动态，努力拓宽业务渠道，不断扩大公司产品的市场占有率；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c）负责顾客满意度调查；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d）负责识别本部门环境因素和危险源，并负责评价环境因素和危险因素，确定重要环境因素和不可接受危险因素,制订控制措施；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e）积极参加公司组织进行的应急演练;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f）完成公司领导交办的工作任务。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询问部门相关人员，基本清楚本部门职责。</w:t>
            </w:r>
          </w:p>
        </w:tc>
        <w:tc>
          <w:tcPr>
            <w:tcW w:w="391" w:type="pct"/>
            <w:vAlign w:val="top"/>
          </w:tcPr>
          <w:p>
            <w:pPr>
              <w:spacing w:line="240" w:lineRule="auto"/>
              <w:jc w:val="both"/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05" w:type="pct"/>
            <w:vAlign w:val="top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" w:type="pct"/>
            <w:vAlign w:val="top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 xml:space="preserve"> 6.2</w:t>
            </w:r>
          </w:p>
          <w:p>
            <w:pPr>
              <w:spacing w:line="28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97" w:type="pct"/>
            <w:vAlign w:val="center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组织对管理体系所需的相关职能、层次和过程设定管理目标。相关的目标及实现情况如下：</w:t>
            </w:r>
          </w:p>
          <w:p>
            <w:pPr>
              <w:spacing w:after="0" w:line="28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34925</wp:posOffset>
                  </wp:positionV>
                  <wp:extent cx="6546850" cy="1804670"/>
                  <wp:effectExtent l="0" t="0" r="6350" b="11430"/>
                  <wp:wrapTopAndBottom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目标可测量，与管理方针一致。有实施落实的方案， 查21年6月至今的统计结果，目标均已完成。</w:t>
            </w:r>
          </w:p>
        </w:tc>
        <w:tc>
          <w:tcPr>
            <w:tcW w:w="391" w:type="pct"/>
            <w:vAlign w:val="top"/>
          </w:tcPr>
          <w:p>
            <w:pPr>
              <w:spacing w:line="240" w:lineRule="auto"/>
              <w:jc w:val="both"/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05" w:type="pct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环境因素、危险源的识别、评价及重要环境因素和不可接收风险</w:t>
            </w:r>
          </w:p>
        </w:tc>
        <w:tc>
          <w:tcPr>
            <w:tcW w:w="406" w:type="pct"/>
            <w:vAlign w:val="top"/>
          </w:tcPr>
          <w:p>
            <w:pPr>
              <w:bidi w:val="0"/>
              <w:rPr>
                <w:lang w:val="en-US" w:eastAsia="zh-CN"/>
              </w:rPr>
            </w:pPr>
            <w:r>
              <w:t>EO</w:t>
            </w:r>
            <w:r>
              <w:rPr>
                <w:rFonts w:hint="eastAsia"/>
              </w:rPr>
              <w:t>6.1.2</w:t>
            </w:r>
          </w:p>
        </w:tc>
        <w:tc>
          <w:tcPr>
            <w:tcW w:w="3497" w:type="pct"/>
            <w:vAlign w:val="top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提供了《环境因素调查评价表》：识别的环境因素标明时态、状态和对环境的影响；识别的环境因素包括办公活动中产生的危险固废的排放、水电消耗、潜在火灾、生活垃圾的排放等，并考虑了环境管理体系发生变更时可能产生的环境因素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提供了《重要环境因素清单》：涉及的重要环境因素包括：危险固废的排放、水电消耗、潜在火灾、生活垃圾的排放；提供了针对重要环境因素编制的环境目标、指标及管理方案，内容包括目标指标、实施方法与预计资金、完成日期、检查部门等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提供了《职业健康安全危险源调查评价表》：对活动场所产生的危险源辨识并进行风险评价，以确定控制措施，经查阅已辨识外出触电、潜在火灾事故、交通事故、意外工伤事故等危险因素。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提供了《不可接受风险清单》：涉及的不可接受风险包括触电、潜在火灾事故、交通事故、意外工伤事故；针对不可接受风险编制了职业健康安全目标、指标及管理方案，内容包括目标指标、实施方法与预计资金、完成日期、检查部门等。</w:t>
            </w:r>
          </w:p>
        </w:tc>
        <w:tc>
          <w:tcPr>
            <w:tcW w:w="391" w:type="pct"/>
            <w:vAlign w:val="top"/>
          </w:tcPr>
          <w:p>
            <w:pPr>
              <w:spacing w:line="240" w:lineRule="auto"/>
              <w:jc w:val="both"/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5" w:type="pct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产品和服务的要求</w:t>
            </w:r>
          </w:p>
        </w:tc>
        <w:tc>
          <w:tcPr>
            <w:tcW w:w="406" w:type="pct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</w:t>
            </w:r>
            <w:r>
              <w:t>8.2</w:t>
            </w:r>
          </w:p>
        </w:tc>
        <w:tc>
          <w:tcPr>
            <w:tcW w:w="34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营销中心</w:t>
            </w:r>
            <w:r>
              <w:rPr>
                <w:rFonts w:hint="eastAsia"/>
                <w:color w:val="000000"/>
                <w:szCs w:val="21"/>
              </w:rPr>
              <w:t>通过电话、上门回访、邮箱等方式进行服务宣传，向顾客介绍服务，回答顾客的咨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发放满意度调查表了解顾客的需求和期望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商务中心</w:t>
            </w:r>
            <w:r>
              <w:rPr>
                <w:rFonts w:hint="eastAsia"/>
                <w:color w:val="000000"/>
                <w:szCs w:val="21"/>
              </w:rPr>
              <w:t>负责就合同或订单的处理，合同的评审，向顾客提供符合要求的服务。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编制的管理手册中规定了与服务有关要求的确定、评审以及更改的职责和工作流程要求。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产品和服务的要求包括</w:t>
            </w:r>
            <w:r>
              <w:rPr>
                <w:rFonts w:hint="eastAsia"/>
                <w:color w:val="000000"/>
                <w:szCs w:val="21"/>
              </w:rPr>
              <w:t>顾客明确规定的要求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顾客没有明确规定，但预期或规定用途所必要的要求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与铝合金模板的设计销售服务有关的法律法规的要求及本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000000"/>
                <w:szCs w:val="21"/>
              </w:rPr>
              <w:t>附加的对顾客的责任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要求等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组织在</w:t>
            </w:r>
            <w:r>
              <w:rPr>
                <w:rFonts w:hint="eastAsia"/>
                <w:color w:val="000000"/>
                <w:szCs w:val="21"/>
              </w:rPr>
              <w:t>合同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签订前</w:t>
            </w:r>
            <w:r>
              <w:rPr>
                <w:rFonts w:hint="eastAsia"/>
                <w:color w:val="000000"/>
                <w:szCs w:val="21"/>
              </w:rPr>
              <w:t>在公司内组织评审，没有异议后，通过钉钉进行合同审批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以</w:t>
            </w:r>
            <w:r>
              <w:rPr>
                <w:rFonts w:hint="eastAsia"/>
                <w:color w:val="000000"/>
                <w:szCs w:val="21"/>
              </w:rPr>
              <w:t>完成合同评审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如有变更，与顾客确认后实时修正订单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eastAsia="华文细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抽查</w:t>
            </w:r>
            <w:r>
              <w:rPr>
                <w:rFonts w:hint="eastAsia"/>
                <w:szCs w:val="21"/>
                <w:lang w:val="en-US" w:eastAsia="zh-CN"/>
              </w:rPr>
              <w:t>项目合同如下：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.合同编号为ZJYH-XS-20220418的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  <w:lang w:val="en-US" w:eastAsia="zh-CN"/>
              </w:rPr>
              <w:t>衢州合利建设</w:t>
            </w:r>
            <w:r>
              <w:rPr>
                <w:rFonts w:hint="eastAsia"/>
                <w:szCs w:val="21"/>
              </w:rPr>
              <w:t>有限公司</w:t>
            </w:r>
            <w:r>
              <w:rPr>
                <w:rFonts w:hint="eastAsia"/>
                <w:szCs w:val="21"/>
                <w:lang w:val="en-US" w:eastAsia="zh-CN"/>
              </w:rPr>
              <w:t>签订的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铝模加工合同</w:t>
            </w:r>
            <w:r>
              <w:rPr>
                <w:rFonts w:hint="eastAsia"/>
                <w:szCs w:val="21"/>
              </w:rPr>
              <w:t>，合同规定了</w:t>
            </w:r>
            <w:r>
              <w:rPr>
                <w:rFonts w:hint="eastAsia"/>
                <w:szCs w:val="21"/>
                <w:lang w:val="en-US" w:eastAsia="zh-CN"/>
              </w:rPr>
              <w:t>服务内容、质量要求及技术标准、验收标准、交付和运输、质保期、</w:t>
            </w:r>
            <w:r>
              <w:rPr>
                <w:rFonts w:hint="eastAsia"/>
                <w:szCs w:val="21"/>
              </w:rPr>
              <w:t>等条款，要求明确，</w:t>
            </w:r>
            <w:r>
              <w:rPr>
                <w:rFonts w:hint="eastAsia"/>
                <w:szCs w:val="21"/>
                <w:lang w:val="en-US" w:eastAsia="zh-CN"/>
              </w:rPr>
              <w:t>签章：冯权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  <w:lang w:val="en-US" w:eastAsia="zh-CN"/>
              </w:rPr>
              <w:t>合同编号为/的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  <w:lang w:val="en-US" w:eastAsia="zh-CN"/>
              </w:rPr>
              <w:t>天南模架（江苏）有限公司</w:t>
            </w:r>
            <w:r>
              <w:rPr>
                <w:rFonts w:hint="eastAsia"/>
                <w:szCs w:val="21"/>
              </w:rPr>
              <w:t>签订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铝模加工合同</w:t>
            </w:r>
            <w:r>
              <w:rPr>
                <w:rFonts w:hint="eastAsia"/>
                <w:szCs w:val="21"/>
              </w:rPr>
              <w:t>，合同规定了</w:t>
            </w:r>
            <w:r>
              <w:rPr>
                <w:rFonts w:hint="eastAsia"/>
                <w:szCs w:val="21"/>
                <w:lang w:val="en-US" w:eastAsia="zh-CN"/>
              </w:rPr>
              <w:t>服务内容、质量要求及技术标准、验收标准、交付和运输、质保期、</w:t>
            </w:r>
            <w:r>
              <w:rPr>
                <w:rFonts w:hint="eastAsia"/>
                <w:szCs w:val="21"/>
              </w:rPr>
              <w:t>等条款，要求明确，</w:t>
            </w:r>
            <w:r>
              <w:rPr>
                <w:rFonts w:hint="eastAsia"/>
                <w:szCs w:val="21"/>
                <w:lang w:val="en-US" w:eastAsia="zh-CN"/>
              </w:rPr>
              <w:t>签章：冯权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以上合同均已实施，合同评审在</w:t>
            </w:r>
            <w:r>
              <w:rPr>
                <w:rFonts w:hint="eastAsia"/>
                <w:szCs w:val="21"/>
                <w:lang w:val="en-US" w:eastAsia="zh-CN"/>
              </w:rPr>
              <w:t>签章</w:t>
            </w:r>
            <w:r>
              <w:rPr>
                <w:rFonts w:hint="eastAsia"/>
                <w:szCs w:val="21"/>
              </w:rPr>
              <w:t>之前</w:t>
            </w:r>
            <w:r>
              <w:rPr>
                <w:rFonts w:hint="eastAsia"/>
                <w:szCs w:val="21"/>
                <w:lang w:val="en-US" w:eastAsia="zh-CN"/>
              </w:rPr>
              <w:t>完成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91" w:type="pct"/>
            <w:vAlign w:val="top"/>
          </w:tcPr>
          <w:p>
            <w:pPr>
              <w:spacing w:line="240" w:lineRule="auto"/>
              <w:jc w:val="both"/>
              <w:rPr>
                <w:rFonts w:hint="eastAsia" w:eastAsia="华文细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5" w:type="pct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顾财产</w:t>
            </w:r>
          </w:p>
        </w:tc>
        <w:tc>
          <w:tcPr>
            <w:tcW w:w="406" w:type="pct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Q8.5.3</w:t>
            </w:r>
          </w:p>
        </w:tc>
        <w:tc>
          <w:tcPr>
            <w:tcW w:w="3497" w:type="pct"/>
            <w:vAlign w:val="top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顾客的财产包括：提供的施工图、建筑图、资质证明文件（如营业执照和其它资质文件）、银行账号、联系方式、经营地址及档案资料等信息，由部门专门人员负责管理，分类登记放置。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未发生损坏丢失等现象。</w:t>
            </w:r>
          </w:p>
        </w:tc>
        <w:tc>
          <w:tcPr>
            <w:tcW w:w="391" w:type="pct"/>
            <w:vAlign w:val="top"/>
          </w:tcPr>
          <w:p>
            <w:pPr>
              <w:spacing w:line="240" w:lineRule="auto"/>
              <w:jc w:val="both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交付后活动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Q8.5.5</w:t>
            </w:r>
          </w:p>
        </w:tc>
        <w:tc>
          <w:tcPr>
            <w:tcW w:w="0" w:type="auto"/>
            <w:vAlign w:val="top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产品交付时，组织会派专人现场指导安装培训，内容涉及组装要求等。如客户在使用过程中出现问题，先通过电话进行解决，如远程无法解决，派专人到客户现场实地解决。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both"/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顾客满意</w:t>
            </w:r>
          </w:p>
        </w:tc>
        <w:tc>
          <w:tcPr>
            <w:tcW w:w="0" w:type="auto"/>
            <w:vAlign w:val="top"/>
          </w:tcPr>
          <w:p>
            <w:pPr>
              <w:spacing w:after="0" w:line="280" w:lineRule="exac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Q9.1.2</w:t>
            </w:r>
          </w:p>
        </w:tc>
        <w:tc>
          <w:tcPr>
            <w:tcW w:w="0" w:type="auto"/>
            <w:vAlign w:val="top"/>
          </w:tcPr>
          <w:p>
            <w:pPr>
              <w:spacing w:after="0" w:line="28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组织已建立和保持了《顾客满意度监测管理程序》，对顾客满意的监测的相关内容进行了规定，其包括了对调查信息来源、信息收集、信息分析未变化。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提供顾客满意度调查记录：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查《顾客满意度调查表》：调查内容包括质量水平、交付能力、售后服务等，调查对象包括福建旭邦建筑工程有限公司、衢州合利建设有限公司、天南模架（江苏）有限公司等。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查《客户满意调查统计报告》：顾客满意率达到96%，达到了质量目标的要求。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both"/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5" w:type="pct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" w:type="pct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3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</w:t>
            </w:r>
            <w:r>
              <w:rPr>
                <w:rFonts w:hint="eastAsia"/>
                <w:szCs w:val="21"/>
              </w:rPr>
              <w:t>编制与环境、安全管理体系运行控制有关的文件有《环境因素识别与评价管理程序》、《危险源辨识与风险评价控制措施管理程序》、《对相关方施加影响管理程序》等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未变化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部门内的环境因素和危险源管理：</w:t>
            </w:r>
            <w:r>
              <w:rPr>
                <w:rFonts w:hint="eastAsia"/>
                <w:szCs w:val="21"/>
              </w:rPr>
              <w:t>废水管控、固废管控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1"/>
              </w:rPr>
              <w:t>产品周期的环境管控</w:t>
            </w:r>
            <w:r>
              <w:rPr>
                <w:rFonts w:hint="eastAsia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</w:rPr>
              <w:t>能源资源管控</w:t>
            </w:r>
            <w:r>
              <w:rPr>
                <w:rFonts w:hint="eastAsia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</w:rPr>
              <w:t>潜在火灾管控</w:t>
            </w:r>
            <w:r>
              <w:rPr>
                <w:rFonts w:hint="eastAsia"/>
                <w:szCs w:val="21"/>
                <w:lang w:val="en-US" w:eastAsia="zh-CN"/>
              </w:rPr>
              <w:t>、</w:t>
            </w:r>
            <w:r>
              <w:rPr>
                <w:rFonts w:hint="eastAsia"/>
                <w:szCs w:val="21"/>
              </w:rPr>
              <w:t>安全防护</w:t>
            </w:r>
            <w:r>
              <w:rPr>
                <w:rFonts w:hint="eastAsia"/>
                <w:szCs w:val="21"/>
                <w:lang w:val="en-US" w:eastAsia="zh-CN"/>
              </w:rPr>
              <w:t>等方面与行政管理部一致。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相关的</w:t>
            </w:r>
            <w:r>
              <w:rPr>
                <w:rFonts w:hint="eastAsia"/>
                <w:szCs w:val="21"/>
              </w:rPr>
              <w:t>相关方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以告知书的形式</w:t>
            </w:r>
            <w:r>
              <w:rPr>
                <w:rFonts w:hint="eastAsia"/>
                <w:szCs w:val="21"/>
              </w:rPr>
              <w:t>施加影响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both"/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705" w:type="pct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应急响应和准备</w:t>
            </w:r>
          </w:p>
        </w:tc>
        <w:tc>
          <w:tcPr>
            <w:tcW w:w="406" w:type="pct"/>
            <w:vAlign w:val="top"/>
          </w:tcPr>
          <w:p>
            <w:pPr>
              <w:spacing w:line="28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O</w:t>
            </w:r>
            <w:r>
              <w:rPr>
                <w:rFonts w:hint="eastAsia"/>
                <w:szCs w:val="21"/>
              </w:rPr>
              <w:t>8.2</w:t>
            </w:r>
          </w:p>
        </w:tc>
        <w:tc>
          <w:tcPr>
            <w:tcW w:w="3497" w:type="pct"/>
            <w:vAlign w:val="center"/>
          </w:tcPr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组织编制了《应急准备和响应管理程序》，策划了应急预案包括触电、火灾、中暑、台风等应急预案，内容基本无变化。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查消防灭火演练：演练时间：2022.4.20；地点：办公大楼前；记录 显示各部门人员有参与演练，并对演练过程进行了描述，并对预案的有效性进行了评价。</w:t>
            </w:r>
          </w:p>
          <w:p>
            <w:pPr>
              <w:spacing w:after="0" w:line="280" w:lineRule="exact"/>
              <w:ind w:firstLine="420" w:firstLineChars="200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目前未发生火灾、人身伤害等事故。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both"/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4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60288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93079A7"/>
    <w:rsid w:val="0B1F4349"/>
    <w:rsid w:val="0BD9520F"/>
    <w:rsid w:val="0D5C3450"/>
    <w:rsid w:val="0F0B597C"/>
    <w:rsid w:val="123761CE"/>
    <w:rsid w:val="17204A3F"/>
    <w:rsid w:val="186225B6"/>
    <w:rsid w:val="1ACB7F4D"/>
    <w:rsid w:val="1B8A6C0E"/>
    <w:rsid w:val="1C490536"/>
    <w:rsid w:val="1D355AED"/>
    <w:rsid w:val="1DD1217E"/>
    <w:rsid w:val="246336C7"/>
    <w:rsid w:val="2F78158E"/>
    <w:rsid w:val="2FBE7946"/>
    <w:rsid w:val="31485C14"/>
    <w:rsid w:val="31966BFF"/>
    <w:rsid w:val="333C0319"/>
    <w:rsid w:val="351139AD"/>
    <w:rsid w:val="37AD66DB"/>
    <w:rsid w:val="392177EE"/>
    <w:rsid w:val="392D793A"/>
    <w:rsid w:val="3A337215"/>
    <w:rsid w:val="3AD4262E"/>
    <w:rsid w:val="3D962312"/>
    <w:rsid w:val="3ED23D8D"/>
    <w:rsid w:val="3F254BED"/>
    <w:rsid w:val="3FC4027F"/>
    <w:rsid w:val="414250E1"/>
    <w:rsid w:val="43C9714B"/>
    <w:rsid w:val="45915C44"/>
    <w:rsid w:val="45B44292"/>
    <w:rsid w:val="478827C8"/>
    <w:rsid w:val="4A2778FD"/>
    <w:rsid w:val="4CE75225"/>
    <w:rsid w:val="4E1B31AA"/>
    <w:rsid w:val="5254050B"/>
    <w:rsid w:val="53C80C8D"/>
    <w:rsid w:val="5610716F"/>
    <w:rsid w:val="58EE6A7B"/>
    <w:rsid w:val="5BE17148"/>
    <w:rsid w:val="5D8646D5"/>
    <w:rsid w:val="60600E13"/>
    <w:rsid w:val="608E3692"/>
    <w:rsid w:val="61F867A3"/>
    <w:rsid w:val="64AF5C17"/>
    <w:rsid w:val="64CB1C0A"/>
    <w:rsid w:val="6A07511A"/>
    <w:rsid w:val="6A0846F3"/>
    <w:rsid w:val="6C785344"/>
    <w:rsid w:val="6C815618"/>
    <w:rsid w:val="6FE43B27"/>
    <w:rsid w:val="71A130D0"/>
    <w:rsid w:val="72AE0C6C"/>
    <w:rsid w:val="744169B1"/>
    <w:rsid w:val="77126348"/>
    <w:rsid w:val="7C4F5A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left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360"/>
    </w:pPr>
    <w:rPr>
      <w:sz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2022-08-31T06:44:54Z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A6BA166E247546A39FF92588A4BDF166</vt:lpwstr>
  </property>
  <property fmtid="{D5CDD505-2E9C-101B-9397-08002B2CF9AE}" pid="3" name="KSOProductBuildVer">
    <vt:lpwstr>2052-11.1.0.11365</vt:lpwstr>
  </property>
</Properties>
</file>