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040"/>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91"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主管领导：孙伟  </w:t>
            </w:r>
            <w:r>
              <w:rPr>
                <w:sz w:val="24"/>
                <w:szCs w:val="24"/>
              </w:rPr>
              <w:t xml:space="preserve">  </w:t>
            </w:r>
            <w:r>
              <w:rPr>
                <w:rFonts w:hint="eastAsia"/>
                <w:sz w:val="24"/>
                <w:szCs w:val="24"/>
              </w:rPr>
              <w:t>陪同人员：</w:t>
            </w:r>
            <w:r>
              <w:rPr>
                <w:rFonts w:hint="eastAsia"/>
                <w:sz w:val="24"/>
                <w:szCs w:val="24"/>
                <w:lang w:val="en-US" w:eastAsia="zh-CN"/>
              </w:rPr>
              <w:t>吕婷</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pStyle w:val="14"/>
              <w:rPr>
                <w:rFonts w:hint="default" w:ascii="Times New Roman" w:hAnsi="Times New Roman" w:eastAsia="宋体" w:cs="Times New Roman"/>
                <w:bCs/>
                <w:spacing w:val="10"/>
                <w:kern w:val="2"/>
                <w:sz w:val="21"/>
                <w:lang w:val="en-US" w:eastAsia="zh-CN" w:bidi="ar-SA"/>
              </w:rPr>
            </w:pPr>
            <w:r>
              <w:rPr>
                <w:rFonts w:hint="eastAsia"/>
                <w:sz w:val="21"/>
                <w:szCs w:val="21"/>
              </w:rPr>
              <w:t>审核员：</w:t>
            </w:r>
            <w:r>
              <w:rPr>
                <w:rFonts w:hint="eastAsia"/>
                <w:sz w:val="21"/>
                <w:szCs w:val="21"/>
                <w:lang w:val="en-US" w:eastAsia="zh-CN"/>
              </w:rPr>
              <w:t>肖新龙</w:t>
            </w:r>
            <w:r>
              <w:rPr>
                <w:rFonts w:hint="eastAsia"/>
                <w:bCs w:val="0"/>
                <w:sz w:val="21"/>
                <w:szCs w:val="21"/>
              </w:rPr>
              <w:t>OH</w:t>
            </w:r>
            <w:r>
              <w:rPr>
                <w:rFonts w:hint="eastAsia"/>
                <w:bCs w:val="0"/>
                <w:sz w:val="18"/>
                <w:szCs w:val="18"/>
                <w:lang w:eastAsia="zh-CN"/>
              </w:rPr>
              <w:t>，</w:t>
            </w:r>
            <w:r>
              <w:rPr>
                <w:rFonts w:hint="eastAsia"/>
                <w:bCs w:val="0"/>
                <w:sz w:val="21"/>
                <w:szCs w:val="21"/>
                <w:lang w:val="en-US" w:eastAsia="zh-CN"/>
              </w:rPr>
              <w:t>任泽华</w:t>
            </w:r>
            <w:r>
              <w:rPr>
                <w:rFonts w:hint="eastAsia"/>
                <w:bCs w:val="0"/>
                <w:sz w:val="21"/>
                <w:szCs w:val="21"/>
              </w:rPr>
              <w:t>QEF</w:t>
            </w:r>
            <w:r>
              <w:rPr>
                <w:rFonts w:hint="eastAsia"/>
                <w:sz w:val="21"/>
                <w:szCs w:val="21"/>
              </w:rPr>
              <w:t xml:space="preserve">     </w:t>
            </w:r>
            <w:r>
              <w:rPr>
                <w:sz w:val="21"/>
                <w:szCs w:val="21"/>
              </w:rPr>
              <w:t xml:space="preserve">            </w:t>
            </w:r>
            <w:r>
              <w:rPr>
                <w:rFonts w:hint="eastAsia"/>
                <w:sz w:val="21"/>
                <w:szCs w:val="21"/>
              </w:rPr>
              <w:t>审核日期：</w:t>
            </w:r>
            <w:r>
              <w:rPr>
                <w:sz w:val="21"/>
                <w:szCs w:val="21"/>
              </w:rPr>
              <w:t>202</w:t>
            </w:r>
            <w:r>
              <w:rPr>
                <w:rFonts w:hint="eastAsia"/>
                <w:sz w:val="21"/>
                <w:szCs w:val="21"/>
                <w:lang w:val="en-US" w:eastAsia="zh-CN"/>
              </w:rPr>
              <w:t>2-08-25日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91" w:type="dxa"/>
            <w:vMerge w:val="continue"/>
            <w:shd w:val="clear" w:color="auto" w:fill="auto"/>
            <w:vAlign w:val="center"/>
          </w:tcPr>
          <w:p/>
        </w:tc>
        <w:tc>
          <w:tcPr>
            <w:tcW w:w="1040"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9.2/</w:t>
            </w:r>
            <w:r>
              <w:rPr>
                <w:rFonts w:hint="eastAsia"/>
              </w:rPr>
              <w:t>9.3/10.1</w:t>
            </w:r>
            <w:r>
              <w:rPr>
                <w:rFonts w:hint="eastAsia"/>
                <w:lang w:val="en-US" w:eastAsia="zh-CN"/>
              </w:rPr>
              <w:t>/</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7.5.1/8.1/8.4/9.1.1/9.2/</w:t>
            </w:r>
            <w:r>
              <w:rPr>
                <w:rFonts w:hint="eastAsia"/>
              </w:rPr>
              <w:t>9.3/</w:t>
            </w:r>
            <w:r>
              <w:rPr>
                <w:rFonts w:hint="eastAsia"/>
                <w:lang w:val="en-US" w:eastAsia="zh-CN"/>
              </w:rPr>
              <w:t>10.2/</w:t>
            </w:r>
            <w:r>
              <w:rPr>
                <w:rFonts w:hint="eastAsia"/>
              </w:rPr>
              <w:t>10.3</w:t>
            </w:r>
          </w:p>
          <w:p>
            <w:pPr>
              <w:pStyle w:val="14"/>
              <w:rPr>
                <w:rFonts w:hint="eastAsia"/>
              </w:rPr>
            </w:pPr>
            <w:r>
              <w:rPr>
                <w:rFonts w:hint="eastAsia"/>
              </w:rPr>
              <w:t>E:4.1/4.2/4.3/4.4/5.1/5.2/5.3/6.1/6.2/6.3/7.1/7.</w:t>
            </w:r>
            <w:r>
              <w:rPr>
                <w:rFonts w:hint="eastAsia"/>
                <w:lang w:val="en-US" w:eastAsia="zh-CN"/>
              </w:rPr>
              <w:t>4</w:t>
            </w:r>
            <w:r>
              <w:rPr>
                <w:rFonts w:hint="eastAsia"/>
              </w:rPr>
              <w:t>/</w:t>
            </w:r>
            <w:r>
              <w:rPr>
                <w:rFonts w:hint="eastAsia"/>
                <w:lang w:val="en-US" w:eastAsia="zh-CN"/>
              </w:rPr>
              <w:t>7.5.1/8.2/</w:t>
            </w:r>
            <w:r>
              <w:rPr>
                <w:rFonts w:hint="eastAsia"/>
              </w:rPr>
              <w:t>9.1.1/</w:t>
            </w:r>
            <w:r>
              <w:rPr>
                <w:rFonts w:hint="eastAsia"/>
                <w:lang w:val="en-US" w:eastAsia="zh-CN"/>
              </w:rPr>
              <w:t>9.2/</w:t>
            </w:r>
            <w:r>
              <w:rPr>
                <w:rFonts w:hint="eastAsia"/>
              </w:rPr>
              <w:t xml:space="preserve">9.3/10.1/10.3 </w:t>
            </w:r>
          </w:p>
          <w:p>
            <w:pPr>
              <w:pStyle w:val="14"/>
              <w:rPr>
                <w:rFonts w:hint="eastAsia"/>
              </w:rPr>
            </w:pPr>
            <w:r>
              <w:rPr>
                <w:rFonts w:hint="eastAsia"/>
              </w:rPr>
              <w:t>O:4.1/4.2/4.3/4.4/5.1/5.2/5.3/6.1/6.2/6.3/7.1/7.</w:t>
            </w:r>
            <w:r>
              <w:rPr>
                <w:rFonts w:hint="eastAsia"/>
                <w:lang w:val="en-US" w:eastAsia="zh-CN"/>
              </w:rPr>
              <w:t>4</w:t>
            </w:r>
            <w:r>
              <w:rPr>
                <w:rFonts w:hint="eastAsia"/>
              </w:rPr>
              <w:t>/</w:t>
            </w:r>
            <w:r>
              <w:rPr>
                <w:rFonts w:hint="eastAsia"/>
                <w:lang w:val="en-US" w:eastAsia="zh-CN"/>
              </w:rPr>
              <w:t>7.5.1/8.2/</w:t>
            </w:r>
            <w:r>
              <w:rPr>
                <w:rFonts w:hint="eastAsia"/>
              </w:rPr>
              <w:t>9.1.1/</w:t>
            </w:r>
            <w:r>
              <w:rPr>
                <w:rFonts w:hint="eastAsia"/>
                <w:lang w:val="en-US" w:eastAsia="zh-CN"/>
              </w:rPr>
              <w:t>9.2/</w:t>
            </w:r>
            <w:r>
              <w:rPr>
                <w:rFonts w:hint="eastAsia"/>
              </w:rPr>
              <w:t xml:space="preserve">9.3/10.1/10.3 </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kern w:val="2"/>
                <w:sz w:val="21"/>
                <w:lang w:val="en-US" w:eastAsia="zh-CN" w:bidi="ar-SA"/>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rPr>
                <w:highlight w:val="none"/>
              </w:rPr>
              <w:t>/</w:t>
            </w:r>
            <w:r>
              <w:rPr>
                <w:rFonts w:hint="eastAsia"/>
                <w:highlight w:val="none"/>
                <w:lang w:val="en-US" w:eastAsia="zh-CN"/>
              </w:rPr>
              <w:t>5.3/</w:t>
            </w:r>
            <w:r>
              <w:rPr>
                <w:highlight w:val="none"/>
              </w:rPr>
              <w:t>5.4/5.5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 xml:space="preserve">Q4.1 </w:t>
            </w:r>
          </w:p>
          <w:p>
            <w:pPr>
              <w:rPr>
                <w:rFonts w:hint="eastAsia"/>
              </w:rPr>
            </w:pPr>
            <w:r>
              <w:rPr>
                <w:rFonts w:hint="eastAsia"/>
              </w:rPr>
              <w:t>F4.1</w:t>
            </w:r>
          </w:p>
          <w:p>
            <w:pPr>
              <w:pStyle w:val="14"/>
              <w:rPr>
                <w:rFonts w:hint="eastAsia"/>
                <w:lang w:val="en-US" w:eastAsia="zh-CN"/>
              </w:rPr>
            </w:pPr>
            <w:r>
              <w:rPr>
                <w:rFonts w:hint="eastAsia"/>
                <w:lang w:val="en-US" w:eastAsia="zh-CN"/>
              </w:rPr>
              <w:t>E4.1</w:t>
            </w:r>
          </w:p>
          <w:p>
            <w:pPr>
              <w:pStyle w:val="14"/>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eastAsia"/>
                      <w:lang w:val="en-US" w:eastAsia="zh-CN"/>
                    </w:rPr>
                  </w:pPr>
                  <w:r>
                    <w:rPr>
                      <w:rFonts w:hint="eastAsia"/>
                      <w:lang w:val="en-US" w:eastAsia="zh-CN"/>
                    </w:rPr>
                    <w:t>市场竞争比较激烈；</w:t>
                  </w:r>
                </w:p>
                <w:p>
                  <w:pPr>
                    <w:pStyle w:val="14"/>
                    <w:rPr>
                      <w:rFonts w:hint="default"/>
                      <w:lang w:val="en-US" w:eastAsia="zh-CN"/>
                    </w:rPr>
                  </w:pPr>
                  <w:r>
                    <w:rPr>
                      <w:rFonts w:hint="eastAsia"/>
                      <w:lang w:val="en-US" w:eastAsia="zh-CN"/>
                    </w:rPr>
                    <w:t>环保监管日益严格；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人员管理、工艺管理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lang w:val="en-US" w:eastAsia="zh-CN"/>
                    </w:rPr>
                  </w:pPr>
                  <w:r>
                    <w:rPr>
                      <w:rFonts w:hint="eastAsia"/>
                      <w:lang w:val="en-US" w:eastAsia="zh-CN"/>
                    </w:rPr>
                    <w:t>老板重视食品安全问题、安全生产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7"/>
                    <w:rPr>
                      <w:rFonts w:hint="default"/>
                      <w:lang w:val="en-US" w:eastAsia="zh-CN"/>
                    </w:rPr>
                  </w:pPr>
                  <w:r>
                    <w:rPr>
                      <w:rFonts w:hint="eastAsia"/>
                      <w:sz w:val="21"/>
                      <w:szCs w:val="21"/>
                      <w:lang w:val="en-US" w:eastAsia="zh-CN"/>
                    </w:rPr>
                    <w:t>刚起步、管理方面以及体系导入方面还比较薄弱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eastAsia"/>
                      <w:lang w:val="en-US" w:eastAsia="zh-CN"/>
                    </w:rPr>
                  </w:pPr>
                  <w:r>
                    <w:rPr>
                      <w:rFonts w:hint="eastAsia"/>
                      <w:lang w:val="en-US" w:eastAsia="zh-CN"/>
                    </w:rPr>
                    <w:t>担心经营不合规，导致监管部门的处罚；</w:t>
                  </w:r>
                </w:p>
                <w:p>
                  <w:pPr>
                    <w:pStyle w:val="14"/>
                    <w:rPr>
                      <w:rFonts w:hint="default"/>
                      <w:lang w:val="en-US" w:eastAsia="zh-CN"/>
                    </w:rPr>
                  </w:pPr>
                  <w:r>
                    <w:rPr>
                      <w:rFonts w:hint="eastAsia"/>
                      <w:lang w:val="en-US" w:eastAsia="zh-CN"/>
                    </w:rPr>
                    <w:t>经营控制不当，客户投诉；人员管理不当，食品安全意识薄弱，食品安全事故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eastAsia"/>
                      <w:highlight w:val="none"/>
                      <w:lang w:val="en-US" w:eastAsia="zh-CN"/>
                    </w:rPr>
                  </w:pPr>
                  <w:r>
                    <w:rPr>
                      <w:rFonts w:hint="eastAsia"/>
                      <w:highlight w:val="none"/>
                      <w:lang w:val="en-US" w:eastAsia="zh-CN"/>
                    </w:rPr>
                    <w:t>通过建立管理体系提升管理，市场开拓，如教育系统、企事业单位；</w:t>
                  </w:r>
                </w:p>
                <w:p>
                  <w:pPr>
                    <w:rPr>
                      <w:rFonts w:hint="default" w:eastAsia="宋体"/>
                      <w:highlight w:val="yellow"/>
                      <w:lang w:val="en-US" w:eastAsia="zh-CN"/>
                    </w:rPr>
                  </w:pPr>
                  <w:r>
                    <w:rPr>
                      <w:rFonts w:hint="eastAsia"/>
                      <w:highlight w:val="none"/>
                      <w:lang w:val="en-US" w:eastAsia="zh-CN"/>
                    </w:rPr>
                    <w:t>目前本地团餐刚刚开始，市场需求很大；</w:t>
                  </w:r>
                </w:p>
              </w:tc>
            </w:tr>
          </w:tbl>
          <w:p>
            <w:pPr>
              <w:rPr>
                <w:color w:val="000000"/>
                <w:szCs w:val="21"/>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——《理解组织及其环境》</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rPr>
              <w:t xml:space="preserve">Q4.2 </w:t>
            </w:r>
          </w:p>
          <w:p>
            <w:pPr>
              <w:rPr>
                <w:rFonts w:hint="eastAsia"/>
              </w:rPr>
            </w:pPr>
            <w:r>
              <w:rPr>
                <w:rFonts w:hint="eastAsia"/>
              </w:rPr>
              <w:t>F4.2</w:t>
            </w:r>
          </w:p>
          <w:p>
            <w:pPr>
              <w:pStyle w:val="14"/>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A8"/>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平湖市市场监督管理局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10"/>
                    <w:ind w:left="0" w:leftChars="0" w:firstLine="0" w:firstLineChars="0"/>
                    <w:rPr>
                      <w:rFonts w:hint="default"/>
                      <w:highlight w:val="yellow"/>
                      <w:lang w:val="en-US" w:eastAsia="zh-CN"/>
                    </w:rPr>
                  </w:pPr>
                  <w:r>
                    <w:rPr>
                      <w:rFonts w:hint="eastAsia" w:cs="Times New Roman"/>
                      <w:kern w:val="2"/>
                      <w:sz w:val="21"/>
                      <w:szCs w:val="24"/>
                      <w:highlight w:val="none"/>
                      <w:lang w:val="en-US" w:eastAsia="zh-CN" w:bidi="ar-SA"/>
                    </w:rPr>
                    <w:t>平湖市卫洁调味品批发部、平湖市当湖街道凯捷冷冻食品批发部等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10"/>
                    <w:ind w:left="0" w:leftChars="0" w:firstLine="0" w:firstLineChars="0"/>
                    <w:rPr>
                      <w:rFonts w:hint="default"/>
                      <w:highlight w:val="yellow"/>
                      <w:lang w:val="en-US" w:eastAsia="zh-CN"/>
                    </w:rPr>
                  </w:pPr>
                  <w:r>
                    <w:rPr>
                      <w:rFonts w:hint="eastAsia"/>
                      <w:highlight w:val="none"/>
                      <w:lang w:val="en-US" w:eastAsia="zh-CN"/>
                    </w:rPr>
                    <w:t>爱驰威汽车零部件（海盐）有限公司、精诚工科汽车系统（平湖）有限公司等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集体用餐单位</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资</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yellow"/>
                    </w:rPr>
                  </w:pPr>
                  <w:r>
                    <w:rPr>
                      <w:rFonts w:hint="eastAsia"/>
                      <w:highlight w:val="none"/>
                    </w:rPr>
                    <w:sym w:font="Wingdings 2" w:char="0052"/>
                  </w:r>
                  <w:r>
                    <w:rPr>
                      <w:rFonts w:hint="eastAsia"/>
                      <w:highlight w:val="none"/>
                    </w:rPr>
                    <w:t>社区</w:t>
                  </w:r>
                </w:p>
              </w:tc>
              <w:tc>
                <w:tcPr>
                  <w:tcW w:w="2701" w:type="dxa"/>
                </w:tcPr>
                <w:p>
                  <w:pPr>
                    <w:rPr>
                      <w:rFonts w:hint="default" w:eastAsia="宋体"/>
                      <w:highlight w:val="yellow"/>
                      <w:lang w:val="en-US" w:eastAsia="zh-CN"/>
                    </w:rPr>
                  </w:pPr>
                  <w:r>
                    <w:rPr>
                      <w:rFonts w:hint="eastAsia"/>
                      <w:highlight w:val="none"/>
                      <w:lang w:val="en-US" w:eastAsia="zh-CN"/>
                    </w:rPr>
                    <w:t>周边为企业园区</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理解相关方的需求和期望</w:t>
            </w:r>
          </w:p>
        </w:tc>
        <w:tc>
          <w:tcPr>
            <w:tcW w:w="1040"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嘉兴市生态环境局平湖分局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10"/>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平湖市卫洁调味品批发部、平湖市当湖街道凯捷冷冻食品批发部等</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10"/>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爱驰威汽车零部件（海盐）有限公司、精诚工科汽车系统（平湖）有限公司等</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集体用餐单位</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资</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周边为企业园区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A8"/>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如：平湖市应急管理局，平湖市消防救援大队、平湖市消防支队、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10"/>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爱驰威汽车零部件（海盐）有限公司、精诚工科汽车系统（平湖）有限公司</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集体用餐单位人员</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周边为企业园区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ascii="宋体" w:hAnsi="宋体"/>
                <w:lang w:val="en-US" w:eastAsia="zh-CN"/>
              </w:rPr>
              <w:t>相关方期望要求识别表</w:t>
            </w:r>
            <w:r>
              <w:rPr>
                <w:rFonts w:hint="eastAsia" w:ascii="宋体" w:hAnsi="宋体"/>
              </w:rPr>
              <w:t>》</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确定质量/食品安全管理体系的范围</w:t>
            </w:r>
          </w:p>
        </w:tc>
        <w:tc>
          <w:tcPr>
            <w:tcW w:w="1040" w:type="dxa"/>
            <w:vMerge w:val="restart"/>
            <w:shd w:val="clear" w:color="auto" w:fill="auto"/>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E4.3</w:t>
            </w:r>
          </w:p>
          <w:p>
            <w:pPr>
              <w:pStyle w:val="7"/>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7"/>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18"/>
                      <w:szCs w:val="18"/>
                    </w:rPr>
                    <w:t>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rFonts w:hint="eastAsia"/>
                      <w:sz w:val="20"/>
                    </w:rPr>
                  </w:pPr>
                  <w:r>
                    <w:rPr>
                      <w:rFonts w:hint="eastAsia"/>
                      <w:sz w:val="20"/>
                    </w:rPr>
                    <w:t>O：集体用餐配送（热食类食品制售）所涉及场所的相关职业健康安全管理活动</w:t>
                  </w:r>
                </w:p>
                <w:p>
                  <w:pPr>
                    <w:rPr>
                      <w:rFonts w:hint="eastAsia"/>
                      <w:sz w:val="20"/>
                    </w:rPr>
                  </w:pPr>
                  <w:r>
                    <w:rPr>
                      <w:rFonts w:hint="eastAsia"/>
                      <w:sz w:val="20"/>
                    </w:rPr>
                    <w:t>Q：集体用餐配送（热食类食品制售）</w:t>
                  </w:r>
                </w:p>
                <w:p>
                  <w:pPr>
                    <w:rPr>
                      <w:rFonts w:hint="eastAsia"/>
                      <w:sz w:val="20"/>
                    </w:rPr>
                  </w:pPr>
                  <w:r>
                    <w:rPr>
                      <w:rFonts w:hint="eastAsia"/>
                      <w:sz w:val="20"/>
                    </w:rPr>
                    <w:t>E：集体用餐配送（热食类食品制售）所涉及场所的相关环境管理活动</w:t>
                  </w:r>
                </w:p>
                <w:p>
                  <w:pPr>
                    <w:rPr>
                      <w:rFonts w:hint="eastAsia"/>
                      <w:sz w:val="20"/>
                    </w:rPr>
                  </w:pPr>
                  <w:r>
                    <w:rPr>
                      <w:rFonts w:hint="eastAsia"/>
                      <w:sz w:val="20"/>
                    </w:rPr>
                    <w:t>F：位于浙江省嘉兴市平湖市钟埭街道兴平一路1888号第7栋1楼平湖聚笙餐饮管理有限公司的集体用餐配送（热食类食品制售）</w:t>
                  </w:r>
                </w:p>
                <w:p>
                  <w:pPr>
                    <w:autoSpaceDE w:val="0"/>
                    <w:autoSpaceDN w:val="0"/>
                    <w:adjustRightInd w:val="0"/>
                    <w:jc w:val="left"/>
                  </w:pPr>
                  <w:r>
                    <w:rPr>
                      <w:rFonts w:hint="eastAsia"/>
                      <w:sz w:val="20"/>
                    </w:rPr>
                    <w:t>H：位于浙江省嘉兴市平湖市钟埭街道兴平一路1888号第7栋1楼平湖聚笙餐饮管理有限公司的集体用餐配送（热食类食品制售）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20"/>
                    </w:rPr>
                    <w:t>浙江省嘉兴市平湖市钟埭街道兴平一路1</w:t>
                  </w:r>
                  <w:r>
                    <w:rPr>
                      <w:rFonts w:asciiTheme="minorEastAsia" w:hAnsiTheme="minorEastAsia" w:eastAsiaTheme="minorEastAsia"/>
                      <w:sz w:val="20"/>
                    </w:rPr>
                    <w:t>888</w:t>
                  </w:r>
                  <w:r>
                    <w:rPr>
                      <w:rFonts w:hint="eastAsia" w:asciiTheme="minorEastAsia" w:hAnsiTheme="minorEastAsia" w:eastAsiaTheme="minorEastAsia"/>
                      <w:sz w:val="20"/>
                    </w:rPr>
                    <w:t>号第7栋1楼</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18"/>
                      <w:szCs w:val="18"/>
                      <w:lang w:val="en-US" w:eastAsia="zh-CN" w:bidi="ar-SA"/>
                    </w:rPr>
                  </w:pPr>
                  <w:r>
                    <w:rPr>
                      <w:rFonts w:hint="eastAsia" w:asciiTheme="minorEastAsia" w:hAnsiTheme="minorEastAsia" w:eastAsiaTheme="minorEastAsia"/>
                      <w:sz w:val="20"/>
                    </w:rPr>
                    <w:t>浙江省嘉兴市平湖市钟埭街道兴平一路1</w:t>
                  </w:r>
                  <w:r>
                    <w:rPr>
                      <w:rFonts w:asciiTheme="minorEastAsia" w:hAnsiTheme="minorEastAsia" w:eastAsiaTheme="minorEastAsia"/>
                      <w:sz w:val="20"/>
                    </w:rPr>
                    <w:t>888</w:t>
                  </w:r>
                  <w:r>
                    <w:rPr>
                      <w:rFonts w:hint="eastAsia" w:asciiTheme="minorEastAsia" w:hAnsiTheme="minorEastAsia" w:eastAsiaTheme="minorEastAsia"/>
                      <w:sz w:val="20"/>
                    </w:rPr>
                    <w:t>号第7栋1楼</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2022-01-01日</w:t>
                  </w:r>
                </w:p>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68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91" w:type="dxa"/>
            <w:vMerge w:val="restart"/>
            <w:shd w:val="clear" w:color="auto" w:fill="auto"/>
          </w:tcPr>
          <w:p>
            <w:pPr>
              <w:shd w:val="clear"/>
            </w:pPr>
            <w:r>
              <w:rPr>
                <w:rFonts w:hint="eastAsia"/>
              </w:rPr>
              <w:t>HACCP体系</w:t>
            </w:r>
          </w:p>
          <w:p>
            <w:pPr>
              <w:shd w:val="clear"/>
            </w:pPr>
            <w:r>
              <w:rPr>
                <w:rFonts w:hint="eastAsia"/>
              </w:rPr>
              <w:t>总要求</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4"/>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1</w:t>
            </w:r>
            <w:r>
              <w:rPr>
                <w:rFonts w:hint="eastAsia"/>
                <w:u w:val="single"/>
              </w:rPr>
              <w:t xml:space="preserve"> 月 </w:t>
            </w:r>
            <w:r>
              <w:rPr>
                <w:rFonts w:hint="eastAsia"/>
                <w:u w:val="single"/>
                <w:lang w:val="en-US" w:eastAsia="zh-CN"/>
              </w:rPr>
              <w:t>1</w:t>
            </w:r>
            <w:r>
              <w:rPr>
                <w:rFonts w:hint="eastAsia"/>
                <w:u w:val="single"/>
              </w:rPr>
              <w:t>日</w:t>
            </w:r>
            <w:r>
              <w:rPr>
                <w:rFonts w:hint="eastAsia"/>
              </w:rPr>
              <w:t>建立了文件化HACCP体系；</w:t>
            </w:r>
          </w:p>
          <w:p>
            <w:pPr>
              <w:pStyle w:val="24"/>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4"/>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24"/>
              <w:shd w:val="clear"/>
              <w:adjustRightInd w:val="0"/>
              <w:snapToGrid w:val="0"/>
              <w:spacing w:line="360" w:lineRule="auto"/>
              <w:rPr>
                <w:rFonts w:hint="eastAsia" w:eastAsia="宋体"/>
                <w:u w:val="single"/>
                <w:lang w:eastAsia="zh-CN"/>
              </w:rPr>
            </w:pPr>
            <w:r>
              <w:rPr>
                <w:rFonts w:hint="eastAsia" w:ascii="Times New Roman" w:hAnsi="Times New Roman"/>
              </w:rPr>
              <w:t>位于</w:t>
            </w:r>
            <w:r>
              <w:rPr>
                <w:rFonts w:hint="eastAsia"/>
                <w:u w:val="single"/>
              </w:rPr>
              <w:t xml:space="preserve"> </w:t>
            </w:r>
            <w:r>
              <w:rPr>
                <w:rFonts w:hint="eastAsia"/>
                <w:u w:val="single"/>
                <w:lang w:val="en-US" w:eastAsia="zh-CN"/>
              </w:rPr>
              <w:t xml:space="preserve"> H：位于浙江省嘉兴市平湖市钟埭街道兴平一路1888号第7栋1楼平湖聚笙餐饮管理有限公司的集体用餐配送（热食类食品制售）；</w:t>
            </w:r>
          </w:p>
          <w:p>
            <w:pPr>
              <w:pStyle w:val="24"/>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4"/>
              <w:shd w:val="clear"/>
              <w:adjustRightInd w:val="0"/>
              <w:snapToGrid w:val="0"/>
              <w:spacing w:line="360" w:lineRule="auto"/>
            </w:pPr>
            <w:r>
              <w:rPr>
                <w:rFonts w:hint="eastAsia" w:ascii="宋体" w:hAnsi="宋体"/>
              </w:rPr>
              <w:sym w:font="Wingdings 2" w:char="0052"/>
            </w:r>
            <w:r>
              <w:rPr>
                <w:rFonts w:hint="eastAsia"/>
              </w:rPr>
              <w:t xml:space="preserve">食品及其辅料的生产、加工 </w:t>
            </w:r>
            <w:r>
              <w:rPr>
                <w:rFonts w:hint="eastAsia" w:ascii="宋体"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A3"/>
            </w:r>
            <w:r>
              <w:rPr>
                <w:rFonts w:hint="eastAsia"/>
              </w:rPr>
              <w:t>生产服务提供</w:t>
            </w:r>
          </w:p>
          <w:p>
            <w:pPr>
              <w:pStyle w:val="24"/>
              <w:shd w:val="clear"/>
              <w:adjustRightInd w:val="0"/>
              <w:snapToGrid w:val="0"/>
              <w:spacing w:line="360" w:lineRule="auto"/>
              <w:rPr>
                <w:rFonts w:hint="default"/>
                <w:highlight w:val="yellow"/>
                <w:u w:val="single"/>
                <w:lang w:val="en-US"/>
              </w:rPr>
            </w:pPr>
            <w:r>
              <w:rPr>
                <w:rFonts w:hint="eastAsia"/>
              </w:rPr>
              <w:t>外包过程包括：</w:t>
            </w:r>
            <w:r>
              <w:rPr>
                <w:rFonts w:hint="eastAsia"/>
                <w:u w:val="single"/>
                <w:lang w:val="en-US" w:eastAsia="zh-CN"/>
              </w:rPr>
              <w:t xml:space="preserve">  产品</w:t>
            </w:r>
            <w:r>
              <w:rPr>
                <w:rFonts w:hint="eastAsia"/>
                <w:color w:val="000000"/>
                <w:u w:val="single"/>
                <w:lang w:val="en-US" w:eastAsia="zh-CN"/>
              </w:rPr>
              <w:t>第三方检测、厨余垃圾清运</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shd w:val="clear"/>
              <w:jc w:val="left"/>
            </w:pPr>
            <w:r>
              <w:rPr>
                <w:rFonts w:hint="eastAsia"/>
              </w:rPr>
              <w:t>质量/食品安全管理体系及其过程</w:t>
            </w:r>
          </w:p>
        </w:tc>
        <w:tc>
          <w:tcPr>
            <w:tcW w:w="1040" w:type="dxa"/>
            <w:vMerge w:val="restart"/>
            <w:shd w:val="clear" w:color="auto" w:fill="auto"/>
          </w:tcPr>
          <w:p>
            <w:pPr>
              <w:shd w:val="clear"/>
              <w:rPr>
                <w:rFonts w:hint="eastAsia"/>
              </w:rPr>
            </w:pPr>
            <w:r>
              <w:rPr>
                <w:rFonts w:hint="eastAsia"/>
              </w:rPr>
              <w:t xml:space="preserve">Q4.4 F4.4 </w:t>
            </w:r>
          </w:p>
          <w:p>
            <w:pPr>
              <w:shd w:val="clear"/>
              <w:rPr>
                <w:rFonts w:hint="eastAsia"/>
                <w:lang w:val="en-US" w:eastAsia="zh-CN"/>
              </w:rPr>
            </w:pPr>
            <w:r>
              <w:rPr>
                <w:rFonts w:hint="eastAsia"/>
                <w:lang w:val="en-US" w:eastAsia="zh-CN"/>
              </w:rPr>
              <w:t>H(V1.0)</w:t>
            </w:r>
          </w:p>
          <w:p>
            <w:pPr>
              <w:pStyle w:val="14"/>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4"/>
              <w:shd w:val="clear"/>
              <w:adjustRightInd w:val="0"/>
              <w:snapToGrid w:val="0"/>
              <w:spacing w:line="360" w:lineRule="auto"/>
              <w:rPr>
                <w:rFonts w:hint="default"/>
                <w:u w:val="single"/>
                <w:lang w:val="en-US"/>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4"/>
              <w:shd w:val="clear"/>
              <w:adjustRightInd w:val="0"/>
              <w:snapToGrid w:val="0"/>
              <w:spacing w:line="360" w:lineRule="auto"/>
              <w:rPr>
                <w:highlight w:val="yellow"/>
                <w:u w:val="single"/>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u w:val="single"/>
                <w:lang w:val="en-US" w:eastAsia="zh-CN"/>
              </w:rPr>
              <w:t>产品</w:t>
            </w:r>
            <w:r>
              <w:rPr>
                <w:rFonts w:hint="eastAsia"/>
                <w:color w:val="000000"/>
                <w:u w:val="single"/>
                <w:lang w:val="en-US" w:eastAsia="zh-CN"/>
              </w:rPr>
              <w:t>第三方检测、厨余垃圾清运</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4"/>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u w:val="single"/>
                <w:lang w:val="en-US" w:eastAsia="zh-CN"/>
              </w:rPr>
              <w:t>产品</w:t>
            </w:r>
            <w:r>
              <w:rPr>
                <w:rFonts w:hint="eastAsia"/>
                <w:color w:val="000000"/>
                <w:u w:val="single"/>
                <w:lang w:val="en-US" w:eastAsia="zh-CN"/>
              </w:rPr>
              <w:t>第三方检测、厨余垃圾清运</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环境</w:t>
            </w:r>
            <w:r>
              <w:rPr>
                <w:rFonts w:hint="eastAsia"/>
              </w:rPr>
              <w:t>管理体系</w:t>
            </w:r>
          </w:p>
        </w:tc>
        <w:tc>
          <w:tcPr>
            <w:tcW w:w="1040" w:type="dxa"/>
            <w:vMerge w:val="restart"/>
            <w:shd w:val="clear" w:color="auto" w:fill="auto"/>
          </w:tcPr>
          <w:p>
            <w:pPr>
              <w:rPr>
                <w:rFonts w:hint="eastAsia"/>
              </w:rPr>
            </w:pPr>
            <w:r>
              <w:rPr>
                <w:rFonts w:hint="eastAsia"/>
                <w:lang w:val="en-US" w:eastAsia="zh-CN"/>
              </w:rPr>
              <w:t>E</w:t>
            </w:r>
            <w:r>
              <w:rPr>
                <w:rFonts w:hint="eastAsia"/>
              </w:rPr>
              <w:t xml:space="preserve">4.4 </w:t>
            </w:r>
          </w:p>
          <w:p>
            <w:pPr>
              <w:pStyle w:val="14"/>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污染物排放控制（厨余垃圾、油烟、含油废水）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u w:val="single"/>
                <w:lang w:val="en-US" w:eastAsia="zh-CN"/>
              </w:rPr>
              <w:t>产品</w:t>
            </w:r>
            <w:r>
              <w:rPr>
                <w:rFonts w:hint="eastAsia"/>
                <w:color w:val="000000"/>
                <w:u w:val="single"/>
                <w:lang w:val="en-US" w:eastAsia="zh-CN"/>
              </w:rPr>
              <w:t>第三方检测、厨余垃圾清运</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14"/>
              <w:rPr>
                <w:rFonts w:hint="eastAsia"/>
                <w:lang w:val="en-US" w:eastAsia="zh-CN"/>
              </w:rPr>
            </w:pPr>
          </w:p>
          <w:p>
            <w:pPr>
              <w:pStyle w:val="14"/>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w:t>
            </w:r>
            <w:r>
              <w:rPr>
                <w:rFonts w:hint="eastAsia"/>
                <w:u w:val="single"/>
                <w:lang w:val="en-US" w:eastAsia="zh-CN"/>
              </w:rPr>
              <w:t>产品</w:t>
            </w:r>
            <w:r>
              <w:rPr>
                <w:rFonts w:hint="eastAsia"/>
                <w:color w:val="000000"/>
                <w:u w:val="single"/>
                <w:lang w:val="en-US" w:eastAsia="zh-CN"/>
              </w:rPr>
              <w:t>第三方检测、厨余垃圾清运；</w:t>
            </w:r>
          </w:p>
          <w:p>
            <w:pPr>
              <w:pStyle w:val="14"/>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领导作用与承诺</w:t>
            </w:r>
          </w:p>
        </w:tc>
        <w:tc>
          <w:tcPr>
            <w:tcW w:w="1040"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14"/>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14"/>
              <w:rPr>
                <w:rFonts w:hint="eastAsia"/>
                <w:color w:val="000000"/>
                <w:szCs w:val="21"/>
                <w:highlight w:val="lightGray"/>
                <w:u w:val="none"/>
                <w:lang w:val="en-US" w:eastAsia="zh-CN"/>
              </w:rPr>
            </w:pPr>
          </w:p>
          <w:p>
            <w:pPr>
              <w:pStyle w:val="14"/>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14"/>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14"/>
              <w:rPr>
                <w:rFonts w:hint="eastAsia"/>
                <w:color w:val="000000"/>
                <w:szCs w:val="21"/>
                <w:u w:val="single"/>
              </w:rPr>
            </w:pPr>
          </w:p>
          <w:p>
            <w:pPr>
              <w:pStyle w:val="14"/>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14"/>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14"/>
              <w:rPr>
                <w:rFonts w:hint="eastAsia"/>
                <w:color w:val="000000"/>
                <w:szCs w:val="21"/>
                <w:u w:val="single"/>
                <w:lang w:val="en-US" w:eastAsia="zh-CN"/>
              </w:rPr>
            </w:pPr>
          </w:p>
          <w:p>
            <w:pPr>
              <w:pStyle w:val="14"/>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4"/>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14"/>
              <w:rPr>
                <w:rFonts w:hint="eastAsia"/>
                <w:color w:val="auto"/>
                <w:szCs w:val="21"/>
                <w:highlight w:val="none"/>
                <w:u w:val="single"/>
                <w:lang w:val="en-US" w:eastAsia="zh-CN"/>
              </w:rPr>
            </w:pPr>
          </w:p>
          <w:p>
            <w:pPr>
              <w:pStyle w:val="14"/>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14"/>
              <w:rPr>
                <w:rFonts w:hint="eastAsia"/>
                <w:color w:val="auto"/>
                <w:szCs w:val="21"/>
                <w:highlight w:val="none"/>
                <w:u w:val="single"/>
                <w:lang w:val="en-US" w:eastAsia="zh-CN"/>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p>
            <w:pPr>
              <w:pStyle w:val="14"/>
              <w:rPr>
                <w:rFonts w:hint="eastAsia"/>
                <w:color w:val="000000"/>
                <w:szCs w:val="21"/>
                <w:u w:val="singl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以顾客为关注焦点</w:t>
            </w:r>
          </w:p>
          <w:p/>
        </w:tc>
        <w:tc>
          <w:tcPr>
            <w:tcW w:w="1040"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A3"/>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pPr>
            <w:r>
              <w:rPr>
                <w:rFonts w:hint="eastAsia"/>
              </w:rPr>
              <w:t>食品安全文化</w:t>
            </w:r>
          </w:p>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5.1.3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计划每年培训次，体系建立以来还未开展培训，已与企业沟通。</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eastAsia"/>
                <w:highlight w:val="none"/>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文件发放   □其他</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7</w:t>
            </w:r>
            <w:r>
              <w:rPr>
                <w:rFonts w:hint="eastAsia"/>
                <w:highlight w:val="none"/>
                <w:u w:val="single"/>
              </w:rPr>
              <w:t xml:space="preserve"> 月</w:t>
            </w:r>
            <w:r>
              <w:rPr>
                <w:rFonts w:hint="eastAsia"/>
                <w:highlight w:val="none"/>
                <w:u w:val="single"/>
                <w:lang w:val="en-US" w:eastAsia="zh-CN"/>
              </w:rPr>
              <w:t>12-13</w:t>
            </w:r>
            <w:r>
              <w:rPr>
                <w:rFonts w:hint="eastAsia"/>
                <w:highlight w:val="none"/>
                <w:u w:val="single"/>
              </w:rPr>
              <w:t>日</w:t>
            </w:r>
            <w:r>
              <w:rPr>
                <w:rFonts w:hint="eastAsia"/>
                <w:highlight w:val="none"/>
              </w:rPr>
              <w:t>；</w:t>
            </w:r>
            <w:r>
              <w:rPr>
                <w:rFonts w:hint="eastAsia"/>
                <w:highlight w:val="none"/>
                <w:lang w:val="en-US" w:eastAsia="zh-CN"/>
              </w:rPr>
              <w:t>主要体现在内审上；</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lang w:val="en-US" w:eastAsia="zh-CN"/>
              </w:rPr>
              <w:t>管理</w:t>
            </w:r>
            <w:r>
              <w:rPr>
                <w:rFonts w:hint="eastAsia"/>
              </w:rPr>
              <w:t>方针</w:t>
            </w:r>
          </w:p>
        </w:tc>
        <w:tc>
          <w:tcPr>
            <w:tcW w:w="1040" w:type="dxa"/>
            <w:vMerge w:val="restart"/>
            <w:shd w:val="clear" w:color="auto" w:fill="auto"/>
          </w:tcPr>
          <w:p>
            <w:r>
              <w:rPr>
                <w:rFonts w:hint="eastAsia"/>
              </w:rPr>
              <w:t>Q5.2</w:t>
            </w:r>
          </w:p>
          <w:p>
            <w:pPr>
              <w:rPr>
                <w:rFonts w:hint="eastAsia"/>
              </w:rPr>
            </w:pPr>
            <w:r>
              <w:rPr>
                <w:rFonts w:hint="eastAsia"/>
              </w:rPr>
              <w:t>F5.2</w:t>
            </w:r>
          </w:p>
          <w:p>
            <w:pPr>
              <w:pStyle w:val="14"/>
              <w:rPr>
                <w:rFonts w:hint="eastAsia"/>
                <w:lang w:val="en-US" w:eastAsia="zh-CN"/>
              </w:rPr>
            </w:pPr>
            <w:r>
              <w:rPr>
                <w:rFonts w:hint="eastAsia"/>
                <w:lang w:val="en-US" w:eastAsia="zh-CN"/>
              </w:rPr>
              <w:t>E5.2</w:t>
            </w:r>
          </w:p>
          <w:p>
            <w:pPr>
              <w:pStyle w:val="14"/>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14"/>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A8"/>
            </w:r>
            <w:r>
              <w:rPr>
                <w:rFonts w:hint="eastAsia"/>
              </w:rPr>
              <w:t>“0.</w:t>
            </w:r>
            <w:r>
              <w:rPr>
                <w:rFonts w:hint="eastAsia"/>
                <w:lang w:val="en-US" w:eastAsia="zh-CN"/>
              </w:rPr>
              <w:t>4</w:t>
            </w:r>
            <w:r>
              <w:rPr>
                <w:rFonts w:hint="eastAsia"/>
              </w:rPr>
              <w:t xml:space="preserve"> 质量</w:t>
            </w:r>
            <w:r>
              <w:rPr>
                <w:rFonts w:hint="eastAsia"/>
                <w:lang w:eastAsia="zh-CN"/>
              </w:rPr>
              <w:t>、</w:t>
            </w:r>
            <w:r>
              <w:rPr>
                <w:rFonts w:hint="eastAsia"/>
              </w:rPr>
              <w:t>食品安全</w:t>
            </w:r>
            <w:r>
              <w:rPr>
                <w:rFonts w:hint="eastAsia"/>
                <w:lang w:eastAsia="zh-CN"/>
              </w:rPr>
              <w:t>、</w:t>
            </w:r>
            <w:r>
              <w:rPr>
                <w:rFonts w:hint="eastAsia"/>
                <w:lang w:val="en-US" w:eastAsia="zh-CN"/>
              </w:rPr>
              <w:t>HACCP、环境和职业健康安全</w:t>
            </w:r>
            <w:r>
              <w:rPr>
                <w:rFonts w:hint="eastAsia"/>
              </w:rPr>
              <w:t>方针</w:t>
            </w:r>
            <w:r>
              <w:rPr>
                <w:rFonts w:hint="eastAsia"/>
                <w:lang w:eastAsia="zh-CN"/>
              </w:rPr>
              <w:t>、</w:t>
            </w:r>
            <w:r>
              <w:rPr>
                <w:rFonts w:hint="eastAsia"/>
                <w:lang w:val="en-US" w:eastAsia="zh-CN"/>
              </w:rPr>
              <w:t>目标发布令</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w:t>
            </w:r>
            <w:r>
              <w:rPr>
                <w:rFonts w:hint="eastAsia" w:ascii="宋体" w:hAnsi="宋体" w:cs="宋体"/>
                <w:b/>
                <w:bCs/>
                <w:color w:val="000000"/>
                <w:kern w:val="0"/>
                <w:sz w:val="21"/>
                <w:szCs w:val="21"/>
                <w:u w:val="single"/>
                <w:lang w:val="en-US" w:eastAsia="zh-CN" w:bidi="ar"/>
              </w:rPr>
              <w:t>持续改进</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保护环境 预防污染 </w:t>
            </w:r>
          </w:p>
          <w:p>
            <w:pPr>
              <w:keepNext w:val="0"/>
              <w:keepLines w:val="0"/>
              <w:widowControl/>
              <w:suppressLineNumbers w:val="0"/>
              <w:jc w:val="left"/>
              <w:rPr>
                <w:sz w:val="21"/>
                <w:szCs w:val="21"/>
                <w:u w:val="single"/>
              </w:rPr>
            </w:pP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7"/>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47" w:type="dxa"/>
                </w:tcPr>
                <w:p>
                  <w:r>
                    <w:rPr>
                      <w:rFonts w:hint="eastAsia"/>
                    </w:rPr>
                    <w:t>质量管理体系策划和推动</w:t>
                  </w:r>
                </w:p>
              </w:tc>
              <w:tc>
                <w:tcPr>
                  <w:tcW w:w="1655" w:type="dxa"/>
                </w:tcPr>
                <w:p>
                  <w:pPr>
                    <w:rPr>
                      <w:rFonts w:hint="default" w:eastAsia="宋体"/>
                      <w:lang w:val="en-US" w:eastAsia="zh-CN"/>
                    </w:rPr>
                  </w:pPr>
                  <w:r>
                    <w:rPr>
                      <w:rFonts w:hint="eastAsia"/>
                      <w:lang w:val="en-US" w:eastAsia="zh-CN"/>
                    </w:rPr>
                    <w:t>领导层</w:t>
                  </w:r>
                </w:p>
              </w:tc>
              <w:tc>
                <w:tcPr>
                  <w:tcW w:w="2580" w:type="dxa"/>
                </w:tcPr>
                <w:p>
                  <w:r>
                    <w:rPr>
                      <w:rFonts w:hint="eastAsia"/>
                    </w:rPr>
                    <w:t>生产/服务设计开发过程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顾客满意调查分析</w:t>
                  </w:r>
                </w:p>
              </w:tc>
              <w:tc>
                <w:tcPr>
                  <w:tcW w:w="1655" w:type="dxa"/>
                </w:tcPr>
                <w:p>
                  <w:pPr>
                    <w:rPr>
                      <w:rFonts w:hint="eastAsia"/>
                      <w:lang w:eastAsia="zh-CN"/>
                    </w:rPr>
                  </w:pPr>
                  <w:r>
                    <w:rPr>
                      <w:rFonts w:hint="eastAsia"/>
                      <w:lang w:val="en-US" w:eastAsia="zh-CN"/>
                    </w:rPr>
                    <w:t>运营部</w:t>
                  </w:r>
                </w:p>
              </w:tc>
              <w:tc>
                <w:tcPr>
                  <w:tcW w:w="2580" w:type="dxa"/>
                </w:tcPr>
                <w:p>
                  <w:r>
                    <w:rPr>
                      <w:rFonts w:hint="eastAsia"/>
                    </w:rPr>
                    <w:t>生产/服务提供过程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生产部</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生产部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徐丽丽 女士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eastAsia"/>
                      <w:highlight w:val="none"/>
                      <w:lang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lang w:val="en-US" w:eastAsia="zh-CN"/>
                    </w:rPr>
                    <w:t>运营部</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highlight w:val="none"/>
                    </w:rPr>
                  </w:pPr>
                  <w:r>
                    <w:rPr>
                      <w:rFonts w:hint="eastAsia"/>
                      <w:lang w:val="en-US" w:eastAsia="zh-CN"/>
                    </w:rPr>
                    <w:t>运营部</w:t>
                  </w:r>
                </w:p>
              </w:tc>
              <w:tc>
                <w:tcPr>
                  <w:tcW w:w="2261" w:type="dxa"/>
                </w:tcPr>
                <w:p>
                  <w:pPr>
                    <w:rPr>
                      <w:highlight w:val="none"/>
                    </w:rPr>
                  </w:pPr>
                  <w:r>
                    <w:rPr>
                      <w:rFonts w:hint="eastAsia"/>
                      <w:highlight w:val="none"/>
                    </w:rPr>
                    <w:t>基础设施</w:t>
                  </w:r>
                </w:p>
              </w:tc>
              <w:tc>
                <w:tcPr>
                  <w:tcW w:w="2261" w:type="dxa"/>
                </w:tcPr>
                <w:p>
                  <w:pPr>
                    <w:rPr>
                      <w:rFonts w:hint="eastAsia"/>
                      <w:highlight w:val="none"/>
                      <w:lang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lang w:val="en-US" w:eastAsia="zh-CN"/>
                    </w:rPr>
                    <w:t>运营部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eastAsia" w:eastAsia="宋体"/>
                      <w:highlight w:val="none"/>
                      <w:lang w:val="en-US" w:eastAsia="zh-CN"/>
                    </w:rPr>
                  </w:pPr>
                  <w:r>
                    <w:rPr>
                      <w:rFonts w:hint="eastAsia"/>
                      <w:highlight w:val="none"/>
                      <w:lang w:val="en-US" w:eastAsia="zh-CN"/>
                    </w:rPr>
                    <w:t>生产部</w:t>
                  </w:r>
                </w:p>
              </w:tc>
            </w:tr>
          </w:tbl>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运营部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生产部、运营部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7"/>
              <w:rPr>
                <w:rFonts w:hint="eastAsia"/>
                <w:sz w:val="21"/>
                <w:szCs w:val="21"/>
                <w:highlight w:val="none"/>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徐丽丽女士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7"/>
              <w:rPr>
                <w:rFonts w:hint="eastAsia"/>
                <w:sz w:val="21"/>
                <w:szCs w:val="21"/>
                <w:highlight w:val="none"/>
                <w:lang w:val="en-US" w:eastAsia="zh-CN"/>
              </w:rPr>
            </w:pPr>
          </w:p>
          <w:p>
            <w:pPr>
              <w:pStyle w:val="7"/>
              <w:rPr>
                <w:rFonts w:hint="eastAsia"/>
                <w:sz w:val="21"/>
                <w:szCs w:val="21"/>
                <w:highlight w:val="none"/>
                <w:lang w:val="en-US" w:eastAsia="zh-CN"/>
              </w:rPr>
            </w:pPr>
          </w:p>
          <w:p>
            <w:pPr>
              <w:pStyle w:val="7"/>
              <w:rPr>
                <w:rFonts w:hint="default"/>
                <w:sz w:val="21"/>
                <w:szCs w:val="21"/>
                <w:highlight w:val="none"/>
                <w:lang w:val="en-US" w:eastAsia="zh-CN"/>
              </w:rPr>
            </w:pPr>
            <w:r>
              <w:rPr>
                <w:rFonts w:hint="eastAsia"/>
                <w:sz w:val="21"/>
                <w:szCs w:val="21"/>
                <w:highlight w:val="none"/>
                <w:lang w:val="en-US" w:eastAsia="zh-CN"/>
              </w:rPr>
              <w:t>OHSMS：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运营部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生产部、运营部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沈元芳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运营部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sz w:val="21"/>
                <w:szCs w:val="21"/>
                <w:highlight w:val="none"/>
                <w:u w:val="single"/>
                <w:lang w:val="en-US" w:eastAsia="zh-CN"/>
              </w:rPr>
              <w:t>徐丽丽女士</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91" w:type="dxa"/>
            <w:shd w:val="clear" w:color="auto" w:fill="auto"/>
          </w:tcPr>
          <w:p/>
        </w:tc>
        <w:tc>
          <w:tcPr>
            <w:tcW w:w="1040"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徐丽丽女士</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040"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lang w:val="en-US" w:eastAsia="zh-CN"/>
                    </w:rPr>
                    <w:t>经营管理不合规，导致监管部门处罚或关门整顿</w:t>
                  </w:r>
                </w:p>
              </w:tc>
              <w:tc>
                <w:tcPr>
                  <w:tcW w:w="4073" w:type="dxa"/>
                </w:tcPr>
                <w:p>
                  <w:pPr>
                    <w:pStyle w:val="7"/>
                    <w:numPr>
                      <w:ilvl w:val="0"/>
                      <w:numId w:val="2"/>
                    </w:numPr>
                    <w:ind w:leftChars="0"/>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7"/>
                    <w:numPr>
                      <w:ilvl w:val="0"/>
                      <w:numId w:val="2"/>
                    </w:numPr>
                    <w:ind w:leftChars="0"/>
                    <w:rPr>
                      <w:rFonts w:hint="default" w:eastAsia="宋体"/>
                      <w:highlight w:val="none"/>
                      <w:lang w:val="en-US" w:eastAsia="zh-CN"/>
                    </w:rPr>
                  </w:pPr>
                  <w:r>
                    <w:rPr>
                      <w:rFonts w:hint="eastAsia"/>
                      <w:sz w:val="21"/>
                      <w:szCs w:val="21"/>
                      <w:highlight w:val="none"/>
                      <w:lang w:val="en-US" w:eastAsia="zh-CN"/>
                    </w:rPr>
                    <w:t>不定期收集食品安全、环保、职业健康等法律法规标准要求，并组织大家学习</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widowControl/>
                    <w:spacing w:line="360" w:lineRule="exact"/>
                    <w:jc w:val="left"/>
                    <w:textAlignment w:val="center"/>
                    <w:rPr>
                      <w:rFonts w:hint="default"/>
                      <w:lang w:val="en-US" w:eastAsia="zh-CN"/>
                    </w:rPr>
                  </w:pPr>
                  <w:r>
                    <w:rPr>
                      <w:rFonts w:hint="eastAsia"/>
                      <w:lang w:val="en-US" w:eastAsia="zh-CN"/>
                    </w:rPr>
                    <w:t>火灾事故，如油烟机清理控制、消防管理不当</w:t>
                  </w:r>
                </w:p>
              </w:tc>
              <w:tc>
                <w:tcPr>
                  <w:tcW w:w="4073" w:type="dxa"/>
                  <w:vAlign w:val="top"/>
                </w:tcPr>
                <w:p>
                  <w:pPr>
                    <w:widowControl/>
                    <w:spacing w:line="360" w:lineRule="exact"/>
                    <w:jc w:val="left"/>
                    <w:textAlignment w:val="center"/>
                    <w:rPr>
                      <w:rFonts w:hint="default"/>
                      <w:lang w:val="en-US" w:eastAsia="zh-CN"/>
                    </w:rPr>
                  </w:pPr>
                  <w:r>
                    <w:rPr>
                      <w:rFonts w:hint="eastAsia"/>
                      <w:lang w:val="en-US" w:eastAsia="zh-CN"/>
                    </w:rPr>
                    <w:t>1）自行定期检查；</w:t>
                  </w:r>
                </w:p>
                <w:p>
                  <w:pPr>
                    <w:widowControl/>
                    <w:spacing w:line="360" w:lineRule="exact"/>
                    <w:jc w:val="left"/>
                    <w:textAlignment w:val="center"/>
                    <w:rPr>
                      <w:rFonts w:hint="default"/>
                      <w:lang w:val="en-US" w:eastAsia="zh-CN"/>
                    </w:rPr>
                  </w:pPr>
                  <w:r>
                    <w:rPr>
                      <w:rFonts w:hint="eastAsia"/>
                      <w:lang w:val="en-US" w:eastAsia="zh-CN"/>
                    </w:rPr>
                    <w:t>2）火灾应急预案以及应急演练</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采购食材控制不当或制作过程未烧熟煮透，导致就餐者食物中毒</w:t>
                  </w:r>
                </w:p>
              </w:tc>
              <w:tc>
                <w:tcPr>
                  <w:tcW w:w="4073" w:type="dxa"/>
                  <w:vAlign w:val="top"/>
                </w:tcPr>
                <w:p>
                  <w:pPr>
                    <w:numPr>
                      <w:ilvl w:val="0"/>
                      <w:numId w:val="3"/>
                    </w:numPr>
                    <w:rPr>
                      <w:rFonts w:hint="default"/>
                      <w:highlight w:val="none"/>
                      <w:lang w:val="en-US" w:eastAsia="zh-CN"/>
                    </w:rPr>
                  </w:pPr>
                  <w:r>
                    <w:rPr>
                      <w:rFonts w:hint="eastAsia"/>
                      <w:highlight w:val="none"/>
                      <w:lang w:val="en-US" w:eastAsia="zh-CN"/>
                    </w:rPr>
                    <w:t>建立食物中毒预案，组织员工进行应急演练；</w:t>
                  </w:r>
                </w:p>
                <w:p>
                  <w:pPr>
                    <w:pStyle w:val="10"/>
                    <w:numPr>
                      <w:ilvl w:val="0"/>
                      <w:numId w:val="3"/>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合格供方采购食材</w:t>
                  </w:r>
                  <w:r>
                    <w:rPr>
                      <w:rFonts w:hint="eastAsia" w:ascii="Times New Roman" w:hAnsi="Times New Roman" w:cs="Times New Roman"/>
                      <w:kern w:val="2"/>
                      <w:sz w:val="21"/>
                      <w:szCs w:val="24"/>
                      <w:highlight w:val="none"/>
                      <w:lang w:val="en-US" w:eastAsia="zh-CN" w:bidi="ar-SA"/>
                    </w:rPr>
                    <w:t>，严格出入库管理</w:t>
                  </w:r>
                  <w:r>
                    <w:rPr>
                      <w:rFonts w:hint="eastAsia" w:ascii="Times New Roman" w:hAnsi="Times New Roman" w:eastAsia="宋体" w:cs="Times New Roman"/>
                      <w:kern w:val="2"/>
                      <w:sz w:val="21"/>
                      <w:szCs w:val="24"/>
                      <w:highlight w:val="none"/>
                      <w:lang w:val="en-US" w:eastAsia="zh-CN" w:bidi="ar-SA"/>
                    </w:rPr>
                    <w:t>；</w:t>
                  </w:r>
                </w:p>
                <w:p>
                  <w:pPr>
                    <w:pStyle w:val="10"/>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3. </w:t>
                  </w:r>
                  <w:r>
                    <w:rPr>
                      <w:rFonts w:hint="eastAsia" w:ascii="Times New Roman" w:hAnsi="Times New Roman" w:cs="Times New Roman"/>
                      <w:kern w:val="2"/>
                      <w:sz w:val="21"/>
                      <w:szCs w:val="24"/>
                      <w:highlight w:val="none"/>
                      <w:lang w:val="en-US" w:eastAsia="zh-CN" w:bidi="ar-SA"/>
                    </w:rPr>
                    <w:t>管理体系的导入</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yellow"/>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7"/>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2"/>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highlight w:val="none"/>
                      <w:lang w:val="en-US" w:eastAsia="zh-CN"/>
                    </w:rPr>
                    <w:t>通过管理体系的建立，提升管理能力，开拓市场，赢得新客户</w:t>
                  </w:r>
                </w:p>
              </w:tc>
              <w:tc>
                <w:tcPr>
                  <w:tcW w:w="4528" w:type="dxa"/>
                </w:tcPr>
                <w:p>
                  <w:pPr>
                    <w:pStyle w:val="10"/>
                    <w:numPr>
                      <w:ilvl w:val="0"/>
                      <w:numId w:val="0"/>
                    </w:numPr>
                    <w:jc w:val="left"/>
                    <w:rPr>
                      <w:rFonts w:hint="eastAsia"/>
                      <w:highlight w:val="none"/>
                      <w:lang w:val="en-US" w:eastAsia="zh-CN"/>
                    </w:rPr>
                  </w:pPr>
                  <w:r>
                    <w:rPr>
                      <w:rFonts w:hint="eastAsia"/>
                      <w:highlight w:val="none"/>
                      <w:lang w:val="en-US" w:eastAsia="zh-CN"/>
                    </w:rPr>
                    <w:t>1）加强内部管理，提高管理能力，合格的管理成本；</w:t>
                  </w:r>
                </w:p>
                <w:p>
                  <w:pPr>
                    <w:pStyle w:val="10"/>
                    <w:numPr>
                      <w:ilvl w:val="0"/>
                      <w:numId w:val="0"/>
                    </w:numPr>
                    <w:jc w:val="left"/>
                    <w:rPr>
                      <w:rFonts w:hint="default"/>
                      <w:highlight w:val="none"/>
                      <w:lang w:val="en-US" w:eastAsia="zh-CN"/>
                    </w:rPr>
                  </w:pPr>
                  <w:r>
                    <w:rPr>
                      <w:rFonts w:hint="eastAsia"/>
                      <w:highlight w:val="none"/>
                      <w:lang w:val="en-US" w:eastAsia="zh-CN"/>
                    </w:rPr>
                    <w:t>2）提供良好的配餐服务，使得顾客满意，赢得本地业内良好的口碑</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p>
              </w:tc>
              <w:tc>
                <w:tcPr>
                  <w:tcW w:w="452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7"/>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7"/>
              <w:rPr>
                <w:rFonts w:hint="eastAsia" w:ascii="Times New Roman" w:hAnsi="Times New Roman" w:eastAsia="宋体" w:cs="Times New Roman"/>
                <w:kern w:val="2"/>
                <w:sz w:val="21"/>
                <w:szCs w:val="20"/>
                <w:highlight w:val="none"/>
                <w:lang w:val="en-US" w:eastAsia="zh-CN" w:bidi="ar-SA"/>
              </w:rPr>
            </w:pPr>
          </w:p>
          <w:p>
            <w:pPr>
              <w:pStyle w:val="7"/>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火灾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危化品泄露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未达标排放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锅炉爆炸</w:t>
            </w:r>
            <w:r>
              <w:rPr>
                <w:rFonts w:hint="eastAsia" w:ascii="Times New Roman" w:hAnsi="Times New Roman" w:eastAsia="宋体" w:cs="Times New Roman"/>
                <w:kern w:val="2"/>
                <w:sz w:val="21"/>
                <w:szCs w:val="20"/>
                <w:highlight w:val="none"/>
                <w:lang w:val="en-US" w:eastAsia="zh-CN" w:bidi="ar-SA"/>
              </w:rPr>
              <w:t xml:space="preserve">  </w:t>
            </w:r>
          </w:p>
          <w:p>
            <w:pPr>
              <w:pStyle w:val="7"/>
              <w:rPr>
                <w:highlight w:val="none"/>
              </w:rPr>
            </w:pPr>
          </w:p>
          <w:p>
            <w:pPr>
              <w:pStyle w:val="7"/>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040"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风险和机遇</w:t>
            </w:r>
            <w:r>
              <w:rPr>
                <w:rFonts w:hint="eastAsia"/>
                <w:color w:val="auto"/>
                <w:highlight w:val="none"/>
              </w:rPr>
              <w:t>控制</w:t>
            </w:r>
            <w:r>
              <w:rPr>
                <w:rFonts w:hint="eastAsia"/>
                <w:color w:val="auto"/>
                <w:highlight w:val="none"/>
                <w:lang w:val="en-US" w:eastAsia="zh-CN"/>
              </w:rPr>
              <w:t>程序》、手册第6.1条款、</w:t>
            </w:r>
            <w:r>
              <w:rPr>
                <w:rFonts w:hint="eastAsia"/>
                <w:color w:val="auto"/>
                <w:highlight w:val="none"/>
                <w:lang w:val="en-US" w:eastAsia="zh-CN"/>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每天进行安全检查；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每月检查灭火器、消防栓；组织人员进行火灾应急演练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交通意外事故</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合理规划配送路线、安排驾驶经验多年司机配送餐食</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2"/>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良好的市场竞争条件</w:t>
                  </w:r>
                </w:p>
              </w:tc>
              <w:tc>
                <w:tcPr>
                  <w:tcW w:w="4856" w:type="dxa"/>
                  <w:vAlign w:val="top"/>
                </w:tcPr>
                <w:p>
                  <w:pPr>
                    <w:keepNext w:val="0"/>
                    <w:keepLines w:val="0"/>
                    <w:widowControl w:val="0"/>
                    <w:numPr>
                      <w:ilvl w:val="0"/>
                      <w:numId w:val="4"/>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不发生职业健康安全事故；</w:t>
                  </w:r>
                </w:p>
                <w:p>
                  <w:pPr>
                    <w:keepNext w:val="0"/>
                    <w:keepLines w:val="0"/>
                    <w:widowControl w:val="0"/>
                    <w:numPr>
                      <w:ilvl w:val="0"/>
                      <w:numId w:val="4"/>
                    </w:numPr>
                    <w:suppressLineNumbers w:val="0"/>
                    <w:spacing w:before="0" w:beforeAutospacing="0" w:after="0" w:afterAutospacing="0"/>
                    <w:ind w:left="0" w:leftChars="0" w:right="0" w:rightChars="0" w:firstLine="0" w:firstLineChars="0"/>
                    <w:jc w:val="both"/>
                    <w:rPr>
                      <w:rFonts w:hint="default"/>
                      <w:lang w:val="en-US" w:eastAsia="zh-CN"/>
                    </w:rPr>
                  </w:pPr>
                  <w:r>
                    <w:rPr>
                      <w:rFonts w:hint="eastAsia"/>
                      <w:lang w:val="en-US" w:eastAsia="zh-CN"/>
                    </w:rPr>
                    <w:t>建立良好声誉、以及</w:t>
                  </w:r>
                  <w:r>
                    <w:rPr>
                      <w:rFonts w:hint="eastAsia"/>
                      <w:color w:val="auto"/>
                      <w:sz w:val="21"/>
                      <w:szCs w:val="21"/>
                      <w:highlight w:val="none"/>
                      <w:vertAlign w:val="baseline"/>
                      <w:lang w:val="en-US" w:eastAsia="zh-CN"/>
                    </w:rPr>
                    <w:t>良好的工作氛围</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91" w:type="dxa"/>
            <w:vMerge w:val="restart"/>
            <w:shd w:val="clear" w:color="auto" w:fill="auto"/>
          </w:tcPr>
          <w:p/>
        </w:tc>
        <w:tc>
          <w:tcPr>
            <w:tcW w:w="104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提供了《风险和机遇评估分析及措施表》；</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91" w:type="dxa"/>
            <w:vMerge w:val="continue"/>
            <w:shd w:val="clear" w:color="auto" w:fill="auto"/>
          </w:tcPr>
          <w:p/>
        </w:tc>
        <w:tc>
          <w:tcPr>
            <w:tcW w:w="1040"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040"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2"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1991" w:type="dxa"/>
            <w:vMerge w:val="restart"/>
            <w:shd w:val="clear" w:color="auto" w:fill="auto"/>
          </w:tcPr>
          <w:p>
            <w:pPr>
              <w:pStyle w:val="20"/>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040"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648" w:hRule="atLeast"/>
        </w:trPr>
        <w:tc>
          <w:tcPr>
            <w:tcW w:w="1991" w:type="dxa"/>
            <w:vMerge w:val="continue"/>
            <w:shd w:val="clear" w:color="auto" w:fill="auto"/>
          </w:tcPr>
          <w:p>
            <w:pPr>
              <w:rPr>
                <w:color w:val="auto"/>
                <w:highlight w:val="none"/>
              </w:rPr>
            </w:pPr>
          </w:p>
        </w:tc>
        <w:tc>
          <w:tcPr>
            <w:tcW w:w="1040"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制定方案、目标进行管理</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减少误操作、减少失误</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运营部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040" w:type="dxa"/>
            <w:vMerge w:val="restart"/>
            <w:shd w:val="clear" w:color="auto" w:fill="auto"/>
          </w:tcPr>
          <w:p>
            <w:r>
              <w:rPr>
                <w:rFonts w:hint="eastAsia"/>
              </w:rPr>
              <w:t>Q6.2</w:t>
            </w:r>
          </w:p>
          <w:p>
            <w:pPr>
              <w:rPr>
                <w:rFonts w:hint="eastAsia"/>
              </w:rPr>
            </w:pPr>
            <w:r>
              <w:rPr>
                <w:rFonts w:hint="eastAsia"/>
              </w:rPr>
              <w:t>F6.2</w:t>
            </w:r>
          </w:p>
          <w:p>
            <w:pPr>
              <w:pStyle w:val="14"/>
              <w:rPr>
                <w:rFonts w:hint="eastAsia"/>
                <w:color w:val="000000"/>
                <w:szCs w:val="21"/>
                <w:highlight w:val="none"/>
                <w:lang w:val="en-US" w:eastAsia="zh-CN"/>
              </w:rPr>
            </w:pPr>
            <w:r>
              <w:rPr>
                <w:rFonts w:hint="eastAsia"/>
                <w:color w:val="000000"/>
                <w:szCs w:val="21"/>
                <w:highlight w:val="none"/>
                <w:lang w:val="en-US" w:eastAsia="zh-CN"/>
              </w:rPr>
              <w:t>E6.2</w:t>
            </w:r>
          </w:p>
          <w:p>
            <w:pPr>
              <w:pStyle w:val="14"/>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14"/>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7"/>
              <w:rPr>
                <w:rFonts w:hint="eastAsia"/>
                <w:highlight w:val="none"/>
              </w:rPr>
            </w:pPr>
          </w:p>
          <w:p>
            <w:pPr>
              <w:pStyle w:val="7"/>
              <w:rPr>
                <w:rFonts w:hint="eastAsia"/>
                <w:highlight w:val="none"/>
              </w:rPr>
            </w:pPr>
          </w:p>
          <w:tbl>
            <w:tblPr>
              <w:tblStyle w:val="1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825"/>
              <w:gridCol w:w="2285"/>
              <w:gridCol w:w="143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8"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目标</w:t>
                  </w:r>
                </w:p>
              </w:tc>
              <w:tc>
                <w:tcPr>
                  <w:tcW w:w="825"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考核频次</w:t>
                  </w:r>
                </w:p>
              </w:tc>
              <w:tc>
                <w:tcPr>
                  <w:tcW w:w="2285" w:type="dxa"/>
                  <w:shd w:val="clear" w:color="auto" w:fill="auto"/>
                  <w:vAlign w:val="top"/>
                </w:tcPr>
                <w:p>
                  <w:pPr>
                    <w:widowControl/>
                    <w:spacing w:before="40"/>
                    <w:jc w:val="left"/>
                    <w:rPr>
                      <w:rFonts w:hint="default"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计算方法</w:t>
                  </w:r>
                </w:p>
              </w:tc>
              <w:tc>
                <w:tcPr>
                  <w:tcW w:w="1432" w:type="dxa"/>
                  <w:shd w:val="clear" w:color="auto" w:fill="auto"/>
                  <w:vAlign w:val="top"/>
                </w:tcPr>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lang w:val="en-US" w:eastAsia="zh-CN"/>
                    </w:rPr>
                    <w:t>责任部门</w:t>
                  </w:r>
                </w:p>
              </w:tc>
              <w:tc>
                <w:tcPr>
                  <w:tcW w:w="1896" w:type="dxa"/>
                  <w:shd w:val="clear" w:color="auto" w:fill="auto"/>
                  <w:vAlign w:val="top"/>
                </w:tcPr>
                <w:p>
                  <w:pPr>
                    <w:widowControl/>
                    <w:spacing w:before="40"/>
                    <w:jc w:val="left"/>
                    <w:rPr>
                      <w:rFonts w:hint="eastAsia"/>
                      <w:color w:val="0000FF"/>
                      <w:sz w:val="18"/>
                      <w:szCs w:val="18"/>
                      <w:highlight w:val="none"/>
                    </w:rPr>
                  </w:pPr>
                  <w:r>
                    <w:rPr>
                      <w:rFonts w:hint="eastAsia"/>
                      <w:color w:val="0000FF"/>
                      <w:sz w:val="18"/>
                      <w:szCs w:val="18"/>
                      <w:highlight w:val="none"/>
                    </w:rPr>
                    <w:t>完成情况</w:t>
                  </w:r>
                </w:p>
                <w:p>
                  <w:pPr>
                    <w:widowControl/>
                    <w:spacing w:before="40"/>
                    <w:jc w:val="left"/>
                    <w:rPr>
                      <w:rFonts w:hint="eastAsia" w:ascii="Times New Roman" w:hAnsi="Times New Roman" w:eastAsia="宋体" w:cs="Times New Roman"/>
                      <w:color w:val="0000FF"/>
                      <w:kern w:val="2"/>
                      <w:sz w:val="18"/>
                      <w:szCs w:val="18"/>
                      <w:highlight w:val="none"/>
                      <w:lang w:val="en-US" w:eastAsia="zh-CN" w:bidi="ar-SA"/>
                    </w:rPr>
                  </w:pPr>
                  <w:r>
                    <w:rPr>
                      <w:rFonts w:hint="eastAsia"/>
                      <w:color w:val="0000FF"/>
                      <w:sz w:val="18"/>
                      <w:szCs w:val="18"/>
                      <w:highlight w:val="none"/>
                    </w:rPr>
                    <w:t>（</w:t>
                  </w:r>
                  <w:r>
                    <w:rPr>
                      <w:rFonts w:hint="eastAsia"/>
                      <w:color w:val="0000FF"/>
                      <w:sz w:val="18"/>
                      <w:szCs w:val="18"/>
                      <w:highlight w:val="none"/>
                      <w:lang w:val="en-US" w:eastAsia="zh-CN"/>
                    </w:rPr>
                    <w:t>2022年第1-2季度</w:t>
                  </w:r>
                  <w:r>
                    <w:rPr>
                      <w:rFonts w:hint="eastAsia"/>
                      <w:color w:val="0000FF"/>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食品安全事故为 0</w:t>
                  </w:r>
                </w:p>
              </w:tc>
              <w:tc>
                <w:tcPr>
                  <w:tcW w:w="825" w:type="dxa"/>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432"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89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饭菜质量抽检合格率≧98%</w:t>
                  </w:r>
                </w:p>
              </w:tc>
              <w:tc>
                <w:tcPr>
                  <w:tcW w:w="825" w:type="dxa"/>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抽检合格数量/总数量*100%</w:t>
                  </w:r>
                </w:p>
              </w:tc>
              <w:tc>
                <w:tcPr>
                  <w:tcW w:w="1432"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89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顾客满意率≧85%</w:t>
                  </w:r>
                </w:p>
              </w:tc>
              <w:tc>
                <w:tcPr>
                  <w:tcW w:w="825" w:type="dxa"/>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顾客满意度分析报告</w:t>
                  </w:r>
                </w:p>
              </w:tc>
              <w:tc>
                <w:tcPr>
                  <w:tcW w:w="1432"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运营部</w:t>
                  </w:r>
                </w:p>
              </w:tc>
              <w:tc>
                <w:tcPr>
                  <w:tcW w:w="189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第二季度调查92分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餐厨固废分类收集合规处理率 100%。</w:t>
                  </w:r>
                </w:p>
              </w:tc>
              <w:tc>
                <w:tcPr>
                  <w:tcW w:w="825" w:type="dxa"/>
                  <w:shd w:val="clear" w:color="auto" w:fill="auto"/>
                  <w:vAlign w:val="center"/>
                </w:tcPr>
                <w:p>
                  <w:pPr>
                    <w:spacing w:line="34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sz w:val="18"/>
                      <w:szCs w:val="18"/>
                      <w:lang w:val="en-US" w:eastAsia="zh-CN"/>
                    </w:rPr>
                    <w:t>合规处理数量</w:t>
                  </w:r>
                  <w:r>
                    <w:rPr>
                      <w:rFonts w:hint="default" w:ascii="宋体" w:hAnsi="宋体" w:eastAsia="宋体" w:cs="Times New Roman"/>
                      <w:color w:val="0000FF"/>
                      <w:sz w:val="18"/>
                      <w:szCs w:val="18"/>
                      <w:lang w:val="en-US" w:eastAsia="zh-CN"/>
                    </w:rPr>
                    <w:t>/</w:t>
                  </w:r>
                  <w:r>
                    <w:rPr>
                      <w:rFonts w:hint="eastAsia" w:ascii="宋体" w:hAnsi="宋体" w:eastAsia="宋体" w:cs="Times New Roman"/>
                      <w:color w:val="0000FF"/>
                      <w:sz w:val="18"/>
                      <w:szCs w:val="18"/>
                      <w:lang w:val="en-US" w:eastAsia="zh-CN"/>
                    </w:rPr>
                    <w:t>固废总数量</w:t>
                  </w:r>
                  <w:r>
                    <w:rPr>
                      <w:rFonts w:hint="default" w:ascii="宋体" w:hAnsi="宋体" w:eastAsia="宋体" w:cs="Times New Roman"/>
                      <w:color w:val="0000FF"/>
                      <w:sz w:val="18"/>
                      <w:szCs w:val="18"/>
                      <w:lang w:val="en-US" w:eastAsia="zh-CN"/>
                    </w:rPr>
                    <w:t>×100%</w:t>
                  </w:r>
                </w:p>
              </w:tc>
              <w:tc>
                <w:tcPr>
                  <w:tcW w:w="1432" w:type="dxa"/>
                  <w:shd w:val="clear" w:color="auto" w:fill="auto"/>
                  <w:vAlign w:val="center"/>
                </w:tcPr>
                <w:p>
                  <w:pPr>
                    <w:spacing w:line="340" w:lineRule="exact"/>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89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重大安全责任事故为：0；</w:t>
                  </w:r>
                </w:p>
              </w:tc>
              <w:tc>
                <w:tcPr>
                  <w:tcW w:w="825" w:type="dxa"/>
                  <w:shd w:val="clear" w:color="auto" w:fill="auto"/>
                  <w:vAlign w:val="center"/>
                </w:tcPr>
                <w:p>
                  <w:pPr>
                    <w:spacing w:line="40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spacing w:line="400" w:lineRule="exact"/>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432" w:type="dxa"/>
                  <w:shd w:val="clear" w:color="auto" w:fill="auto"/>
                  <w:vAlign w:val="center"/>
                </w:tcPr>
                <w:p>
                  <w:pPr>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各部门</w:t>
                  </w:r>
                </w:p>
              </w:tc>
              <w:tc>
                <w:tcPr>
                  <w:tcW w:w="1896" w:type="dxa"/>
                  <w:shd w:val="clear" w:color="auto" w:fill="auto"/>
                  <w:vAlign w:val="center"/>
                </w:tcPr>
                <w:p>
                  <w:pPr>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火灾、触电事故发生率为： 0</w:t>
                  </w:r>
                </w:p>
              </w:tc>
              <w:tc>
                <w:tcPr>
                  <w:tcW w:w="825" w:type="dxa"/>
                  <w:shd w:val="clear" w:color="auto" w:fill="auto"/>
                  <w:vAlign w:val="center"/>
                </w:tcPr>
                <w:p>
                  <w:pPr>
                    <w:spacing w:line="400" w:lineRule="exact"/>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spacing w:line="400" w:lineRule="exact"/>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统计次数</w:t>
                  </w:r>
                </w:p>
              </w:tc>
              <w:tc>
                <w:tcPr>
                  <w:tcW w:w="1432"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各部门</w:t>
                  </w:r>
                </w:p>
              </w:tc>
              <w:tc>
                <w:tcPr>
                  <w:tcW w:w="1896" w:type="dxa"/>
                  <w:shd w:val="clear" w:color="auto" w:fill="auto"/>
                  <w:vAlign w:val="center"/>
                </w:tcPr>
                <w:p>
                  <w:pPr>
                    <w:spacing w:line="340" w:lineRule="exact"/>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废水合规排放；</w:t>
                  </w:r>
                </w:p>
              </w:tc>
              <w:tc>
                <w:tcPr>
                  <w:tcW w:w="825"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olor w:val="0000FF"/>
                      <w:sz w:val="18"/>
                      <w:szCs w:val="18"/>
                      <w:highlight w:val="none"/>
                      <w:lang w:val="en-US" w:eastAsia="zh-CN"/>
                    </w:rPr>
                    <w:t>季度</w:t>
                  </w:r>
                </w:p>
              </w:tc>
              <w:tc>
                <w:tcPr>
                  <w:tcW w:w="2285" w:type="dxa"/>
                  <w:shd w:val="clear" w:color="auto" w:fill="auto"/>
                  <w:vAlign w:val="center"/>
                </w:tcPr>
                <w:p>
                  <w:pPr>
                    <w:rPr>
                      <w:rFonts w:hint="eastAsia" w:ascii="宋体" w:hAnsi="宋体" w:eastAsia="宋体" w:cs="宋体"/>
                      <w:color w:val="0000FF"/>
                      <w:kern w:val="2"/>
                      <w:sz w:val="18"/>
                      <w:szCs w:val="18"/>
                      <w:highlight w:val="none"/>
                      <w:lang w:val="en-US" w:eastAsia="zh-CN" w:bidi="ar-SA"/>
                    </w:rPr>
                  </w:pPr>
                  <w:r>
                    <w:rPr>
                      <w:rFonts w:hint="eastAsia" w:ascii="宋体" w:hAnsi="宋体" w:cs="宋体"/>
                      <w:color w:val="0000FF"/>
                      <w:kern w:val="2"/>
                      <w:sz w:val="18"/>
                      <w:szCs w:val="18"/>
                      <w:highlight w:val="none"/>
                      <w:lang w:val="en-US" w:eastAsia="zh-CN" w:bidi="ar-SA"/>
                    </w:rPr>
                    <w:t>餐饮废水达标排放</w:t>
                  </w:r>
                </w:p>
              </w:tc>
              <w:tc>
                <w:tcPr>
                  <w:tcW w:w="1432"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896"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28"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油烟达标排放；</w:t>
                  </w:r>
                </w:p>
              </w:tc>
              <w:tc>
                <w:tcPr>
                  <w:tcW w:w="825"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季度</w:t>
                  </w:r>
                </w:p>
              </w:tc>
              <w:tc>
                <w:tcPr>
                  <w:tcW w:w="2285"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0000FF"/>
                      <w:kern w:val="2"/>
                      <w:sz w:val="18"/>
                      <w:szCs w:val="18"/>
                      <w:highlight w:val="none"/>
                      <w:lang w:val="en-US" w:eastAsia="zh-CN" w:bidi="ar-SA"/>
                    </w:rPr>
                  </w:pPr>
                  <w:r>
                    <w:rPr>
                      <w:rFonts w:hint="eastAsia" w:ascii="宋体" w:hAnsi="宋体" w:eastAsia="宋体" w:cs="Times New Roman"/>
                      <w:color w:val="0000FF"/>
                      <w:kern w:val="2"/>
                      <w:sz w:val="18"/>
                      <w:szCs w:val="18"/>
                      <w:highlight w:val="none"/>
                      <w:lang w:val="en-US" w:eastAsia="zh-CN" w:bidi="ar-SA"/>
                    </w:rPr>
                    <w:t>按（餐饮业油烟污染物排放标准）标准达标排放</w:t>
                  </w:r>
                </w:p>
              </w:tc>
              <w:tc>
                <w:tcPr>
                  <w:tcW w:w="1432"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生产部</w:t>
                  </w:r>
                </w:p>
              </w:tc>
              <w:tc>
                <w:tcPr>
                  <w:tcW w:w="1896" w:type="dxa"/>
                  <w:shd w:val="clear" w:color="auto" w:fill="auto"/>
                  <w:vAlign w:val="center"/>
                </w:tcPr>
                <w:p>
                  <w:pPr>
                    <w:jc w:val="center"/>
                    <w:rPr>
                      <w:rFonts w:hint="eastAsia" w:ascii="宋体" w:hAnsi="宋体" w:eastAsia="宋体" w:cs="Times New Roman"/>
                      <w:color w:val="0000FF"/>
                      <w:kern w:val="2"/>
                      <w:sz w:val="18"/>
                      <w:szCs w:val="18"/>
                      <w:highlight w:val="none"/>
                      <w:lang w:val="en-US" w:eastAsia="zh-CN" w:bidi="ar-SA"/>
                    </w:rPr>
                  </w:pPr>
                  <w:r>
                    <w:rPr>
                      <w:rFonts w:hint="eastAsia" w:ascii="宋体" w:hAnsi="宋体" w:cs="Times New Roman"/>
                      <w:color w:val="0000FF"/>
                      <w:kern w:val="2"/>
                      <w:sz w:val="18"/>
                      <w:szCs w:val="18"/>
                      <w:highlight w:val="none"/>
                      <w:lang w:val="en-US" w:eastAsia="zh-CN" w:bidi="ar-SA"/>
                    </w:rPr>
                    <w:t>100%</w:t>
                  </w:r>
                </w:p>
              </w:tc>
            </w:tr>
          </w:tbl>
          <w:p>
            <w:pPr>
              <w:pStyle w:val="7"/>
              <w:rPr>
                <w:rFonts w:hint="eastAsia"/>
                <w:highlight w:val="none"/>
              </w:rPr>
            </w:pPr>
          </w:p>
          <w:p>
            <w:pPr>
              <w:pStyle w:val="14"/>
            </w:pPr>
          </w:p>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无</w:t>
            </w:r>
          </w:p>
          <w:p>
            <w:pPr>
              <w:pStyle w:val="7"/>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91" w:type="dxa"/>
            <w:vMerge w:val="restart"/>
            <w:shd w:val="clear" w:color="auto" w:fill="auto"/>
          </w:tcPr>
          <w:p>
            <w:r>
              <w:rPr>
                <w:rFonts w:hint="eastAsia"/>
              </w:rPr>
              <w:t>资源（总则）</w:t>
            </w:r>
          </w:p>
        </w:tc>
        <w:tc>
          <w:tcPr>
            <w:tcW w:w="1040"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7"/>
              <w:rPr>
                <w:rFonts w:hint="eastAsia"/>
                <w:color w:val="000000"/>
                <w:sz w:val="21"/>
                <w:szCs w:val="21"/>
                <w:lang w:val="en-US" w:eastAsia="zh-CN"/>
              </w:rPr>
            </w:pPr>
            <w:r>
              <w:rPr>
                <w:rFonts w:hint="eastAsia"/>
                <w:color w:val="000000"/>
                <w:sz w:val="21"/>
                <w:szCs w:val="21"/>
                <w:lang w:val="en-US" w:eastAsia="zh-CN"/>
              </w:rPr>
              <w:t>E7.1</w:t>
            </w:r>
          </w:p>
          <w:p>
            <w:pPr>
              <w:pStyle w:val="7"/>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rPr>
                <w:highlight w:val="none"/>
              </w:rPr>
            </w:pPr>
            <w:r>
              <w:rPr>
                <w:rFonts w:hint="eastAsia"/>
                <w:highlight w:val="none"/>
                <w:lang w:val="en-US" w:eastAsia="zh-CN"/>
              </w:rPr>
              <w:t>公司占地面积约</w:t>
            </w:r>
            <w:r>
              <w:rPr>
                <w:rFonts w:hint="eastAsia"/>
                <w:highlight w:val="none"/>
                <w:u w:val="single"/>
                <w:lang w:val="en-US" w:eastAsia="zh-CN"/>
              </w:rPr>
              <w:t>1800平方米</w:t>
            </w:r>
            <w:r>
              <w:rPr>
                <w:rFonts w:hint="eastAsia"/>
                <w:highlight w:val="none"/>
                <w:lang w:val="en-US" w:eastAsia="zh-CN"/>
              </w:rPr>
              <w:t>，厂房</w:t>
            </w: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1029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化验室</w:t>
            </w:r>
            <w:r>
              <w:rPr>
                <w:rFonts w:hint="eastAsia"/>
                <w:highlight w:val="none"/>
              </w:rPr>
              <w:t xml:space="preserve"> </w:t>
            </w:r>
            <w:r>
              <w:rPr>
                <w:rFonts w:hint="eastAsia"/>
                <w:highlight w:val="none"/>
                <w:u w:val="single"/>
                <w:lang w:val="en-US" w:eastAsia="zh-CN"/>
              </w:rPr>
              <w:t>1</w:t>
            </w:r>
            <w:r>
              <w:rPr>
                <w:rFonts w:hint="eastAsia"/>
                <w:highlight w:val="none"/>
              </w:rPr>
              <w:t>个</w:t>
            </w:r>
            <w:r>
              <w:rPr>
                <w:rFonts w:hint="eastAsia"/>
                <w:highlight w:val="none"/>
                <w:lang w:eastAsia="zh-CN"/>
              </w:rPr>
              <w:t>；</w:t>
            </w:r>
            <w:r>
              <w:rPr>
                <w:rFonts w:hint="eastAsia"/>
                <w:highlight w:val="none"/>
                <w:lang w:val="en-US" w:eastAsia="zh-CN"/>
              </w:rPr>
              <w:t>配送车</w:t>
            </w:r>
            <w:r>
              <w:rPr>
                <w:rFonts w:hint="eastAsia"/>
                <w:highlight w:val="none"/>
                <w:u w:val="double"/>
                <w:lang w:val="en-US" w:eastAsia="zh-CN"/>
              </w:rPr>
              <w:t>4</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炒锅、洗碗机高温消毒房、蒸箱、车辆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垃圾桶、油烟机、隔油池、可燃性气体报警控制器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灭火器、消防栓、可燃性气体报警控制器   （列举2~4种）</w:t>
            </w:r>
          </w:p>
          <w:p>
            <w:pPr>
              <w:pStyle w:val="7"/>
              <w:rPr>
                <w:highlight w:val="yellow"/>
              </w:rPr>
            </w:pPr>
          </w:p>
          <w:p>
            <w:pPr>
              <w:pStyle w:val="7"/>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yellow"/>
              </w:rPr>
            </w:pPr>
          </w:p>
          <w:p>
            <w:pPr>
              <w:pStyle w:val="7"/>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7"/>
              <w:rPr>
                <w:rFonts w:hint="default"/>
                <w:color w:val="000000"/>
                <w:szCs w:val="21"/>
                <w:highlight w:val="none"/>
                <w:lang w:val="en-US" w:eastAsia="zh-CN"/>
              </w:rPr>
            </w:pPr>
          </w:p>
          <w:p>
            <w:pPr>
              <w:numPr>
                <w:ilvl w:val="0"/>
                <w:numId w:val="6"/>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4"/>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产品</w:t>
            </w:r>
            <w:r>
              <w:rPr>
                <w:rFonts w:hint="eastAsia"/>
                <w:color w:val="000000"/>
                <w:u w:val="single"/>
                <w:lang w:val="en-US" w:eastAsia="zh-CN"/>
              </w:rPr>
              <w:t xml:space="preserve">第三方检测、厨余垃圾清运 </w:t>
            </w:r>
          </w:p>
          <w:p>
            <w:pPr>
              <w:numPr>
                <w:ilvl w:val="0"/>
                <w:numId w:val="5"/>
              </w:numPr>
            </w:pPr>
            <w:r>
              <w:rPr>
                <w:rFonts w:hint="eastAsia"/>
                <w:highlight w:val="none"/>
                <w:u w:val="single"/>
                <w:lang w:val="en-US" w:eastAsia="zh-CN"/>
              </w:rPr>
              <w:t xml:space="preserve"> 厂房为租赁，租赁合同编号：S.ZJ-PR-20211102，有效期：2022年1月4日至2027年1月3日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r>
              <w:rPr>
                <w:rFonts w:hint="eastAsia"/>
              </w:rPr>
              <w:t xml:space="preserve">沟通  </w:t>
            </w:r>
          </w:p>
        </w:tc>
        <w:tc>
          <w:tcPr>
            <w:tcW w:w="1040" w:type="dxa"/>
            <w:vMerge w:val="restart"/>
            <w:shd w:val="clear" w:color="auto" w:fill="auto"/>
          </w:tcPr>
          <w:p>
            <w:r>
              <w:rPr>
                <w:rFonts w:hint="eastAsia"/>
              </w:rPr>
              <w:t>Q</w:t>
            </w:r>
            <w:r>
              <w:rPr>
                <w:rFonts w:hint="eastAsia"/>
                <w:lang w:val="en-US" w:eastAsia="zh-CN"/>
              </w:rPr>
              <w:t>EOF</w:t>
            </w:r>
            <w:r>
              <w:rPr>
                <w:rFonts w:hint="eastAsia"/>
              </w:rPr>
              <w:t>7.4</w:t>
            </w:r>
          </w:p>
          <w:p>
            <w:pPr>
              <w:pStyle w:val="14"/>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管理手册第7.4章、</w:t>
            </w:r>
            <w:r>
              <w:rPr/>
              <w:sym w:font="Wingdings" w:char="00FE"/>
            </w:r>
            <w:r>
              <w:rPr>
                <w:rFonts w:hint="eastAsia"/>
              </w:rPr>
              <w:t>《</w:t>
            </w:r>
            <w:r>
              <w:rPr>
                <w:rFonts w:hint="eastAsia"/>
                <w:lang w:val="en-US" w:eastAsia="zh-CN"/>
              </w:rPr>
              <w:t>内外部</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w:t>
            </w:r>
            <w:r>
              <w:rPr>
                <w:rFonts w:hint="eastAsia"/>
                <w:lang w:val="en-US" w:eastAsia="zh-CN"/>
              </w:rPr>
              <w:t>运营部</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A3"/>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restart"/>
            <w:shd w:val="clear" w:color="auto" w:fill="auto"/>
          </w:tcPr>
          <w:p>
            <w:pPr>
              <w:shd w:val="clear"/>
            </w:pPr>
            <w:r>
              <w:rPr>
                <w:rFonts w:hint="eastAsia"/>
              </w:rPr>
              <w:t>文件要求</w:t>
            </w: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2"/>
              <w:ind w:left="0" w:leftChars="0" w:firstLine="0" w:firstLineChars="0"/>
              <w:rPr>
                <w:rFonts w:hint="eastAsia"/>
                <w:lang w:val="en-US" w:eastAsia="zh-CN"/>
              </w:rPr>
            </w:pPr>
            <w:r>
              <w:rPr>
                <w:rFonts w:hint="eastAsia"/>
                <w:lang w:val="en-US" w:eastAsia="zh-CN"/>
              </w:rPr>
              <w:t>E7.5.1</w:t>
            </w:r>
          </w:p>
          <w:p>
            <w:pPr>
              <w:pStyle w:val="2"/>
              <w:ind w:left="0" w:leftChars="0" w:firstLine="0" w:firstLineChars="0"/>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14"/>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lang w:val="en-US" w:eastAsia="zh-CN"/>
              </w:rPr>
              <w:t>见</w:t>
            </w:r>
            <w:r>
              <w:rPr>
                <w:rFonts w:hint="eastAsia"/>
                <w:u w:val="single"/>
              </w:rPr>
              <w:t>《管理手册》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w:t>
            </w:r>
            <w:r>
              <w:rPr>
                <w:rFonts w:hint="eastAsia"/>
                <w:lang w:val="en-US" w:eastAsia="zh-CN"/>
              </w:rPr>
              <w:t>各类制度</w:t>
            </w:r>
            <w:r>
              <w:rPr>
                <w:rFonts w:hint="eastAsia"/>
              </w:rPr>
              <w:t>）</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2"/>
              <w:ind w:left="0" w:leftChars="0" w:firstLine="0" w:firstLineChars="0"/>
              <w:rPr>
                <w:rFonts w:hint="eastAsia"/>
                <w:lang w:val="en-US" w:eastAsia="zh-CN"/>
              </w:rPr>
            </w:pPr>
            <w:r>
              <w:rPr>
                <w:rFonts w:hint="eastAsia"/>
                <w:lang w:val="en-US" w:eastAsia="zh-CN"/>
              </w:rPr>
              <w:t>E7.5.1</w:t>
            </w:r>
          </w:p>
          <w:p>
            <w:pPr>
              <w:pStyle w:val="2"/>
              <w:ind w:left="0" w:leftChars="0" w:firstLine="0" w:firstLineChars="0"/>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 xml:space="preserve">1.2.2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lang w:eastAsia="zh-CN"/>
              </w:rPr>
              <w:t>——</w:t>
            </w:r>
            <w:r>
              <w:rPr>
                <w:rFonts w:hint="eastAsia"/>
                <w:lang w:val="en-US" w:eastAsia="zh-CN"/>
              </w:rPr>
              <w:t>见4.3条款范围描述</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4"/>
              <w:shd w:val="clear"/>
              <w:adjustRightInd w:val="0"/>
              <w:snapToGrid w:val="0"/>
              <w:spacing w:line="360" w:lineRule="auto"/>
              <w:rPr>
                <w:rFonts w:hint="default"/>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产品</w:t>
            </w:r>
            <w:r>
              <w:rPr>
                <w:rFonts w:hint="eastAsia"/>
                <w:color w:val="000000"/>
                <w:u w:val="single"/>
                <w:lang w:val="en-US" w:eastAsia="zh-CN"/>
              </w:rPr>
              <w:t xml:space="preserve">第三方检测、厨余垃圾清运  </w:t>
            </w:r>
          </w:p>
          <w:p>
            <w:pPr>
              <w:pStyle w:val="14"/>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1991" w:type="dxa"/>
            <w:vMerge w:val="restart"/>
            <w:shd w:val="clear" w:color="auto" w:fill="auto"/>
          </w:tcPr>
          <w:p>
            <w:pPr>
              <w:shd w:val="clear"/>
            </w:pPr>
            <w:r>
              <w:rPr>
                <w:rFonts w:hint="eastAsia"/>
              </w:rPr>
              <w:t>运行的策划和控制</w:t>
            </w:r>
          </w:p>
        </w:tc>
        <w:tc>
          <w:tcPr>
            <w:tcW w:w="1040" w:type="dxa"/>
            <w:vMerge w:val="restart"/>
            <w:shd w:val="clear" w:color="auto" w:fill="auto"/>
          </w:tcPr>
          <w:p>
            <w:pPr>
              <w:shd w:val="clear"/>
            </w:pPr>
            <w:r>
              <w:rPr>
                <w:rFonts w:hint="eastAsia"/>
              </w:rPr>
              <w:t xml:space="preserve">Q8.1 </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A8"/>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991" w:type="dxa"/>
            <w:vMerge w:val="continue"/>
            <w:shd w:val="clear" w:color="auto" w:fill="auto"/>
          </w:tcPr>
          <w:p>
            <w:pPr>
              <w:shd w:val="clear"/>
            </w:pPr>
          </w:p>
        </w:tc>
        <w:tc>
          <w:tcPr>
            <w:tcW w:w="1040"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为满足产品和服务提供的要求，所确定的措施，组织通过以下措施对所需的过程进行策划、实施和控制：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eastAsia"/>
                      <w:lang w:val="en-US" w:eastAsia="zh-CN"/>
                    </w:rPr>
                    <w:t>集体用餐配送（热食类食品制售）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54</w:t>
                  </w:r>
                  <w:r>
                    <w:rPr>
                      <w:rFonts w:hint="eastAsia"/>
                      <w:highlight w:val="none"/>
                    </w:rPr>
                    <w:t>-20</w:t>
                  </w:r>
                  <w:r>
                    <w:rPr>
                      <w:rFonts w:hint="eastAsia"/>
                      <w:highlight w:val="none"/>
                      <w:lang w:val="en-US" w:eastAsia="zh-CN"/>
                    </w:rPr>
                    <w:t>21</w:t>
                  </w:r>
                  <w:r>
                    <w:rPr>
                      <w:rFonts w:hint="eastAsia"/>
                      <w:highlight w:val="none"/>
                    </w:rPr>
                    <w:t>、</w:t>
                  </w:r>
                  <w:r>
                    <w:rPr>
                      <w:rFonts w:hint="eastAsia"/>
                      <w:highlight w:val="none"/>
                      <w:lang w:eastAsia="zh-CN"/>
                    </w:rPr>
                    <w:t>《</w:t>
                  </w:r>
                  <w:r>
                    <w:rPr>
                      <w:rFonts w:hint="eastAsia"/>
                      <w:highlight w:val="none"/>
                      <w:lang w:val="en-US" w:eastAsia="zh-CN"/>
                    </w:rPr>
                    <w:t>餐饮服务操作规范</w:t>
                  </w:r>
                  <w:r>
                    <w:rPr>
                      <w:rFonts w:hint="eastAsia"/>
                      <w:highlight w:val="none"/>
                      <w:lang w:eastAsia="zh-CN"/>
                    </w:rPr>
                    <w:t>》</w:t>
                  </w:r>
                  <w:r>
                    <w:rPr>
                      <w:rFonts w:hint="eastAsia"/>
                      <w:highlight w:val="none"/>
                      <w:lang w:val="en-US" w:eastAsia="zh-CN"/>
                    </w:rPr>
                    <w:t>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lang w:val="en-US" w:eastAsia="zh-CN"/>
                    </w:rPr>
                  </w:pPr>
                  <w:r>
                    <w:rPr>
                      <w:rFonts w:hint="eastAsia"/>
                    </w:rPr>
                    <w:t>有流程图、</w:t>
                  </w:r>
                  <w:r>
                    <w:rPr>
                      <w:rFonts w:hint="eastAsia"/>
                      <w:lang w:val="en-US" w:eastAsia="zh-CN"/>
                    </w:rPr>
                    <w:t>各类</w:t>
                  </w:r>
                  <w:r>
                    <w:rPr>
                      <w:rFonts w:hint="eastAsia"/>
                    </w:rPr>
                    <w:t>管理制度</w:t>
                  </w:r>
                  <w:r>
                    <w:rPr>
                      <w:rFonts w:hint="eastAsia"/>
                      <w:lang w:eastAsia="zh-CN"/>
                    </w:rPr>
                    <w:t>、</w:t>
                  </w:r>
                  <w:r>
                    <w:rPr>
                      <w:rFonts w:hint="eastAsia"/>
                      <w:lang w:val="en-US" w:eastAsia="zh-CN"/>
                    </w:rPr>
                    <w:t>危害控制计划、前提方案等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餐食烧熟煮透及中心温度、餐具洗消、配送过程等；</w:t>
                  </w:r>
                </w:p>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rPr>
                      <w:rFonts w:hint="default" w:eastAsia="宋体"/>
                      <w:lang w:val="en-US" w:eastAsia="zh-CN"/>
                    </w:rPr>
                  </w:pPr>
                  <w:r>
                    <w:rPr>
                      <w:rFonts w:hint="eastAsia"/>
                      <w:lang w:val="en-US" w:eastAsia="zh-CN"/>
                    </w:rPr>
                    <w:t>审核周期内未发生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4"/>
                    <w:shd w:val="clear"/>
                    <w:adjustRightInd w:val="0"/>
                    <w:snapToGrid w:val="0"/>
                    <w:spacing w:line="360" w:lineRule="auto"/>
                    <w:rPr>
                      <w:rFonts w:hint="default" w:eastAsia="宋体"/>
                      <w:highlight w:val="yellow"/>
                      <w:lang w:val="en-US" w:eastAsia="zh-CN"/>
                    </w:rPr>
                  </w:pPr>
                  <w:r>
                    <w:rPr>
                      <w:rFonts w:hint="eastAsia"/>
                      <w:color w:val="000000"/>
                      <w:u w:val="none"/>
                      <w:lang w:val="en-US" w:eastAsia="zh-CN"/>
                    </w:rPr>
                    <w:t>产品第三方检测、厨余垃圾清运</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91" w:type="dxa"/>
            <w:vMerge w:val="restart"/>
            <w:shd w:val="clear" w:color="auto" w:fill="auto"/>
          </w:tcPr>
          <w:p>
            <w:pPr>
              <w:shd w:val="clear"/>
              <w:rPr>
                <w:highlight w:val="none"/>
              </w:rPr>
            </w:pPr>
            <w:r>
              <w:rPr>
                <w:rFonts w:hint="eastAsia"/>
                <w:highlight w:val="none"/>
              </w:rPr>
              <w:t>运行策划和控制</w:t>
            </w:r>
          </w:p>
        </w:tc>
        <w:tc>
          <w:tcPr>
            <w:tcW w:w="1040"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7"/>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/良好卫生规范/SSOP</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7"/>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餐食加工制作配送</w:t>
            </w:r>
            <w:r>
              <w:rPr>
                <w:rFonts w:hint="eastAsia"/>
                <w:highlight w:val="none"/>
                <w:u w:val="single"/>
              </w:rPr>
              <w:t>过程</w:t>
            </w:r>
            <w:r>
              <w:rPr>
                <w:rFonts w:hint="eastAsia"/>
                <w:highlight w:val="none"/>
                <w:u w:val="single"/>
                <w:lang w:eastAsia="zh-CN"/>
              </w:rPr>
              <w:t>《</w:t>
            </w:r>
            <w:r>
              <w:rPr>
                <w:rFonts w:hint="eastAsia"/>
                <w:highlight w:val="none"/>
                <w:u w:val="single"/>
              </w:rPr>
              <w:t>控制记录</w:t>
            </w:r>
            <w:r>
              <w:rPr>
                <w:rFonts w:hint="eastAsia"/>
                <w:highlight w:val="none"/>
                <w:u w:val="single"/>
                <w:lang w:eastAsia="zh-CN"/>
              </w:rPr>
              <w:t>》</w:t>
            </w:r>
            <w:r>
              <w:rPr>
                <w:rFonts w:hint="eastAsia"/>
                <w:highlight w:val="none"/>
                <w:u w:val="single"/>
              </w:rPr>
              <w:t>和</w:t>
            </w:r>
            <w:r>
              <w:rPr>
                <w:rFonts w:hint="eastAsia"/>
                <w:highlight w:val="none"/>
                <w:u w:val="single"/>
                <w:lang w:eastAsia="zh-CN"/>
              </w:rPr>
              <w:t>《</w:t>
            </w:r>
            <w:r>
              <w:rPr>
                <w:rFonts w:hint="eastAsia"/>
                <w:highlight w:val="none"/>
                <w:u w:val="single"/>
              </w:rPr>
              <w:t>检查记录</w:t>
            </w:r>
            <w:r>
              <w:rPr>
                <w:rFonts w:hint="eastAsia"/>
                <w:highlight w:val="none"/>
                <w:u w:val="single"/>
                <w:lang w:eastAsia="zh-CN"/>
              </w:rPr>
              <w:t>》</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产品第三方检测、厨余垃圾清运</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040" w:type="dxa"/>
            <w:vMerge w:val="restart"/>
            <w:shd w:val="clear" w:color="auto" w:fill="auto"/>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SSOP</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4"/>
              <w:shd w:val="clear"/>
              <w:rPr>
                <w:rFonts w:hint="eastAsia"/>
                <w:highlight w:val="none"/>
                <w:u w:val="single"/>
                <w:lang w:val="en-US" w:eastAsia="zh-CN"/>
              </w:rPr>
            </w:pPr>
            <w:r>
              <w:rPr>
                <w:rFonts w:hint="eastAsia"/>
                <w:highlight w:val="none"/>
                <w:u w:val="single"/>
                <w:lang w:val="en-US" w:eastAsia="zh-CN"/>
              </w:rPr>
              <w:t>见1.2.3审核记录</w:t>
            </w:r>
          </w:p>
          <w:p>
            <w:pPr>
              <w:pStyle w:val="14"/>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原管理控制程序》、《预防和消除食品欺诈控制程序》等程序文件，基本满足标准中有关前提计划的要求，详见“H3.2至H3.13的审核记录”，</w:t>
            </w:r>
            <w:r>
              <w:rPr>
                <w:rFonts w:hint="eastAsia"/>
                <w:color w:val="0000FF"/>
                <w:highlight w:val="none"/>
                <w:u w:val="single"/>
                <w:lang w:val="en-US" w:eastAsia="zh-CN"/>
              </w:rPr>
              <w:t>——实施见各门审核记录</w:t>
            </w:r>
          </w:p>
        </w:tc>
        <w:tc>
          <w:tcPr>
            <w:tcW w:w="1585" w:type="dxa"/>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91"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14"/>
              <w:rPr>
                <w:rFonts w:hint="eastAsia"/>
                <w:highlight w:val="none"/>
                <w:lang w:val="en-US" w:eastAsia="zh-CN"/>
              </w:rPr>
            </w:pPr>
            <w:r>
              <w:rPr>
                <w:rFonts w:hint="eastAsia"/>
                <w:highlight w:val="none"/>
                <w:lang w:val="en-US" w:eastAsia="zh-CN"/>
              </w:rPr>
              <w:t>E 8.2</w:t>
            </w:r>
          </w:p>
          <w:p>
            <w:pPr>
              <w:pStyle w:val="14"/>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FE"/>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91" w:type="dxa"/>
            <w:vMerge w:val="continue"/>
            <w:shd w:val="clear" w:color="auto" w:fill="auto"/>
          </w:tcPr>
          <w:p>
            <w:pPr>
              <w:shd w:val="clear"/>
              <w:rPr>
                <w:highlight w:val="none"/>
              </w:rPr>
            </w:pPr>
          </w:p>
        </w:tc>
        <w:tc>
          <w:tcPr>
            <w:tcW w:w="1040"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spacing w:line="360" w:lineRule="auto"/>
              <w:rPr>
                <w:highlight w:val="none"/>
              </w:rPr>
            </w:pPr>
            <w:r>
              <w:rPr>
                <w:rFonts w:hint="eastAsia"/>
                <w:highlight w:val="none"/>
                <w:u w:val="single"/>
                <w:lang w:val="en-US" w:eastAsia="zh-CN"/>
              </w:rPr>
              <w:t>经询问了解：审核周期内未发生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公司已建立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并且由总经理牵头组织进行演练，具体“见生产部审核记录”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监视、测量、分析和评价</w:t>
            </w:r>
          </w:p>
        </w:tc>
        <w:tc>
          <w:tcPr>
            <w:tcW w:w="1040"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2"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541"/>
              <w:gridCol w:w="213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541" w:type="dxa"/>
                </w:tcPr>
                <w:p>
                  <w:pPr>
                    <w:rPr>
                      <w:szCs w:val="21"/>
                    </w:rPr>
                  </w:pPr>
                  <w:r>
                    <w:rPr>
                      <w:rFonts w:hint="eastAsia"/>
                      <w:szCs w:val="21"/>
                    </w:rPr>
                    <w:t>监视和测量的频次和时机</w:t>
                  </w:r>
                </w:p>
              </w:tc>
              <w:tc>
                <w:tcPr>
                  <w:tcW w:w="2135"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8"/>
                    </w:numPr>
                    <w:rPr>
                      <w:rFonts w:hint="eastAsia"/>
                      <w:lang w:val="en-US" w:eastAsia="zh-CN"/>
                    </w:rPr>
                  </w:pPr>
                  <w:r>
                    <w:rPr>
                      <w:rFonts w:hint="eastAsia"/>
                      <w:lang w:val="en-US" w:eastAsia="zh-CN"/>
                    </w:rPr>
                    <w:t>水质：每年委托</w:t>
                  </w:r>
                  <w:r>
                    <w:rPr>
                      <w:rFonts w:hint="eastAsia"/>
                    </w:rPr>
                    <w:t>第三方</w:t>
                  </w:r>
                  <w:r>
                    <w:rPr>
                      <w:rFonts w:hint="eastAsia"/>
                      <w:lang w:val="en-US" w:eastAsia="zh-CN"/>
                    </w:rPr>
                    <w:t>进行水质监测</w:t>
                  </w:r>
                </w:p>
                <w:p>
                  <w:pPr>
                    <w:numPr>
                      <w:ilvl w:val="0"/>
                      <w:numId w:val="8"/>
                    </w:numPr>
                    <w:rPr>
                      <w:rFonts w:hint="default"/>
                      <w:lang w:val="en-US" w:eastAsia="zh-CN"/>
                    </w:rPr>
                  </w:pPr>
                  <w:r>
                    <w:rPr>
                      <w:rFonts w:hint="eastAsia"/>
                      <w:lang w:val="en-US" w:eastAsia="zh-CN"/>
                    </w:rPr>
                    <w:t>餐食每年委托外部第三方进行检测</w:t>
                  </w:r>
                </w:p>
                <w:p>
                  <w:pPr>
                    <w:numPr>
                      <w:ilvl w:val="0"/>
                      <w:numId w:val="8"/>
                    </w:numPr>
                    <w:rPr>
                      <w:rFonts w:hint="default"/>
                      <w:lang w:val="en-US" w:eastAsia="zh-CN"/>
                    </w:rPr>
                  </w:pPr>
                  <w:r>
                    <w:rPr>
                      <w:rFonts w:hint="eastAsia"/>
                      <w:lang w:val="en-US" w:eastAsia="zh-CN"/>
                    </w:rPr>
                    <w:t>一次性餐具索取产品的外检报告；</w:t>
                  </w:r>
                </w:p>
                <w:p>
                  <w:pPr>
                    <w:pStyle w:val="2"/>
                    <w:numPr>
                      <w:ilvl w:val="0"/>
                      <w:numId w:val="8"/>
                    </w:numPr>
                    <w:ind w:left="0" w:leftChars="0" w:firstLine="0" w:firstLineChars="0"/>
                    <w:rPr>
                      <w:rFonts w:hint="default"/>
                      <w:lang w:val="en-US" w:eastAsia="zh-CN"/>
                    </w:rPr>
                  </w:pPr>
                  <w:r>
                    <w:rPr>
                      <w:rFonts w:hint="eastAsia"/>
                      <w:sz w:val="21"/>
                      <w:szCs w:val="21"/>
                      <w:lang w:val="en-US" w:eastAsia="zh-CN"/>
                    </w:rPr>
                    <w:t>餐具每年委托第三方检测</w:t>
                  </w:r>
                </w:p>
              </w:tc>
              <w:tc>
                <w:tcPr>
                  <w:tcW w:w="1541"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135" w:type="dxa"/>
                </w:tcPr>
                <w:p>
                  <w:pPr>
                    <w:rPr>
                      <w:rFonts w:hint="eastAsia"/>
                      <w:szCs w:val="21"/>
                      <w:lang w:val="en-US" w:eastAsia="zh-CN"/>
                    </w:rPr>
                  </w:pPr>
                  <w:r>
                    <w:rPr>
                      <w:rFonts w:hint="eastAsia"/>
                      <w:szCs w:val="21"/>
                      <w:lang w:val="en-US" w:eastAsia="zh-CN"/>
                    </w:rPr>
                    <w:t>GB 5749-2006</w:t>
                  </w:r>
                </w:p>
                <w:p>
                  <w:pPr>
                    <w:pStyle w:val="2"/>
                    <w:ind w:left="0" w:leftChars="0" w:firstLine="0" w:firstLineChars="0"/>
                    <w:rPr>
                      <w:rFonts w:hint="default"/>
                      <w:lang w:val="en-US" w:eastAsia="zh-CN"/>
                    </w:rPr>
                  </w:pPr>
                  <w:r>
                    <w:rPr>
                      <w:rFonts w:hint="eastAsia"/>
                      <w:szCs w:val="21"/>
                      <w:lang w:val="en-US" w:eastAsia="zh-CN"/>
                    </w:rPr>
                    <w:t>GB 14934</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14"/>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541"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135" w:type="dxa"/>
                </w:tcPr>
                <w:p>
                  <w:pPr>
                    <w:rPr>
                      <w:rFonts w:hint="default" w:eastAsia="宋体"/>
                      <w:szCs w:val="21"/>
                      <w:lang w:val="en-US" w:eastAsia="zh-CN"/>
                    </w:rPr>
                  </w:pPr>
                  <w:r>
                    <w:rPr>
                      <w:rFonts w:hint="eastAsia"/>
                      <w:szCs w:val="21"/>
                      <w:lang w:val="en-US" w:eastAsia="zh-CN"/>
                    </w:rPr>
                    <w:t>PRP、危害控制计划、操作规程、SSOP等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541"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135" w:type="dxa"/>
                </w:tcPr>
                <w:p>
                  <w:r>
                    <w:rPr>
                      <w:rFonts w:hint="eastAsia"/>
                    </w:rPr>
                    <w:t>GB/T19001-2016</w:t>
                  </w:r>
                </w:p>
                <w:p>
                  <w:pPr>
                    <w:rPr>
                      <w:rFonts w:hint="eastAsia"/>
                    </w:rPr>
                  </w:pPr>
                  <w:r>
                    <w:rPr>
                      <w:rFonts w:hint="eastAsia"/>
                    </w:rPr>
                    <w:t>ISO22000：2018</w:t>
                  </w:r>
                </w:p>
                <w:p>
                  <w:pPr>
                    <w:pStyle w:val="14"/>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541"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135" w:type="dxa"/>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GB/T19001-2016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14"/>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541"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135"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1040" w:type="dxa"/>
            <w:vMerge w:val="restart"/>
            <w:shd w:val="clear" w:color="auto" w:fill="auto"/>
          </w:tcPr>
          <w:p>
            <w:pPr>
              <w:rPr>
                <w:rFonts w:hint="default" w:eastAsia="宋体"/>
                <w:lang w:val="en-US" w:eastAsia="zh-CN"/>
              </w:rPr>
            </w:pPr>
            <w:r>
              <w:rPr>
                <w:rFonts w:hint="eastAsia"/>
                <w:lang w:val="en-US" w:eastAsia="zh-CN"/>
              </w:rPr>
              <w:t>E9.1.1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0"/>
              <w:gridCol w:w="1852"/>
              <w:gridCol w:w="220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lang w:val="en-US" w:eastAsia="zh-CN"/>
                    </w:rPr>
                    <w:t>监视和测量的对象</w:t>
                  </w:r>
                </w:p>
              </w:tc>
              <w:tc>
                <w:tcPr>
                  <w:tcW w:w="2350"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852" w:type="dxa"/>
                </w:tcPr>
                <w:p>
                  <w:pPr>
                    <w:rPr>
                      <w:rFonts w:hint="eastAsia"/>
                      <w:highlight w:val="none"/>
                      <w:lang w:val="en-US" w:eastAsia="zh-CN"/>
                    </w:rPr>
                  </w:pPr>
                  <w:r>
                    <w:rPr>
                      <w:rFonts w:hint="eastAsia"/>
                      <w:highlight w:val="none"/>
                      <w:lang w:val="en-US" w:eastAsia="zh-CN"/>
                    </w:rPr>
                    <w:t>监视和测量的频次和时机</w:t>
                  </w:r>
                </w:p>
              </w:tc>
              <w:tc>
                <w:tcPr>
                  <w:tcW w:w="2208"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1713"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350" w:type="dxa"/>
                </w:tcPr>
                <w:p>
                  <w:pPr>
                    <w:rPr>
                      <w:rFonts w:hint="default"/>
                      <w:highlight w:val="none"/>
                      <w:vertAlign w:val="baseline"/>
                      <w:lang w:val="en-US" w:eastAsia="zh-CN"/>
                    </w:rPr>
                  </w:pPr>
                  <w:r>
                    <w:rPr>
                      <w:rFonts w:hint="eastAsia"/>
                      <w:color w:val="000000"/>
                      <w:szCs w:val="21"/>
                      <w:lang w:eastAsia="zh-CN"/>
                    </w:rPr>
                    <w:sym w:font="Wingdings 2" w:char="0052"/>
                  </w: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对结果的合规性进行分析，运行控制</w:t>
                  </w:r>
                </w:p>
              </w:tc>
              <w:tc>
                <w:tcPr>
                  <w:tcW w:w="1852"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sym w:font="Wingdings 2" w:char="0052"/>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2208"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1713"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350"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852"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220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运行控制相关要求</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sym w:font="Wingdings 2" w:char="0052"/>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350"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852"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2208"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sym w:font="Wingdings 2" w:char="0052"/>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350"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852"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2208" w:type="dxa"/>
                  <w:vAlign w:val="top"/>
                </w:tcPr>
                <w:p>
                  <w:pPr>
                    <w:pStyle w:val="14"/>
                    <w:rPr>
                      <w:rFonts w:hint="eastAsia"/>
                      <w:szCs w:val="21"/>
                      <w:lang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p>
                <w:p>
                  <w:pPr>
                    <w:pStyle w:val="14"/>
                    <w:rPr>
                      <w:rFonts w:hint="eastAsia" w:eastAsia="宋体"/>
                      <w:lang w:val="en-US" w:eastAsia="zh-CN"/>
                    </w:rPr>
                  </w:pPr>
                  <w:r>
                    <w:rPr>
                      <w:rFonts w:hint="eastAsia" w:cs="Times New Roman"/>
                      <w:kern w:val="2"/>
                      <w:sz w:val="21"/>
                      <w:highlight w:val="none"/>
                      <w:vertAlign w:val="baseline"/>
                      <w:lang w:val="en-US" w:eastAsia="zh-CN" w:bidi="ar-SA"/>
                    </w:rPr>
                    <w:t>GB/T24001-2016</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sym w:font="Wingdings 2" w:char="0052"/>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350"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852"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sym w:font="Wingdings 2" w:char="0052"/>
                  </w:r>
                  <w:r>
                    <w:rPr>
                      <w:rFonts w:hint="eastAsia"/>
                      <w:color w:val="000000"/>
                      <w:szCs w:val="21"/>
                      <w:lang w:val="en-US" w:eastAsia="zh-CN"/>
                    </w:rPr>
                    <w:t>随时</w:t>
                  </w:r>
                </w:p>
              </w:tc>
              <w:tc>
                <w:tcPr>
                  <w:tcW w:w="2208"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1713"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52"/>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的规定、运行相关要求</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991" w:type="dxa"/>
            <w:vMerge w:val="restart"/>
            <w:shd w:val="clear" w:color="auto" w:fill="auto"/>
            <w:noWrap w:val="0"/>
            <w:vAlign w:val="top"/>
          </w:tcPr>
          <w:p>
            <w:pPr>
              <w:rPr>
                <w:highlight w:val="none"/>
              </w:rPr>
            </w:pPr>
            <w:r>
              <w:rPr>
                <w:rFonts w:hint="eastAsia"/>
                <w:highlight w:val="none"/>
              </w:rPr>
              <w:t>内部审核</w:t>
            </w:r>
          </w:p>
        </w:tc>
        <w:tc>
          <w:tcPr>
            <w:tcW w:w="1040" w:type="dxa"/>
            <w:vMerge w:val="restart"/>
            <w:shd w:val="clear" w:color="auto" w:fill="auto"/>
            <w:noWrap w:val="0"/>
            <w:vAlign w:val="top"/>
          </w:tcPr>
          <w:p>
            <w:pPr>
              <w:rPr>
                <w:rFonts w:hint="eastAsia"/>
                <w:highlight w:val="none"/>
                <w:lang w:val="en-US" w:eastAsia="zh-CN"/>
              </w:rPr>
            </w:pPr>
            <w:r>
              <w:rPr>
                <w:rFonts w:hint="eastAsia"/>
                <w:highlight w:val="none"/>
                <w:lang w:val="en-US" w:eastAsia="zh-CN"/>
              </w:rPr>
              <w:t>Q9.2</w:t>
            </w:r>
          </w:p>
          <w:p>
            <w:pPr>
              <w:pStyle w:val="14"/>
              <w:rPr>
                <w:rFonts w:hint="eastAsia"/>
                <w:highlight w:val="none"/>
                <w:lang w:val="en-US" w:eastAsia="zh-CN"/>
              </w:rPr>
            </w:pPr>
            <w:r>
              <w:rPr>
                <w:rFonts w:hint="eastAsia"/>
                <w:highlight w:val="none"/>
                <w:lang w:val="en-US" w:eastAsia="zh-CN"/>
              </w:rPr>
              <w:t>E9.2</w:t>
            </w:r>
          </w:p>
          <w:p>
            <w:pPr>
              <w:pStyle w:val="14"/>
              <w:rPr>
                <w:rFonts w:hint="default"/>
                <w:highlight w:val="none"/>
                <w:lang w:val="en-US" w:eastAsia="zh-CN"/>
              </w:rPr>
            </w:pPr>
            <w:r>
              <w:rPr>
                <w:rFonts w:hint="eastAsia"/>
                <w:highlight w:val="none"/>
                <w:lang w:val="en-US" w:eastAsia="zh-CN"/>
              </w:rPr>
              <w:t>O9.2</w:t>
            </w:r>
          </w:p>
          <w:p>
            <w:pPr>
              <w:rPr>
                <w:highlight w:val="none"/>
              </w:rPr>
            </w:pPr>
            <w:r>
              <w:rPr>
                <w:rFonts w:hint="eastAsia"/>
                <w:highlight w:val="none"/>
              </w:rPr>
              <w:t>F9.2</w:t>
            </w:r>
          </w:p>
          <w:p>
            <w:pPr>
              <w:rPr>
                <w:color w:val="000000"/>
                <w:szCs w:val="21"/>
                <w:highlight w:val="none"/>
              </w:rPr>
            </w:pPr>
            <w:r>
              <w:rPr>
                <w:rFonts w:hint="eastAsia"/>
                <w:color w:val="000000"/>
                <w:szCs w:val="21"/>
                <w:highlight w:val="none"/>
              </w:rPr>
              <w:t>H (V1.0)</w:t>
            </w:r>
          </w:p>
          <w:p>
            <w:pPr>
              <w:rPr>
                <w:rFonts w:hint="default" w:eastAsia="宋体"/>
                <w:highlight w:val="none"/>
                <w:lang w:val="en-US" w:eastAsia="zh-CN"/>
              </w:rPr>
            </w:pPr>
            <w:r>
              <w:rPr>
                <w:rFonts w:hint="eastAsia"/>
                <w:highlight w:val="none"/>
                <w:lang w:val="en-US" w:eastAsia="zh-CN"/>
              </w:rPr>
              <w:t>5.3</w:t>
            </w:r>
          </w:p>
          <w:p>
            <w:pPr>
              <w:rPr>
                <w:rFonts w:hint="eastAsia" w:eastAsia="宋体"/>
                <w:highlight w:val="none"/>
                <w:lang w:val="en-US" w:eastAsia="zh-CN"/>
              </w:rPr>
            </w:pPr>
          </w:p>
        </w:tc>
        <w:tc>
          <w:tcPr>
            <w:tcW w:w="745" w:type="dxa"/>
            <w:shd w:val="clear" w:color="auto" w:fill="auto"/>
            <w:noWrap w:val="0"/>
            <w:vAlign w:val="top"/>
          </w:tcPr>
          <w:p>
            <w:pPr>
              <w:rPr>
                <w:highlight w:val="none"/>
              </w:rPr>
            </w:pPr>
            <w:r>
              <w:rPr>
                <w:rFonts w:hint="eastAsia"/>
                <w:highlight w:val="none"/>
              </w:rPr>
              <w:t>文件名称</w:t>
            </w:r>
          </w:p>
        </w:tc>
        <w:tc>
          <w:tcPr>
            <w:tcW w:w="9260" w:type="dxa"/>
            <w:gridSpan w:val="2"/>
            <w:shd w:val="clear" w:color="auto" w:fill="auto"/>
            <w:noWrap w:val="0"/>
            <w:vAlign w:val="top"/>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管理手册9.2条款、</w:t>
            </w:r>
            <w:r>
              <w:rPr>
                <w:highlight w:val="none"/>
              </w:rPr>
              <w:sym w:font="Wingdings" w:char="00FE"/>
            </w:r>
            <w:r>
              <w:rPr>
                <w:rFonts w:hint="eastAsia"/>
                <w:sz w:val="20"/>
                <w:szCs w:val="18"/>
                <w:highlight w:val="none"/>
              </w:rPr>
              <w:t>《</w:t>
            </w:r>
            <w:r>
              <w:rPr>
                <w:rFonts w:hint="eastAsia" w:ascii="Times New Roman" w:hAnsi="Times New Roman" w:cs="Times New Roman"/>
                <w:highlight w:val="none"/>
              </w:rPr>
              <w:t>内部审核控制程序》</w:t>
            </w:r>
          </w:p>
        </w:tc>
        <w:tc>
          <w:tcPr>
            <w:tcW w:w="1585" w:type="dxa"/>
            <w:vMerge w:val="restart"/>
            <w:shd w:val="clear" w:color="auto" w:fill="auto"/>
            <w:noWrap w:val="0"/>
            <w:vAlign w:val="top"/>
          </w:tcPr>
          <w:p>
            <w:pPr>
              <w:rPr>
                <w:rFonts w:hint="eastAsia"/>
                <w:highlight w:val="none"/>
              </w:rPr>
            </w:pPr>
            <w:r>
              <w:rPr>
                <w:highlight w:val="none"/>
              </w:rPr>
              <w:sym w:font="Wingdings" w:char="00FE"/>
            </w:r>
            <w:r>
              <w:rPr>
                <w:rFonts w:hint="eastAsia"/>
                <w:highlight w:val="none"/>
              </w:rPr>
              <w:t>符合</w:t>
            </w:r>
          </w:p>
          <w:p>
            <w:pPr>
              <w:rPr>
                <w:rFonts w:hint="eastAsia"/>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991" w:type="dxa"/>
            <w:vMerge w:val="continue"/>
            <w:shd w:val="clear" w:color="auto" w:fill="auto"/>
            <w:noWrap w:val="0"/>
            <w:vAlign w:val="top"/>
          </w:tcPr>
          <w:p>
            <w:pPr>
              <w:rPr>
                <w:highlight w:val="none"/>
              </w:rPr>
            </w:pPr>
          </w:p>
        </w:tc>
        <w:tc>
          <w:tcPr>
            <w:tcW w:w="1040" w:type="dxa"/>
            <w:vMerge w:val="continue"/>
            <w:shd w:val="clear" w:color="auto" w:fill="auto"/>
            <w:noWrap w:val="0"/>
            <w:vAlign w:val="top"/>
          </w:tcPr>
          <w:p>
            <w:pPr>
              <w:rPr>
                <w:highlight w:val="none"/>
              </w:rPr>
            </w:pPr>
          </w:p>
        </w:tc>
        <w:tc>
          <w:tcPr>
            <w:tcW w:w="745" w:type="dxa"/>
            <w:shd w:val="clear" w:color="auto" w:fill="auto"/>
            <w:noWrap w:val="0"/>
            <w:vAlign w:val="top"/>
          </w:tcPr>
          <w:p>
            <w:pPr>
              <w:rPr>
                <w:highlight w:val="none"/>
              </w:rPr>
            </w:pPr>
            <w:r>
              <w:rPr>
                <w:rFonts w:hint="eastAsia"/>
                <w:highlight w:val="none"/>
              </w:rPr>
              <w:t>运行证据</w:t>
            </w:r>
          </w:p>
        </w:tc>
        <w:tc>
          <w:tcPr>
            <w:tcW w:w="9260" w:type="dxa"/>
            <w:gridSpan w:val="2"/>
            <w:shd w:val="clear" w:color="auto" w:fill="auto"/>
            <w:noWrap w:val="0"/>
            <w:vAlign w:val="top"/>
          </w:tcPr>
          <w:p>
            <w:pPr>
              <w:widowControl/>
              <w:spacing w:before="40"/>
              <w:jc w:val="left"/>
              <w:rPr>
                <w:color w:val="000000"/>
                <w:szCs w:val="18"/>
                <w:highlight w:val="none"/>
              </w:rPr>
            </w:pPr>
            <w:r>
              <w:rPr>
                <w:highlight w:val="none"/>
              </w:rPr>
              <w:sym w:font="Wingdings" w:char="00FE"/>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rFonts w:hint="eastAsia"/>
                <w:b w:val="0"/>
                <w:bCs w:val="0"/>
                <w:i w:val="0"/>
                <w:iCs w:val="0"/>
                <w:szCs w:val="21"/>
                <w:highlight w:val="none"/>
                <w:u w:val="single"/>
                <w:lang w:val="en-US" w:eastAsia="zh-CN"/>
              </w:rPr>
              <w:t>12-13</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QEOFH</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sym w:font="Wingdings 2" w:char="00A3"/>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sym w:font="Wingdings 2" w:char="0052"/>
            </w: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lang w:eastAsia="zh-CN"/>
              </w:rPr>
              <w:sym w:font="Wingdings 2" w:char="0052"/>
            </w:r>
            <w:r>
              <w:rPr>
                <w:rFonts w:hint="eastAsia"/>
                <w:color w:val="000000"/>
                <w:szCs w:val="18"/>
                <w:highlight w:val="none"/>
              </w:rPr>
              <w:t xml:space="preserve">与内审计划一致 </w:t>
            </w:r>
            <w:r>
              <w:rPr>
                <w:rFonts w:hint="eastAsia"/>
                <w:color w:val="000000"/>
                <w:szCs w:val="21"/>
                <w:highlight w:val="none"/>
              </w:rPr>
              <w:sym w:font="Wingdings 2" w:char="0052"/>
            </w:r>
            <w:r>
              <w:rPr>
                <w:rFonts w:hint="eastAsia"/>
                <w:color w:val="000000"/>
                <w:szCs w:val="21"/>
                <w:highlight w:val="none"/>
              </w:rPr>
              <w:t>与内审计划不一致缺少</w:t>
            </w:r>
            <w:r>
              <w:rPr>
                <w:rFonts w:hint="eastAsia"/>
                <w:color w:val="000000"/>
                <w:szCs w:val="21"/>
                <w:highlight w:val="none"/>
                <w:u w:val="single"/>
              </w:rPr>
              <w:t xml:space="preserve">  </w:t>
            </w:r>
            <w:r>
              <w:rPr>
                <w:rFonts w:hint="eastAsia"/>
                <w:color w:val="000000"/>
                <w:szCs w:val="21"/>
                <w:highlight w:val="none"/>
                <w:u w:val="single"/>
                <w:lang w:val="en-US" w:eastAsia="zh-CN"/>
              </w:rPr>
              <w:t>食品安全小组计划中安排了8.6条款，但是内审检查表中未见；</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r>
              <w:rPr>
                <w:rFonts w:hint="eastAsia"/>
                <w:color w:val="000000"/>
                <w:szCs w:val="18"/>
                <w:highlight w:val="none"/>
                <w:u w:val="single"/>
                <w:lang w:val="en-US" w:eastAsia="zh-CN"/>
              </w:rPr>
              <w:t>领导层、食品安全小组、生产部</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w:t>
            </w:r>
            <w:r>
              <w:rPr>
                <w:rFonts w:ascii="宋体" w:hAnsi="宋体"/>
                <w:color w:val="000000"/>
                <w:szCs w:val="21"/>
                <w:highlight w:val="none"/>
                <w:u w:val="single"/>
              </w:rPr>
              <w:t xml:space="preserve">  </w:t>
            </w:r>
            <w:r>
              <w:rPr>
                <w:rFonts w:hint="eastAsia" w:ascii="宋体" w:hAnsi="宋体"/>
                <w:color w:val="000000"/>
                <w:szCs w:val="21"/>
                <w:highlight w:val="none"/>
              </w:rPr>
              <w:t>份；</w:t>
            </w:r>
          </w:p>
          <w:p>
            <w:pPr>
              <w:spacing w:line="360" w:lineRule="auto"/>
              <w:jc w:val="left"/>
              <w:rPr>
                <w:rFonts w:hint="default" w:ascii="宋体" w:hAnsi="宋体"/>
                <w:color w:val="000000"/>
                <w:szCs w:val="21"/>
                <w:highlight w:val="none"/>
                <w:u w:val="single"/>
                <w:lang w:val="en-US"/>
              </w:rPr>
            </w:pPr>
            <w:r>
              <w:rPr>
                <w:rFonts w:hint="eastAsia" w:ascii="宋体" w:hAnsi="宋体"/>
                <w:color w:val="000000"/>
                <w:szCs w:val="21"/>
                <w:highlight w:val="none"/>
              </w:rPr>
              <w:t>涉及的条款号或问题简述：</w:t>
            </w:r>
            <w:r>
              <w:rPr>
                <w:rFonts w:hint="eastAsia" w:ascii="宋体" w:hAnsi="宋体"/>
                <w:color w:val="000000"/>
                <w:szCs w:val="21"/>
                <w:highlight w:val="none"/>
                <w:lang w:val="en-US" w:eastAsia="zh-CN"/>
              </w:rPr>
              <w:t>未见2022年度合格供方评价相关证据，</w:t>
            </w:r>
            <w:r>
              <w:rPr>
                <w:rFonts w:hint="eastAsia" w:ascii="宋体" w:hAnsi="宋体"/>
                <w:color w:val="000000"/>
                <w:szCs w:val="21"/>
                <w:highlight w:val="none"/>
                <w:u w:val="single"/>
              </w:rPr>
              <w:t>不符合：</w:t>
            </w:r>
            <w:r>
              <w:rPr>
                <w:rFonts w:hint="eastAsia" w:ascii="宋体" w:hAnsi="宋体"/>
                <w:color w:val="000000"/>
                <w:szCs w:val="21"/>
                <w:highlight w:val="none"/>
                <w:u w:val="single"/>
                <w:lang w:val="en-US" w:eastAsia="zh-CN"/>
              </w:rPr>
              <w:t>ISO 22000:2018标准 7.1.6条款、HACCP体系3.5条款、GB/T19001-2016标准8.4条款</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360" w:lineRule="auto"/>
              <w:jc w:val="left"/>
              <w:rPr>
                <w:rFonts w:hint="eastAsia" w:ascii="宋体" w:hAnsi="宋体"/>
                <w:color w:val="000000"/>
                <w:szCs w:val="21"/>
                <w:highlight w:val="none"/>
              </w:rPr>
            </w:pPr>
            <w:r>
              <w:rPr>
                <w:rFonts w:hint="eastAsia" w:ascii="宋体" w:hAnsi="宋体"/>
                <w:color w:val="000000"/>
                <w:szCs w:val="21"/>
                <w:highlight w:val="none"/>
              </w:rPr>
              <w:t>涉及的条款号或问题简述</w:t>
            </w:r>
            <w:r>
              <w:rPr>
                <w:rFonts w:hint="eastAsia" w:ascii="宋体" w:hAnsi="宋体" w:cs="Times New Roman"/>
                <w:color w:val="000000"/>
                <w:szCs w:val="21"/>
                <w:highlight w:val="none"/>
                <w:u w:val="single"/>
              </w:rPr>
              <w:t>：</w:t>
            </w:r>
            <w:r>
              <w:rPr>
                <w:rFonts w:hint="eastAsia" w:ascii="宋体" w:hAnsi="宋体" w:cs="Times New Roman"/>
                <w:color w:val="000000"/>
                <w:szCs w:val="21"/>
                <w:highlight w:val="none"/>
                <w:u w:val="single"/>
                <w:lang w:val="en-US" w:eastAsia="zh-CN"/>
              </w:rPr>
              <w:t xml:space="preserve">                               </w:t>
            </w:r>
          </w:p>
          <w:p>
            <w:pPr>
              <w:widowControl/>
              <w:spacing w:before="40"/>
              <w:jc w:val="left"/>
              <w:rPr>
                <w:highlight w:val="none"/>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lang w:eastAsia="zh-CN"/>
              </w:rPr>
              <w:t>□</w:t>
            </w:r>
            <w:r>
              <w:rPr>
                <w:rFonts w:hint="eastAsia"/>
                <w:highlight w:val="none"/>
              </w:rPr>
              <w:t xml:space="preserve">体系运行有效  </w:t>
            </w:r>
            <w:r>
              <w:rPr>
                <w:rFonts w:hint="eastAsia"/>
                <w:highlight w:val="none"/>
              </w:rPr>
              <w:sym w:font="Wingdings" w:char="00FE"/>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不符合项仍然存在</w:t>
            </w:r>
          </w:p>
        </w:tc>
        <w:tc>
          <w:tcPr>
            <w:tcW w:w="1585" w:type="dxa"/>
            <w:vMerge w:val="continue"/>
            <w:shd w:val="clear" w:color="auto" w:fill="auto"/>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91" w:type="dxa"/>
            <w:vMerge w:val="restart"/>
            <w:shd w:val="clear" w:color="auto" w:fill="auto"/>
          </w:tcPr>
          <w:p>
            <w:pPr>
              <w:rPr>
                <w:highlight w:val="none"/>
              </w:rPr>
            </w:pPr>
            <w:r>
              <w:rPr>
                <w:rFonts w:hint="eastAsia"/>
                <w:highlight w:val="none"/>
              </w:rPr>
              <w:t>管理评审</w:t>
            </w:r>
          </w:p>
          <w:p>
            <w:pPr>
              <w:rPr>
                <w:highlight w:val="none"/>
              </w:rPr>
            </w:pPr>
          </w:p>
        </w:tc>
        <w:tc>
          <w:tcPr>
            <w:tcW w:w="1040" w:type="dxa"/>
            <w:vMerge w:val="restart"/>
            <w:shd w:val="clear" w:color="auto" w:fill="auto"/>
          </w:tcPr>
          <w:p>
            <w:pPr>
              <w:rPr>
                <w:rFonts w:hint="eastAsia"/>
              </w:rPr>
            </w:pPr>
            <w:r>
              <w:rPr>
                <w:rFonts w:hint="eastAsia"/>
              </w:rPr>
              <w:t>Q9.3</w:t>
            </w:r>
          </w:p>
          <w:p>
            <w:pPr>
              <w:pStyle w:val="14"/>
              <w:rPr>
                <w:rFonts w:hint="eastAsia"/>
                <w:lang w:val="en-US" w:eastAsia="zh-CN"/>
              </w:rPr>
            </w:pPr>
            <w:r>
              <w:rPr>
                <w:rFonts w:hint="eastAsia"/>
                <w:lang w:val="en-US" w:eastAsia="zh-CN"/>
              </w:rPr>
              <w:t>E9.3</w:t>
            </w:r>
          </w:p>
          <w:p>
            <w:pPr>
              <w:pStyle w:val="14"/>
              <w:rPr>
                <w:rFonts w:hint="eastAsia"/>
                <w:lang w:val="en-US" w:eastAsia="zh-CN"/>
              </w:rPr>
            </w:pPr>
            <w:r>
              <w:rPr>
                <w:rFonts w:hint="eastAsia"/>
                <w:lang w:val="en-US" w:eastAsia="zh-CN"/>
              </w:rPr>
              <w:t>O9.3</w:t>
            </w:r>
          </w:p>
          <w:p>
            <w:pPr>
              <w:rPr>
                <w:rFonts w:hint="eastAsia"/>
                <w:lang w:val="en-US" w:eastAsia="zh-CN"/>
              </w:rPr>
            </w:pPr>
            <w:r>
              <w:rPr>
                <w:rFonts w:hint="eastAsia"/>
                <w:lang w:val="en-US" w:eastAsia="zh-CN"/>
              </w:rPr>
              <w:t>F9.3</w:t>
            </w:r>
          </w:p>
          <w:p>
            <w:pPr>
              <w:rPr>
                <w:color w:val="000000"/>
                <w:szCs w:val="21"/>
                <w:highlight w:val="none"/>
              </w:rPr>
            </w:pPr>
            <w:r>
              <w:rPr>
                <w:rFonts w:hint="eastAsia"/>
                <w:color w:val="000000"/>
                <w:szCs w:val="21"/>
                <w:highlight w:val="none"/>
              </w:rPr>
              <w:t>H (V1.0)</w:t>
            </w:r>
          </w:p>
          <w:p>
            <w:pPr>
              <w:pStyle w:val="2"/>
              <w:ind w:left="0" w:leftChars="0" w:firstLine="0" w:firstLineChars="0"/>
              <w:rPr>
                <w:rFonts w:hint="default"/>
                <w:lang w:val="en-US"/>
              </w:rPr>
            </w:pPr>
            <w:r>
              <w:rPr>
                <w:rFonts w:hint="eastAsia"/>
                <w:highlight w:val="none"/>
                <w:lang w:val="en-US" w:eastAsia="zh-CN"/>
              </w:rPr>
              <w:t>5.4</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91" w:type="dxa"/>
            <w:vMerge w:val="continue"/>
            <w:shd w:val="clear" w:color="auto" w:fill="auto"/>
          </w:tcPr>
          <w:p>
            <w:pPr>
              <w:rPr>
                <w:highlight w:val="none"/>
              </w:rPr>
            </w:pPr>
          </w:p>
        </w:tc>
        <w:tc>
          <w:tcPr>
            <w:tcW w:w="104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31 </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14"/>
              <w:rPr>
                <w:highlight w:val="none"/>
              </w:rPr>
            </w:pPr>
          </w:p>
          <w:tbl>
            <w:tblPr>
              <w:tblStyle w:val="12"/>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lang w:val="en-US" w:eastAsia="zh-CN" w:bidi="ar-SA"/>
                    </w:rPr>
                  </w:pPr>
                  <w:r>
                    <w:rPr>
                      <w:rFonts w:hint="eastAsia"/>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rPr>
                    <w:t>符合 □不符合</w:t>
                  </w:r>
                </w:p>
              </w:tc>
              <w:tc>
                <w:tcPr>
                  <w:tcW w:w="3370" w:type="dxa"/>
                  <w:vAlign w:val="top"/>
                </w:tcPr>
                <w:p>
                  <w:pPr>
                    <w:widowControl/>
                    <w:shd w:val="clear"/>
                    <w:spacing w:before="40"/>
                    <w:jc w:val="left"/>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在考核实施中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还未进行外部审核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按照考核周期进行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未见内容，已现场沟通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none"/>
              </w:rPr>
            </w:pPr>
          </w:p>
          <w:p>
            <w:pPr>
              <w:shd w:val="clear"/>
              <w:rPr>
                <w:rFonts w:hint="eastAsia"/>
                <w:u w:val="single"/>
              </w:rPr>
            </w:pPr>
            <w:r>
              <w:rPr>
                <w:rFonts w:hint="eastAsia"/>
                <w:u w:val="single"/>
              </w:rPr>
              <w:t>提交给最高管理者的信息的形式，应能使其理解所含信息与已声明的HACCP体系目标之间的关系。</w:t>
            </w:r>
          </w:p>
          <w:p>
            <w:pPr>
              <w:pStyle w:val="14"/>
              <w:rPr>
                <w:rFonts w:hint="eastAsia"/>
                <w:u w:val="single"/>
                <w:lang w:val="en-US" w:eastAsia="zh-CN"/>
              </w:rPr>
            </w:pPr>
            <w:r>
              <w:rPr>
                <w:rFonts w:hint="eastAsia"/>
                <w:u w:val="single"/>
                <w:lang w:val="en-US" w:eastAsia="zh-CN"/>
              </w:rPr>
              <w:t>经沟通了解，基本符合要求。</w:t>
            </w:r>
          </w:p>
          <w:p>
            <w:pPr>
              <w:pStyle w:val="14"/>
              <w:rPr>
                <w:rFonts w:hint="eastAsia"/>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4"/>
              <w:rPr>
                <w:rFonts w:hint="eastAsia"/>
                <w:highlight w:val="none"/>
                <w:lang w:val="en-US" w:eastAsia="zh-CN"/>
              </w:rPr>
            </w:pPr>
          </w:p>
          <w:p>
            <w:pPr>
              <w:pStyle w:val="14"/>
              <w:rPr>
                <w:rFonts w:hint="eastAsia"/>
                <w:highlight w:val="none"/>
                <w:lang w:val="en-US" w:eastAsia="zh-CN"/>
              </w:rPr>
            </w:pPr>
          </w:p>
          <w:p>
            <w:pPr>
              <w:pStyle w:val="14"/>
              <w:rPr>
                <w:rFonts w:hint="default" w:eastAsia="宋体"/>
                <w:highlight w:val="none"/>
                <w:lang w:val="en-US" w:eastAsia="zh-CN"/>
              </w:rPr>
            </w:pPr>
            <w:r>
              <w:rPr>
                <w:rFonts w:hint="eastAsia"/>
                <w:highlight w:val="none"/>
                <w:lang w:val="en-US" w:eastAsia="zh-CN"/>
              </w:rPr>
              <w:t>抽查管理评审输出情况：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numPr>
                      <w:ilvl w:val="0"/>
                      <w:numId w:val="0"/>
                    </w:numPr>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暂无，体系首次导入，有效性把握不足，已与企业沟通</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18"/>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HACCP体系有效性的改进</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暂无，体系首次导入，有效性把握不足，已与企业沟通</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lang w:val="en-US" w:eastAsia="zh-CN" w:bidi="ar-SA"/>
                    </w:rPr>
                  </w:pPr>
                  <w:r>
                    <w:rPr>
                      <w:rFonts w:hint="eastAsia"/>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暂无改进项</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bookmarkStart w:id="1" w:name="_GoBack"/>
                  <w:bookmarkEnd w:id="1"/>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暂无改进项</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A3"/>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non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改进</w:t>
            </w:r>
          </w:p>
        </w:tc>
        <w:tc>
          <w:tcPr>
            <w:tcW w:w="104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pPr>
              <w:rPr>
                <w:rFonts w:hint="default" w:eastAsia="宋体"/>
                <w:lang w:val="en-US" w:eastAsia="zh-CN"/>
              </w:rPr>
            </w:pPr>
            <w:r>
              <w:rPr>
                <w:rFonts w:hint="eastAsia"/>
                <w:lang w:val="en-US" w:eastAsia="zh-CN"/>
              </w:rPr>
              <w:t>改进</w:t>
            </w:r>
          </w:p>
        </w:tc>
        <w:tc>
          <w:tcPr>
            <w:tcW w:w="1040"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rPr>
            </w:pPr>
          </w:p>
        </w:tc>
        <w:tc>
          <w:tcPr>
            <w:tcW w:w="1040"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持续改进</w:t>
            </w:r>
          </w:p>
        </w:tc>
        <w:tc>
          <w:tcPr>
            <w:tcW w:w="1040"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eastAsia"/>
                <w:sz w:val="21"/>
                <w:szCs w:val="21"/>
                <w:lang w:val="en-US" w:eastAsia="zh-CN"/>
              </w:rPr>
            </w:pPr>
            <w:r>
              <w:rPr>
                <w:rFonts w:hint="eastAsia"/>
                <w:sz w:val="21"/>
                <w:szCs w:val="21"/>
                <w:lang w:val="en-US" w:eastAsia="zh-CN"/>
              </w:rPr>
              <w:t>E10.3</w:t>
            </w:r>
          </w:p>
          <w:p>
            <w:pPr>
              <w:pStyle w:val="7"/>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pPr>
              <w:rPr>
                <w:rFonts w:hint="eastAsia"/>
              </w:rPr>
            </w:pPr>
            <w:r>
              <w:rPr>
                <w:rFonts w:hint="eastAsia"/>
              </w:rPr>
              <w:t>组织考虑了分析和评价的结果以及管理评审的输出，确定是否存在需求或机遇，这些需求或机遇应作为持续改进的一部分加以应对。</w:t>
            </w:r>
          </w:p>
          <w:p>
            <w:pPr>
              <w:rPr>
                <w:rFonts w:hint="default" w:eastAsia="宋体"/>
                <w:u w:val="single"/>
                <w:lang w:val="en-US" w:eastAsia="zh-CN"/>
              </w:rPr>
            </w:pPr>
            <w:r>
              <w:rPr>
                <w:rFonts w:hint="eastAsia"/>
                <w:u w:val="single"/>
              </w:rPr>
              <w:sym w:font="Wingdings" w:char="00FE"/>
            </w:r>
            <w:r>
              <w:rPr>
                <w:rFonts w:hint="eastAsia"/>
                <w:u w:val="single"/>
              </w:rPr>
              <w:t xml:space="preserve"> </w:t>
            </w:r>
            <w:r>
              <w:rPr>
                <w:rFonts w:hint="eastAsia"/>
                <w:u w:val="single"/>
                <w:lang w:val="en-US" w:eastAsia="zh-CN"/>
              </w:rPr>
              <w:t>管理评审输出暂无改进项</w:t>
            </w:r>
            <w:r>
              <w:rPr>
                <w:rFonts w:hint="eastAsia"/>
                <w:color w:val="000000"/>
                <w:szCs w:val="21"/>
                <w:highlight w:val="none"/>
                <w:u w:val="single"/>
                <w:lang w:val="en-US" w:eastAsia="zh-CN"/>
              </w:rPr>
              <w:t>，体系首次导入，有效性把握不足，已与企业沟通</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1991"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040"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A8"/>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1991" w:type="dxa"/>
            <w:vMerge w:val="continue"/>
            <w:shd w:val="clear" w:color="auto" w:fill="auto"/>
          </w:tcPr>
          <w:p>
            <w:pPr>
              <w:rPr>
                <w:rFonts w:hint="eastAsia"/>
                <w:color w:val="auto"/>
                <w:highlight w:val="none"/>
              </w:rPr>
            </w:pPr>
          </w:p>
        </w:tc>
        <w:tc>
          <w:tcPr>
            <w:tcW w:w="1040"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2"/>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管理评审改进措施已落实——暂无改进改进项，已与企业沟通</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lang w:eastAsia="zh-CN"/>
              </w:rPr>
              <w:t>——</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91" w:type="dxa"/>
            <w:vMerge w:val="restart"/>
            <w:shd w:val="clear" w:color="auto" w:fill="auto"/>
          </w:tcPr>
          <w:p>
            <w:r>
              <w:rPr>
                <w:rFonts w:hint="eastAsia"/>
              </w:rPr>
              <w:t>食品安全管理体系的更新</w:t>
            </w:r>
          </w:p>
          <w:p/>
        </w:tc>
        <w:tc>
          <w:tcPr>
            <w:tcW w:w="1040"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trPr>
        <w:tc>
          <w:tcPr>
            <w:tcW w:w="1991" w:type="dxa"/>
            <w:vMerge w:val="continue"/>
            <w:shd w:val="clear" w:color="auto" w:fill="auto"/>
          </w:tcPr>
          <w:p/>
        </w:tc>
        <w:tc>
          <w:tcPr>
            <w:tcW w:w="1040"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0"/>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首次建立体系，未发生更新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7E252"/>
    <w:multiLevelType w:val="singleLevel"/>
    <w:tmpl w:val="B507E252"/>
    <w:lvl w:ilvl="0" w:tentative="0">
      <w:start w:val="1"/>
      <w:numFmt w:val="decimal"/>
      <w:suff w:val="nothing"/>
      <w:lvlText w:val="%1）"/>
      <w:lvlJc w:val="left"/>
    </w:lvl>
  </w:abstractNum>
  <w:abstractNum w:abstractNumId="1">
    <w:nsid w:val="C22A6EF6"/>
    <w:multiLevelType w:val="singleLevel"/>
    <w:tmpl w:val="C22A6EF6"/>
    <w:lvl w:ilvl="0" w:tentative="0">
      <w:start w:val="1"/>
      <w:numFmt w:val="decimal"/>
      <w:suff w:val="space"/>
      <w:lvlText w:val="%1."/>
      <w:lvlJc w:val="left"/>
    </w:lvl>
  </w:abstractNum>
  <w:abstractNum w:abstractNumId="2">
    <w:nsid w:val="D7A383CD"/>
    <w:multiLevelType w:val="singleLevel"/>
    <w:tmpl w:val="D7A383CD"/>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4D003148"/>
    <w:multiLevelType w:val="singleLevel"/>
    <w:tmpl w:val="4D003148"/>
    <w:lvl w:ilvl="0" w:tentative="0">
      <w:start w:val="1"/>
      <w:numFmt w:val="decimal"/>
      <w:lvlText w:val="%1."/>
      <w:lvlJc w:val="left"/>
      <w:pPr>
        <w:tabs>
          <w:tab w:val="left" w:pos="312"/>
        </w:tabs>
      </w:pPr>
    </w:lvl>
  </w:abstractNum>
  <w:abstractNum w:abstractNumId="6">
    <w:nsid w:val="56645777"/>
    <w:multiLevelType w:val="singleLevel"/>
    <w:tmpl w:val="56645777"/>
    <w:lvl w:ilvl="0" w:tentative="0">
      <w:start w:val="1"/>
      <w:numFmt w:val="lowerLetter"/>
      <w:suff w:val="space"/>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pStyle w:val="20"/>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2"/>
  </w:num>
  <w:num w:numId="3">
    <w:abstractNumId w:val="1"/>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893122"/>
    <w:rsid w:val="06994A8D"/>
    <w:rsid w:val="06AA7E97"/>
    <w:rsid w:val="06ED612A"/>
    <w:rsid w:val="08767210"/>
    <w:rsid w:val="08851DD7"/>
    <w:rsid w:val="08C22483"/>
    <w:rsid w:val="08ED1EE8"/>
    <w:rsid w:val="09005957"/>
    <w:rsid w:val="096333C5"/>
    <w:rsid w:val="09933EF9"/>
    <w:rsid w:val="09AA0CA5"/>
    <w:rsid w:val="09D43B87"/>
    <w:rsid w:val="09FA6045"/>
    <w:rsid w:val="0A0F142E"/>
    <w:rsid w:val="0A1C56C1"/>
    <w:rsid w:val="0A904067"/>
    <w:rsid w:val="0ACA6ED2"/>
    <w:rsid w:val="0AEF4D8D"/>
    <w:rsid w:val="0B8C3FEE"/>
    <w:rsid w:val="0BE64DFF"/>
    <w:rsid w:val="0BF422BF"/>
    <w:rsid w:val="0C5423F7"/>
    <w:rsid w:val="0C8009B8"/>
    <w:rsid w:val="0CC102DA"/>
    <w:rsid w:val="0D181113"/>
    <w:rsid w:val="0D1E4D9B"/>
    <w:rsid w:val="0D4D1326"/>
    <w:rsid w:val="0D6A2C36"/>
    <w:rsid w:val="0DB35CC0"/>
    <w:rsid w:val="0DEB5944"/>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A64372"/>
    <w:rsid w:val="14C400FD"/>
    <w:rsid w:val="14F1297E"/>
    <w:rsid w:val="14F26225"/>
    <w:rsid w:val="15023387"/>
    <w:rsid w:val="15051B66"/>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C86BBE"/>
    <w:rsid w:val="1C392A3A"/>
    <w:rsid w:val="1C6465C0"/>
    <w:rsid w:val="1CB1322F"/>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3712CE"/>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0E6103"/>
    <w:rsid w:val="2B1D2572"/>
    <w:rsid w:val="2B206A2D"/>
    <w:rsid w:val="2B4C1179"/>
    <w:rsid w:val="2BD60481"/>
    <w:rsid w:val="2BEA3FA7"/>
    <w:rsid w:val="2C2E44D4"/>
    <w:rsid w:val="2C7A3CC3"/>
    <w:rsid w:val="2C7B6C71"/>
    <w:rsid w:val="2D357F0D"/>
    <w:rsid w:val="2D4E604F"/>
    <w:rsid w:val="2D5C2AB0"/>
    <w:rsid w:val="2D7A20E6"/>
    <w:rsid w:val="2DC57805"/>
    <w:rsid w:val="2DDF08DF"/>
    <w:rsid w:val="2DFF79D8"/>
    <w:rsid w:val="2E367C56"/>
    <w:rsid w:val="2E440885"/>
    <w:rsid w:val="2E8D6C8C"/>
    <w:rsid w:val="2EEE512C"/>
    <w:rsid w:val="2F511B05"/>
    <w:rsid w:val="2F7C571D"/>
    <w:rsid w:val="2FA86B66"/>
    <w:rsid w:val="2FE823A5"/>
    <w:rsid w:val="2FEA1C57"/>
    <w:rsid w:val="300172B8"/>
    <w:rsid w:val="30945277"/>
    <w:rsid w:val="30C71DD4"/>
    <w:rsid w:val="30DC7CB1"/>
    <w:rsid w:val="30ED30CC"/>
    <w:rsid w:val="31064141"/>
    <w:rsid w:val="314F1BC2"/>
    <w:rsid w:val="31B477DB"/>
    <w:rsid w:val="31B67BE2"/>
    <w:rsid w:val="31CA71DD"/>
    <w:rsid w:val="31CC5E08"/>
    <w:rsid w:val="324E5138"/>
    <w:rsid w:val="325251B2"/>
    <w:rsid w:val="32A772DD"/>
    <w:rsid w:val="32B72FA5"/>
    <w:rsid w:val="331E21CE"/>
    <w:rsid w:val="33562A0D"/>
    <w:rsid w:val="33715F28"/>
    <w:rsid w:val="337565DF"/>
    <w:rsid w:val="33BA709B"/>
    <w:rsid w:val="33F07155"/>
    <w:rsid w:val="33F2372F"/>
    <w:rsid w:val="340C6245"/>
    <w:rsid w:val="343C4522"/>
    <w:rsid w:val="347A0336"/>
    <w:rsid w:val="34F92D63"/>
    <w:rsid w:val="34FA44D5"/>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37108"/>
    <w:rsid w:val="39D7104B"/>
    <w:rsid w:val="3A3E0D9F"/>
    <w:rsid w:val="3A5573DE"/>
    <w:rsid w:val="3AAB1306"/>
    <w:rsid w:val="3ABD0173"/>
    <w:rsid w:val="3ACE23E2"/>
    <w:rsid w:val="3B227AA7"/>
    <w:rsid w:val="3B2E0E8F"/>
    <w:rsid w:val="3B4241C0"/>
    <w:rsid w:val="3B5F0280"/>
    <w:rsid w:val="3B941552"/>
    <w:rsid w:val="3BEE1D6F"/>
    <w:rsid w:val="3BF1473C"/>
    <w:rsid w:val="3CA475E5"/>
    <w:rsid w:val="3CA717F2"/>
    <w:rsid w:val="3CC56579"/>
    <w:rsid w:val="3DAB460B"/>
    <w:rsid w:val="3DAE633A"/>
    <w:rsid w:val="3DDA7DB2"/>
    <w:rsid w:val="3DF2719F"/>
    <w:rsid w:val="3E342793"/>
    <w:rsid w:val="3E3C5235"/>
    <w:rsid w:val="3EA34B57"/>
    <w:rsid w:val="3EEF1E6E"/>
    <w:rsid w:val="3F654598"/>
    <w:rsid w:val="400766B5"/>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9B0822"/>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8262DE5"/>
    <w:rsid w:val="48397913"/>
    <w:rsid w:val="48880896"/>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67596D"/>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CD22C71"/>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E77A7E"/>
    <w:rsid w:val="61F16F63"/>
    <w:rsid w:val="61FF1449"/>
    <w:rsid w:val="622A4138"/>
    <w:rsid w:val="62385483"/>
    <w:rsid w:val="62385A6C"/>
    <w:rsid w:val="62876D77"/>
    <w:rsid w:val="62CA4AF4"/>
    <w:rsid w:val="62E4371E"/>
    <w:rsid w:val="632045D1"/>
    <w:rsid w:val="6342544F"/>
    <w:rsid w:val="63720424"/>
    <w:rsid w:val="63A31ABC"/>
    <w:rsid w:val="63BF6691"/>
    <w:rsid w:val="63C65078"/>
    <w:rsid w:val="63EA156F"/>
    <w:rsid w:val="63EA6D88"/>
    <w:rsid w:val="63ED7E05"/>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06093A"/>
    <w:rsid w:val="6A287F98"/>
    <w:rsid w:val="6A7E2490"/>
    <w:rsid w:val="6AB40496"/>
    <w:rsid w:val="6ABD1D5E"/>
    <w:rsid w:val="6AF33939"/>
    <w:rsid w:val="6B126F12"/>
    <w:rsid w:val="6B795D62"/>
    <w:rsid w:val="6B910AA0"/>
    <w:rsid w:val="6BC747F5"/>
    <w:rsid w:val="6BD35CE4"/>
    <w:rsid w:val="6C3014BE"/>
    <w:rsid w:val="6C5D414F"/>
    <w:rsid w:val="6C761A36"/>
    <w:rsid w:val="6CA324B4"/>
    <w:rsid w:val="6CB322D9"/>
    <w:rsid w:val="6CDE17FD"/>
    <w:rsid w:val="6D1D2C91"/>
    <w:rsid w:val="6D232D3C"/>
    <w:rsid w:val="6D2F5D1E"/>
    <w:rsid w:val="6D792112"/>
    <w:rsid w:val="6E641038"/>
    <w:rsid w:val="6EBD0EA6"/>
    <w:rsid w:val="6F435405"/>
    <w:rsid w:val="6F4810D8"/>
    <w:rsid w:val="6F6D2BAA"/>
    <w:rsid w:val="6F8F1120"/>
    <w:rsid w:val="6F9A4A47"/>
    <w:rsid w:val="6FD909A9"/>
    <w:rsid w:val="701710D0"/>
    <w:rsid w:val="702426DC"/>
    <w:rsid w:val="70795456"/>
    <w:rsid w:val="709946EC"/>
    <w:rsid w:val="72702455"/>
    <w:rsid w:val="728F2E47"/>
    <w:rsid w:val="72973011"/>
    <w:rsid w:val="72E42D1B"/>
    <w:rsid w:val="731254DC"/>
    <w:rsid w:val="734F0911"/>
    <w:rsid w:val="736054C4"/>
    <w:rsid w:val="736C572D"/>
    <w:rsid w:val="73A422EB"/>
    <w:rsid w:val="73C71690"/>
    <w:rsid w:val="74103E55"/>
    <w:rsid w:val="745B622A"/>
    <w:rsid w:val="753E2D2E"/>
    <w:rsid w:val="75BE0253"/>
    <w:rsid w:val="75DB13A5"/>
    <w:rsid w:val="75E552E3"/>
    <w:rsid w:val="75EC38CD"/>
    <w:rsid w:val="7648538B"/>
    <w:rsid w:val="76577132"/>
    <w:rsid w:val="76BD747C"/>
    <w:rsid w:val="76CD52EB"/>
    <w:rsid w:val="76FE004A"/>
    <w:rsid w:val="77462C4C"/>
    <w:rsid w:val="778B1DFE"/>
    <w:rsid w:val="77A268F6"/>
    <w:rsid w:val="77CC3658"/>
    <w:rsid w:val="77CD01C2"/>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DFC1A33"/>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1"/>
    <w:pPr>
      <w:ind w:left="220"/>
    </w:pPr>
    <w:rPr>
      <w:rFonts w:ascii="宋体" w:hAnsi="宋体" w:eastAsia="宋体" w:cs="宋体"/>
      <w:sz w:val="24"/>
      <w:szCs w:val="24"/>
      <w:lang w:val="zh-CN" w:eastAsia="zh-CN" w:bidi="zh-CN"/>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三级条标题"/>
    <w:basedOn w:val="21"/>
    <w:next w:val="23"/>
    <w:qFormat/>
    <w:uiPriority w:val="0"/>
    <w:pPr>
      <w:numPr>
        <w:ilvl w:val="4"/>
        <w:numId w:val="1"/>
      </w:numPr>
      <w:outlineLvl w:val="4"/>
    </w:pPr>
  </w:style>
  <w:style w:type="paragraph" w:customStyle="1" w:styleId="21">
    <w:name w:val="二级条标题"/>
    <w:basedOn w:val="22"/>
    <w:next w:val="23"/>
    <w:qFormat/>
    <w:uiPriority w:val="0"/>
    <w:pPr>
      <w:numPr>
        <w:ilvl w:val="3"/>
        <w:numId w:val="1"/>
      </w:numPr>
      <w:outlineLvl w:val="3"/>
    </w:pPr>
  </w:style>
  <w:style w:type="paragraph" w:customStyle="1" w:styleId="22">
    <w:name w:val="一级条标题"/>
    <w:next w:val="2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17422</Words>
  <Characters>18990</Characters>
  <Lines>79</Lines>
  <Paragraphs>22</Paragraphs>
  <TotalTime>28</TotalTime>
  <ScaleCrop>false</ScaleCrop>
  <LinksUpToDate>false</LinksUpToDate>
  <CharactersWithSpaces>20411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2022-09-07T04:37:38Z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11C484B161C942D78A603EAF5EE88846</vt:lpwstr>
  </property>
</Properties>
</file>