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0989-2022-QEOFH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平湖聚笙餐饮管理有限公司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2022年08月23日 上午</w:t>
            </w:r>
            <w:r>
              <w:rPr>
                <w:rFonts w:hint="eastAsia" w:ascii="宋体"/>
                <w:b/>
                <w:color w:val="000000"/>
                <w:szCs w:val="21"/>
                <w:lang w:val="en-US" w:eastAsia="zh-CN"/>
              </w:rPr>
              <w:t>10:00</w:t>
            </w:r>
            <w:r>
              <w:rPr>
                <w:rFonts w:hint="eastAsia" w:ascii="宋体"/>
                <w:b/>
                <w:color w:val="000000"/>
                <w:szCs w:val="21"/>
              </w:rPr>
              <w:t>至2022年08月24日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2"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70"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eastAsia" w:ascii="宋体" w:hAnsi="宋体"/>
                <w:b/>
                <w:color w:val="000000"/>
                <w:szCs w:val="21"/>
                <w:lang w:val="de-DE"/>
              </w:rPr>
            </w:pPr>
            <w:r>
              <w:rPr>
                <w:rFonts w:hint="eastAsia" w:ascii="宋体" w:hAnsi="宋体"/>
                <w:b/>
                <w:color w:val="000000"/>
                <w:szCs w:val="21"/>
                <w:lang w:val="de-DE"/>
              </w:rPr>
              <w:t>□GB/T28001-2011</w:t>
            </w:r>
            <w:bookmarkStart w:id="20" w:name="S勾选Add2"/>
          </w:p>
          <w:p>
            <w:pPr>
              <w:rPr>
                <w:rFonts w:ascii="宋体" w:hAnsi="宋体"/>
                <w:b/>
                <w:color w:val="000000"/>
                <w:szCs w:val="21"/>
                <w:lang w:val="de-DE"/>
              </w:rPr>
            </w:pPr>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ISO 22000</w:t>
            </w:r>
            <w:r>
              <w:rPr>
                <w:rFonts w:hint="eastAsia" w:ascii="宋体" w:hAnsi="宋体"/>
                <w:b/>
                <w:color w:val="000000"/>
                <w:szCs w:val="21"/>
                <w:lang w:val="de-DE" w:eastAsia="zh-CN"/>
              </w:rPr>
              <w:t>：</w:t>
            </w:r>
            <w:r>
              <w:rPr>
                <w:rFonts w:hint="eastAsia" w:ascii="宋体" w:hAnsi="宋体"/>
                <w:b/>
                <w:color w:val="000000"/>
                <w:szCs w:val="21"/>
                <w:lang w:val="de-DE"/>
              </w:rPr>
              <w:t>2018</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《危害分析与关键控制点（HACCP体系）认证要求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rPr>
              <w:sym w:font="Wingdings 2" w:char="0052"/>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80"/>
        <w:gridCol w:w="133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80" w:type="dxa"/>
            <w:vAlign w:val="center"/>
          </w:tcPr>
          <w:p>
            <w:pPr>
              <w:spacing w:line="240" w:lineRule="exact"/>
              <w:jc w:val="center"/>
              <w:rPr>
                <w:b/>
                <w:color w:val="000000"/>
                <w:szCs w:val="21"/>
              </w:rPr>
            </w:pPr>
            <w:r>
              <w:rPr>
                <w:rFonts w:hint="eastAsia"/>
                <w:szCs w:val="21"/>
              </w:rPr>
              <w:t>审核员注册证书号</w:t>
            </w:r>
          </w:p>
        </w:tc>
        <w:tc>
          <w:tcPr>
            <w:tcW w:w="133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肖新龙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80" w:type="dxa"/>
            <w:vAlign w:val="center"/>
          </w:tcPr>
          <w:p>
            <w:pPr>
              <w:spacing w:line="240" w:lineRule="exact"/>
              <w:jc w:val="center"/>
              <w:rPr>
                <w:b/>
                <w:color w:val="000000"/>
                <w:szCs w:val="21"/>
              </w:rPr>
            </w:pPr>
            <w:r>
              <w:rPr>
                <w:b/>
                <w:color w:val="000000"/>
                <w:szCs w:val="21"/>
              </w:rPr>
              <w:t>2021-N1OHSMS-1232380</w:t>
            </w:r>
          </w:p>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2021-N1EMS-1232380</w:t>
            </w:r>
          </w:p>
          <w:p>
            <w:pPr>
              <w:spacing w:line="240" w:lineRule="exact"/>
              <w:jc w:val="center"/>
              <w:rPr>
                <w:b/>
                <w:color w:val="000000"/>
                <w:szCs w:val="21"/>
              </w:rPr>
            </w:pPr>
            <w:r>
              <w:rPr>
                <w:b/>
                <w:color w:val="000000"/>
                <w:szCs w:val="21"/>
              </w:rPr>
              <w:t>2020-N1FSMS-1232380</w:t>
            </w:r>
          </w:p>
          <w:p>
            <w:pPr>
              <w:spacing w:line="240" w:lineRule="exact"/>
              <w:jc w:val="center"/>
              <w:rPr>
                <w:b/>
                <w:color w:val="000000"/>
                <w:szCs w:val="21"/>
              </w:rPr>
            </w:pPr>
            <w:r>
              <w:rPr>
                <w:b/>
                <w:color w:val="000000"/>
                <w:szCs w:val="21"/>
              </w:rPr>
              <w:t>2020-N1HACCP-1232380</w:t>
            </w:r>
          </w:p>
        </w:tc>
        <w:tc>
          <w:tcPr>
            <w:tcW w:w="1330" w:type="dxa"/>
            <w:vAlign w:val="center"/>
          </w:tcPr>
          <w:p>
            <w:pPr>
              <w:spacing w:line="240" w:lineRule="exact"/>
              <w:jc w:val="center"/>
              <w:rPr>
                <w:b/>
                <w:color w:val="000000"/>
                <w:szCs w:val="21"/>
              </w:rPr>
            </w:pPr>
            <w:r>
              <w:rPr>
                <w:b/>
                <w:color w:val="000000"/>
                <w:szCs w:val="21"/>
              </w:rPr>
              <w:t>O:30.05.00</w:t>
            </w:r>
          </w:p>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任泽华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80" w:type="dxa"/>
            <w:vAlign w:val="center"/>
          </w:tcPr>
          <w:p>
            <w:pPr>
              <w:spacing w:line="240" w:lineRule="exact"/>
              <w:jc w:val="center"/>
              <w:rPr>
                <w:b/>
                <w:color w:val="000000"/>
                <w:szCs w:val="21"/>
              </w:rPr>
            </w:pPr>
            <w:r>
              <w:rPr>
                <w:b/>
                <w:color w:val="000000"/>
                <w:szCs w:val="21"/>
              </w:rPr>
              <w:t>2022-N1QMS-4059498</w:t>
            </w:r>
          </w:p>
          <w:p>
            <w:pPr>
              <w:spacing w:line="240" w:lineRule="exact"/>
              <w:jc w:val="center"/>
              <w:rPr>
                <w:b/>
                <w:color w:val="000000"/>
                <w:szCs w:val="21"/>
              </w:rPr>
            </w:pPr>
            <w:r>
              <w:rPr>
                <w:b/>
                <w:color w:val="000000"/>
                <w:szCs w:val="21"/>
              </w:rPr>
              <w:t>2021-N1EMS-3059498</w:t>
            </w:r>
          </w:p>
          <w:p>
            <w:pPr>
              <w:spacing w:line="240" w:lineRule="exact"/>
              <w:jc w:val="center"/>
              <w:rPr>
                <w:b/>
                <w:color w:val="000000"/>
                <w:szCs w:val="21"/>
              </w:rPr>
            </w:pPr>
            <w:r>
              <w:rPr>
                <w:b/>
                <w:color w:val="000000"/>
                <w:szCs w:val="21"/>
              </w:rPr>
              <w:t>2020-N1FSMS-3059498</w:t>
            </w:r>
          </w:p>
          <w:p>
            <w:pPr>
              <w:spacing w:line="240" w:lineRule="exact"/>
              <w:jc w:val="center"/>
              <w:rPr>
                <w:b/>
                <w:color w:val="000000"/>
                <w:szCs w:val="21"/>
              </w:rPr>
            </w:pPr>
            <w:r>
              <w:rPr>
                <w:b/>
                <w:color w:val="000000"/>
                <w:szCs w:val="21"/>
              </w:rPr>
              <w:t>ISC-59498</w:t>
            </w:r>
          </w:p>
        </w:tc>
        <w:tc>
          <w:tcPr>
            <w:tcW w:w="133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13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13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13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13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133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80" w:type="dxa"/>
            <w:vAlign w:val="center"/>
          </w:tcPr>
          <w:p>
            <w:pPr>
              <w:rPr>
                <w:b/>
                <w:color w:val="000000"/>
                <w:szCs w:val="21"/>
              </w:rPr>
            </w:pPr>
            <w:r>
              <w:rPr>
                <w:rFonts w:hint="eastAsia"/>
                <w:b/>
                <w:color w:val="000000"/>
                <w:szCs w:val="21"/>
              </w:rPr>
              <w:t>工作单位</w:t>
            </w:r>
          </w:p>
        </w:tc>
        <w:tc>
          <w:tcPr>
            <w:tcW w:w="241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eastAsia="zh-CN"/>
              </w:rPr>
            </w:pPr>
            <w:r>
              <w:rPr>
                <w:rFonts w:hint="eastAsia"/>
                <w:b/>
                <w:color w:val="000000"/>
                <w:szCs w:val="21"/>
                <w:lang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80" w:type="dxa"/>
            <w:vAlign w:val="center"/>
          </w:tcPr>
          <w:p>
            <w:pPr>
              <w:rPr>
                <w:b/>
                <w:color w:val="000000"/>
                <w:szCs w:val="21"/>
              </w:rPr>
            </w:pPr>
          </w:p>
        </w:tc>
        <w:tc>
          <w:tcPr>
            <w:tcW w:w="241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680" w:type="dxa"/>
            <w:vAlign w:val="center"/>
          </w:tcPr>
          <w:p>
            <w:pPr>
              <w:rPr>
                <w:b/>
                <w:color w:val="000000"/>
                <w:szCs w:val="21"/>
                <w:highlight w:val="green"/>
              </w:rPr>
            </w:pPr>
          </w:p>
        </w:tc>
        <w:tc>
          <w:tcPr>
            <w:tcW w:w="241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平湖聚笙餐饮管理有限公司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浙江省嘉兴市平湖市钟埭街道兴平一路1888号第7栋1楼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341000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浙江省嘉兴市平湖市钟埭街道兴平一路1888号第7栋1楼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341000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孙伟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15957336036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高利斌</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bookmarkStart w:id="34" w:name="管理者代表"/>
            <w:r>
              <w:rPr>
                <w:rFonts w:ascii="宋体"/>
                <w:b/>
                <w:color w:val="000000"/>
                <w:szCs w:val="21"/>
              </w:rPr>
              <w:t>徐丽</w:t>
            </w:r>
            <w:bookmarkEnd w:id="34"/>
            <w:r>
              <w:rPr>
                <w:rFonts w:hint="eastAsia" w:ascii="宋体"/>
                <w:b/>
                <w:color w:val="000000"/>
                <w:szCs w:val="21"/>
                <w:lang w:val="en-US" w:eastAsia="zh-CN"/>
              </w:rPr>
              <w:t>丽</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sz w:val="21"/>
                <w:szCs w:val="21"/>
              </w:rPr>
              <w:t>集体用餐配送（热食类食品制售）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sz w:val="21"/>
                <w:szCs w:val="21"/>
              </w:rPr>
              <w:t>集体用餐配送（热食类食品制售）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left"/>
              <w:rPr>
                <w:highlight w:val="none"/>
              </w:rPr>
            </w:pPr>
            <w:r>
              <w:rPr>
                <w:rFonts w:hint="eastAsia"/>
                <w:highlight w:val="none"/>
                <w:lang w:val="en-US" w:eastAsia="zh-CN"/>
              </w:rPr>
              <w:t>菜肴制作</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原料验收—择菜——洗菜——切菜——烹饪（炒、煮）——装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2"/>
              <w:rPr>
                <w:highlight w:val="none"/>
              </w:rPr>
            </w:pPr>
          </w:p>
          <w:p>
            <w:pPr>
              <w:snapToGrid w:val="0"/>
              <w:spacing w:line="280" w:lineRule="exact"/>
              <w:jc w:val="left"/>
              <w:rPr>
                <w:highlight w:val="none"/>
              </w:rPr>
            </w:pPr>
            <w:r>
              <w:rPr>
                <w:rFonts w:hint="eastAsia"/>
                <w:highlight w:val="none"/>
                <w:lang w:val="en-US" w:eastAsia="zh-CN"/>
              </w:rPr>
              <w:t>主食类</w:t>
            </w:r>
            <w:r>
              <w:rPr>
                <w:rFonts w:hint="eastAsia"/>
                <w:highlight w:val="none"/>
              </w:rPr>
              <w:t>：</w:t>
            </w:r>
          </w:p>
          <w:p>
            <w:pPr>
              <w:snapToGrid w:val="0"/>
              <w:spacing w:line="280" w:lineRule="exact"/>
              <w:jc w:val="left"/>
              <w:rPr>
                <w:rFonts w:hint="eastAsia"/>
                <w:highlight w:val="none"/>
                <w:lang w:val="en-US" w:eastAsia="zh-CN"/>
              </w:rPr>
            </w:pPr>
            <w:r>
              <w:rPr>
                <w:rFonts w:hint="eastAsia"/>
                <w:highlight w:val="none"/>
              </w:rPr>
              <w:t>原料验收——清洗（大米）——蒸煮——盛碗——装</w:t>
            </w:r>
            <w:r>
              <w:rPr>
                <w:rFonts w:hint="eastAsia"/>
                <w:highlight w:val="none"/>
                <w:lang w:val="en-US" w:eastAsia="zh-CN"/>
              </w:rPr>
              <w:t>盒——装箱</w:t>
            </w:r>
            <w:r>
              <w:rPr>
                <w:rFonts w:hint="eastAsia"/>
                <w:highlight w:val="none"/>
              </w:rPr>
              <w:t>—</w:t>
            </w:r>
            <w:r>
              <w:rPr>
                <w:rFonts w:hint="eastAsia"/>
                <w:highlight w:val="none"/>
                <w:lang w:val="en-US" w:eastAsia="zh-CN"/>
              </w:rPr>
              <w:t>配送</w:t>
            </w:r>
          </w:p>
          <w:p>
            <w:pPr>
              <w:pStyle w:val="2"/>
              <w:rPr>
                <w:highlight w:val="none"/>
              </w:rPr>
            </w:pPr>
          </w:p>
          <w:p>
            <w:pPr>
              <w:snapToGrid w:val="0"/>
              <w:spacing w:line="280" w:lineRule="exact"/>
              <w:jc w:val="left"/>
              <w:rPr>
                <w:highlight w:val="none"/>
              </w:rPr>
            </w:pPr>
            <w:r>
              <w:rPr>
                <w:rFonts w:hint="eastAsia"/>
                <w:highlight w:val="none"/>
                <w:lang w:val="en-US" w:eastAsia="zh-CN"/>
              </w:rPr>
              <w:t>工器具</w:t>
            </w:r>
            <w:r>
              <w:rPr>
                <w:rFonts w:hint="eastAsia"/>
                <w:highlight w:val="none"/>
              </w:rPr>
              <w:t>清洗消毒：</w:t>
            </w:r>
          </w:p>
          <w:p>
            <w:pPr>
              <w:rPr>
                <w:rFonts w:hint="eastAsia"/>
                <w:highlight w:val="none"/>
              </w:rPr>
            </w:pPr>
            <w:r>
              <w:rPr>
                <w:rFonts w:hint="eastAsia"/>
                <w:highlight w:val="none"/>
              </w:rPr>
              <w:t xml:space="preserve">餐具——回收——清洗——消毒——备用 </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sz w:val="21"/>
                <w:szCs w:val="21"/>
              </w:rPr>
              <w:t>集体用餐配送（热食类食品制售）</w:t>
            </w:r>
          </w:p>
        </w:tc>
        <w:tc>
          <w:tcPr>
            <w:tcW w:w="2006" w:type="dxa"/>
            <w:gridSpan w:val="3"/>
            <w:vAlign w:val="center"/>
          </w:tcPr>
          <w:p>
            <w:pPr>
              <w:rPr>
                <w:rFonts w:ascii="宋体" w:hAnsi="宋体"/>
                <w:b/>
                <w:color w:val="000000"/>
                <w:szCs w:val="21"/>
              </w:rPr>
            </w:pPr>
            <w:bookmarkStart w:id="35" w:name="专业代码"/>
            <w:r>
              <w:rPr>
                <w:sz w:val="21"/>
                <w:szCs w:val="21"/>
              </w:rPr>
              <w:t>Q：30.05.00</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集体用餐配送（热食类食品制售）所涉及场所的相关环境管理活动</w:t>
            </w:r>
          </w:p>
        </w:tc>
        <w:tc>
          <w:tcPr>
            <w:tcW w:w="2006" w:type="dxa"/>
            <w:gridSpan w:val="3"/>
            <w:vAlign w:val="center"/>
          </w:tcPr>
          <w:p>
            <w:pPr>
              <w:rPr>
                <w:rFonts w:ascii="宋体" w:hAnsi="宋体"/>
                <w:b/>
                <w:color w:val="000000"/>
                <w:szCs w:val="21"/>
              </w:rPr>
            </w:pPr>
            <w:r>
              <w:rPr>
                <w:sz w:val="21"/>
                <w:szCs w:val="21"/>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集体用餐配送（热食类食品制售）所涉及场所的相关职业健康安全管理活动</w:t>
            </w:r>
          </w:p>
        </w:tc>
        <w:tc>
          <w:tcPr>
            <w:tcW w:w="2006" w:type="dxa"/>
            <w:gridSpan w:val="3"/>
            <w:vAlign w:val="center"/>
          </w:tcPr>
          <w:p>
            <w:pPr>
              <w:rPr>
                <w:rFonts w:ascii="宋体" w:hAnsi="宋体"/>
                <w:b/>
                <w:color w:val="000000"/>
                <w:szCs w:val="21"/>
              </w:rPr>
            </w:pPr>
            <w:r>
              <w:rPr>
                <w:sz w:val="21"/>
                <w:szCs w:val="21"/>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sz w:val="21"/>
                <w:szCs w:val="21"/>
              </w:rPr>
              <w:t>位于浙江省嘉兴市平湖市钟埭街道兴平一路1888号第7栋1楼平湖聚笙餐饮管理有限公司的集体用餐配送（热食类食品制售）</w:t>
            </w:r>
          </w:p>
        </w:tc>
        <w:tc>
          <w:tcPr>
            <w:tcW w:w="2006" w:type="dxa"/>
            <w:gridSpan w:val="3"/>
            <w:vAlign w:val="center"/>
          </w:tcPr>
          <w:p>
            <w:pPr>
              <w:rPr>
                <w:rFonts w:ascii="宋体" w:hAnsi="宋体"/>
                <w:b/>
                <w:color w:val="000000"/>
                <w:szCs w:val="21"/>
              </w:rPr>
            </w:pPr>
            <w:r>
              <w:rPr>
                <w:sz w:val="21"/>
                <w:szCs w:val="21"/>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21"/>
                <w:szCs w:val="21"/>
              </w:rPr>
              <w:t>位于浙江省嘉兴市平湖市钟埭街道兴平一路1888号第7栋1楼平湖聚笙餐饮管理有限公司的集体用餐配送（热食类食品制售）</w:t>
            </w:r>
          </w:p>
        </w:tc>
        <w:tc>
          <w:tcPr>
            <w:tcW w:w="2006" w:type="dxa"/>
            <w:gridSpan w:val="3"/>
            <w:vAlign w:val="center"/>
          </w:tcPr>
          <w:p>
            <w:pPr>
              <w:spacing w:line="400" w:lineRule="exact"/>
              <w:rPr>
                <w:rFonts w:ascii="宋体" w:hAnsi="宋体"/>
                <w:b/>
                <w:color w:val="000000"/>
                <w:szCs w:val="21"/>
              </w:rPr>
            </w:pPr>
            <w:r>
              <w:rPr>
                <w:sz w:val="21"/>
                <w:szCs w:val="21"/>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pPr>
            <w:r>
              <w:t>平湖聚笙餐饮管理有限公司</w:t>
            </w:r>
          </w:p>
          <w:p>
            <w:pPr>
              <w:pStyle w:val="9"/>
              <w:ind w:left="0" w:leftChars="0" w:firstLine="0" w:firstLineChars="0"/>
              <w:rPr>
                <w:lang w:val="de-DE" w:eastAsia="ja-JP"/>
              </w:rPr>
            </w:pPr>
            <w:r>
              <w:rPr>
                <w:lang w:val="de-DE" w:eastAsia="ja-JP"/>
              </w:rPr>
              <w:t>浙江省嘉兴市平湖市钟埭街道兴平一路1888号第7栋1楼</w:t>
            </w:r>
          </w:p>
        </w:tc>
        <w:tc>
          <w:tcPr>
            <w:tcW w:w="2267" w:type="dxa"/>
          </w:tcPr>
          <w:p>
            <w:pPr>
              <w:spacing w:before="40" w:after="40"/>
              <w:rPr>
                <w:rFonts w:eastAsia="黑体"/>
                <w:szCs w:val="21"/>
                <w:lang w:val="de-DE" w:eastAsia="ja-JP"/>
              </w:rPr>
            </w:pPr>
            <w:r>
              <w:rPr>
                <w:sz w:val="21"/>
                <w:szCs w:val="21"/>
              </w:rPr>
              <w:t>浙江省嘉兴市平湖市钟埭街道兴平一路1888号第7栋1楼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18人</w:t>
            </w:r>
          </w:p>
        </w:tc>
        <w:tc>
          <w:tcPr>
            <w:tcW w:w="280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bookmarkStart w:id="36" w:name="审核范围"/>
            <w:r>
              <w:rPr>
                <w:sz w:val="21"/>
                <w:szCs w:val="21"/>
              </w:rPr>
              <w:t>O：集体用餐配送（热食类食品制售）所涉及场所的相关职业健康安全管理活动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sz w:val="21"/>
                <w:szCs w:val="21"/>
              </w:rPr>
              <w:t>Q：集体用餐配送（热食类食品制售）</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sz w:val="21"/>
                <w:szCs w:val="21"/>
              </w:rPr>
              <w:t>E：集体用餐配送（热食类食品制售）所涉及场所的相关环境管理活动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sz w:val="21"/>
                <w:szCs w:val="21"/>
              </w:rPr>
              <w:t>F：位于浙江省嘉兴市平湖市钟埭街道兴平一路1888号第7栋1楼平湖聚笙餐饮管理有限公司的集体用餐配送（热食类食品制售）</w:t>
            </w:r>
          </w:p>
          <w:p>
            <w:pPr>
              <w:pStyle w:val="21"/>
              <w:rPr>
                <w:rFonts w:eastAsia="黑体" w:cs="Arial"/>
                <w:sz w:val="21"/>
                <w:szCs w:val="21"/>
                <w:lang w:val="en-US" w:eastAsia="ja-JP"/>
              </w:rPr>
            </w:pPr>
            <w:r>
              <w:rPr>
                <w:sz w:val="21"/>
                <w:szCs w:val="21"/>
              </w:rPr>
              <w:t>H：位于浙江省嘉兴市平湖市钟埭街道兴平一路1888号第7栋1楼平湖聚笙餐饮管理有限公司的集体用餐配送（热食类食品制售）</w:t>
            </w:r>
            <w:bookmarkEnd w:id="36"/>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rPr>
              <w:sym w:font="Wingdings 2" w:char="0052"/>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color w:val="000000"/>
                <w:spacing w:val="-10"/>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11-12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2022年7月31日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u w:val="single"/>
                <w:lang w:eastAsia="zh-CN"/>
              </w:rPr>
              <w:t>采购，</w:t>
            </w:r>
            <w:r>
              <w:rPr>
                <w:rFonts w:hint="eastAsia"/>
                <w:color w:val="000000"/>
                <w:u w:val="single"/>
                <w:lang w:val="en-US" w:eastAsia="zh-CN"/>
              </w:rPr>
              <w:t xml:space="preserve">餐食加工、工器具消毒、配送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u w:val="single"/>
              </w:rPr>
              <w:t>索证</w:t>
            </w:r>
            <w:r>
              <w:rPr>
                <w:rFonts w:hint="eastAsia"/>
                <w:u w:val="single"/>
                <w:lang w:eastAsia="zh-CN"/>
              </w:rPr>
              <w:t>，</w:t>
            </w:r>
            <w:r>
              <w:rPr>
                <w:rFonts w:hint="eastAsia"/>
                <w:u w:val="single"/>
              </w:rPr>
              <w:t>温度</w:t>
            </w:r>
            <w:r>
              <w:rPr>
                <w:rFonts w:hint="eastAsia"/>
                <w:u w:val="single"/>
                <w:lang w:eastAsia="zh-CN"/>
              </w:rPr>
              <w:t>、</w:t>
            </w:r>
            <w:r>
              <w:rPr>
                <w:rFonts w:hint="eastAsia"/>
                <w:u w:val="single"/>
                <w:lang w:val="en-US" w:eastAsia="zh-CN"/>
              </w:rPr>
              <w:t>及烧熟煮透，消毒温度及时间</w:t>
            </w:r>
            <w:r>
              <w:rPr>
                <w:rFonts w:hint="eastAsia"/>
                <w:u w:val="single"/>
                <w:lang w:eastAsia="zh-CN"/>
              </w:rPr>
              <w:t>，</w:t>
            </w:r>
            <w:r>
              <w:rPr>
                <w:rFonts w:hint="eastAsia"/>
                <w:u w:val="single"/>
                <w:lang w:val="en-US" w:eastAsia="zh-CN"/>
              </w:rPr>
              <w:t>餐食温度及配送时间</w:t>
            </w:r>
            <w:r>
              <w:rPr>
                <w:u w:val="single"/>
              </w:rPr>
              <w:t xml:space="preserve">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color w:val="000000"/>
                <w:szCs w:val="18"/>
                <w:u w:val="single"/>
              </w:rPr>
              <w:t>产品第三方检测和厨余垃圾清运为外包过程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strike/>
                <w:dstrike w:val="0"/>
                <w:color w:val="000000"/>
                <w:szCs w:val="21"/>
              </w:rPr>
            </w:pPr>
            <w:r>
              <w:rPr>
                <w:rFonts w:hint="eastAsia" w:ascii="宋体" w:hAnsi="宋体"/>
                <w:strike/>
                <w:dstrike w:val="0"/>
                <w:color w:val="000000"/>
                <w:szCs w:val="21"/>
              </w:rPr>
              <w:t>特种设备管理</w:t>
            </w: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是否按法规要求检测和备案要且完好运行</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t>□是</w:t>
            </w:r>
          </w:p>
        </w:tc>
        <w:tc>
          <w:tcPr>
            <w:tcW w:w="1637"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sym w:font="Wingdings 2" w:char="0052"/>
            </w:r>
            <w:r>
              <w:rPr>
                <w:rFonts w:hint="eastAsia" w:ascii="宋体"/>
                <w:color w:val="000000"/>
                <w:szCs w:val="21"/>
              </w:rPr>
              <w:t>否</w:t>
            </w:r>
            <w:r>
              <w:rPr>
                <w:rFonts w:hint="eastAsia" w:ascii="宋体"/>
                <w:color w:val="000000"/>
                <w:szCs w:val="21"/>
                <w:lang w:eastAsia="zh-CN"/>
              </w:rPr>
              <w:t>，</w:t>
            </w:r>
            <w:r>
              <w:rPr>
                <w:rFonts w:hint="eastAsia" w:ascii="宋体"/>
                <w:color w:val="000000"/>
                <w:szCs w:val="21"/>
                <w:lang w:val="en-US" w:eastAsia="zh-CN"/>
              </w:rPr>
              <w:t>见问题清单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t>□产品技术标准</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客户要求</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是否有</w:t>
            </w:r>
            <w:r>
              <w:rPr>
                <w:rFonts w:hint="eastAsia" w:ascii="宋体"/>
                <w:strike/>
                <w:dstrike w:val="0"/>
                <w:color w:val="000000"/>
                <w:szCs w:val="21"/>
              </w:rPr>
              <w:t>型式试验</w:t>
            </w:r>
            <w:r>
              <w:rPr>
                <w:rFonts w:hint="eastAsia" w:ascii="宋体" w:hAnsi="宋体"/>
                <w:strike/>
                <w:dstrike w:val="0"/>
                <w:color w:val="000000"/>
                <w:szCs w:val="21"/>
              </w:rPr>
              <w:t>报告</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pacing w:val="-10"/>
                <w:szCs w:val="21"/>
              </w:rPr>
            </w:pPr>
            <w:r>
              <w:rPr>
                <w:rFonts w:hint="eastAsia" w:ascii="宋体" w:hAnsi="宋体"/>
                <w:strike/>
                <w:dstrike w:val="0"/>
                <w:color w:val="000000"/>
                <w:spacing w:val="-10"/>
                <w:szCs w:val="21"/>
              </w:rPr>
              <w:sym w:font="Wingdings 2" w:char="0052"/>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hint="default" w:ascii="宋体" w:eastAsia="宋体"/>
                <w:color w:val="00000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已收集处罚原因及处理证据</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strike/>
                <w:dstrike w:val="0"/>
                <w:color w:val="000000"/>
                <w:szCs w:val="21"/>
              </w:rPr>
            </w:pPr>
            <w:r>
              <w:rPr>
                <w:rFonts w:hint="eastAsia" w:ascii="宋体" w:hAnsi="宋体"/>
                <w:strike/>
                <w:dstrike w:val="0"/>
                <w:color w:val="000000"/>
                <w:szCs w:val="21"/>
              </w:rPr>
              <w:t>（6）对特种设备是否按法规要求检测和备案且完好运行</w:t>
            </w:r>
          </w:p>
        </w:tc>
        <w:tc>
          <w:tcPr>
            <w:tcW w:w="917" w:type="dxa"/>
            <w:shd w:val="clear" w:color="auto" w:fill="92D050"/>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526" w:type="dxa"/>
            <w:shd w:val="clear" w:color="auto" w:fill="92D050"/>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w:t>
            </w:r>
            <w:r>
              <w:rPr>
                <w:rFonts w:hint="eastAsia" w:ascii="宋体" w:hAnsi="宋体"/>
                <w:color w:val="000000"/>
                <w:spacing w:val="-10"/>
                <w:szCs w:val="21"/>
              </w:rPr>
              <w:sym w:font="Wingdings 2" w:char="0052"/>
            </w:r>
            <w:r>
              <w:rPr>
                <w:rFonts w:hint="eastAsia" w:ascii="宋体"/>
                <w:color w:val="000000"/>
                <w:szCs w:val="21"/>
              </w:rPr>
              <w:t>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65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宋体"/>
                <w:color w:val="000000"/>
                <w:spacing w:val="-10"/>
                <w:szCs w:val="21"/>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657" w:type="dxa"/>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充分</w:t>
            </w:r>
            <w:r>
              <w:rPr>
                <w:rFonts w:hint="eastAsia" w:ascii="宋体" w:hAnsi="宋体"/>
                <w:color w:val="000000"/>
                <w:szCs w:val="21"/>
                <w:lang w:eastAsia="zh-CN"/>
              </w:rPr>
              <w:t>，</w:t>
            </w:r>
            <w:r>
              <w:rPr>
                <w:rFonts w:hint="eastAsia" w:ascii="宋体" w:hAnsi="宋体"/>
                <w:color w:val="000000"/>
                <w:szCs w:val="21"/>
                <w:lang w:val="en-US" w:eastAsia="zh-CN"/>
              </w:rPr>
              <w:t>建议后期关注高低温危险源</w:t>
            </w:r>
          </w:p>
        </w:tc>
        <w:tc>
          <w:tcPr>
            <w:tcW w:w="1136"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strike/>
                <w:dstrike w:val="0"/>
                <w:color w:val="000000"/>
                <w:szCs w:val="21"/>
              </w:rPr>
            </w:pPr>
            <w:r>
              <w:rPr>
                <w:rFonts w:hint="eastAsia" w:ascii="宋体" w:hAnsi="宋体"/>
                <w:strike/>
                <w:dstrike w:val="0"/>
                <w:color w:val="000000"/>
                <w:szCs w:val="21"/>
              </w:rPr>
              <w:t>（7）对特种设备是否按法规要求检测和备案且完好运行</w:t>
            </w:r>
          </w:p>
        </w:tc>
        <w:tc>
          <w:tcPr>
            <w:tcW w:w="1657" w:type="dxa"/>
            <w:shd w:val="clear" w:color="auto" w:fill="FFFF00"/>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136" w:type="dxa"/>
            <w:shd w:val="clear" w:color="auto" w:fill="FFFF00"/>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657" w:type="dxa"/>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承包方负责</w:t>
            </w:r>
            <w:r>
              <w:rPr>
                <w:rFonts w:hint="eastAsia" w:ascii="宋体" w:hAnsi="宋体"/>
                <w:color w:val="000000"/>
                <w:szCs w:val="21"/>
                <w:lang w:eastAsia="zh-CN"/>
              </w:rPr>
              <w:t>）</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pStyle w:val="9"/>
        <w:ind w:left="0" w:leftChars="0" w:firstLine="0" w:firstLineChars="0"/>
        <w:rPr>
          <w:rFonts w:ascii="宋体"/>
          <w:b/>
          <w:color w:val="000000"/>
          <w:szCs w:val="21"/>
        </w:rPr>
      </w:pPr>
    </w:p>
    <w:p>
      <w:pPr>
        <w:pStyle w:val="2"/>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r>
              <w:rPr>
                <w:rFonts w:hint="eastAsia" w:ascii="宋体" w:hAnsi="宋体"/>
                <w:color w:val="000000"/>
                <w:szCs w:val="21"/>
                <w:lang w:val="en-US" w:eastAsia="zh-CN"/>
              </w:rPr>
              <w:t>[不适用]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trike/>
                <w:dstrike w:val="0"/>
                <w:sz w:val="20"/>
                <w:lang w:val="en-GB" w:eastAsia="zh-CN"/>
              </w:rPr>
            </w:pPr>
            <w:r>
              <w:rPr>
                <w:rFonts w:hint="eastAsia" w:ascii="宋体" w:hAnsi="宋体" w:eastAsia="宋体"/>
                <w:b w:val="0"/>
                <w:bCs/>
                <w:strike/>
                <w:dstrike w:val="0"/>
                <w:sz w:val="20"/>
                <w:lang w:val="en-GB" w:eastAsia="zh-CN"/>
              </w:rPr>
              <w:t>（</w:t>
            </w:r>
            <w:r>
              <w:rPr>
                <w:rFonts w:hint="eastAsia" w:ascii="宋体" w:hAnsi="宋体" w:eastAsia="宋体"/>
                <w:b w:val="0"/>
                <w:bCs/>
                <w:strike/>
                <w:dstrike w:val="0"/>
                <w:sz w:val="20"/>
                <w:lang w:val="en-US" w:eastAsia="zh-CN"/>
              </w:rPr>
              <w:t>8</w:t>
            </w:r>
            <w:r>
              <w:rPr>
                <w:rFonts w:hint="eastAsia" w:ascii="宋体" w:hAnsi="宋体" w:eastAsia="宋体"/>
                <w:b w:val="0"/>
                <w:bCs/>
                <w:strike/>
                <w:dstrike w:val="0"/>
                <w:sz w:val="20"/>
                <w:lang w:val="en-GB" w:eastAsia="zh-CN"/>
              </w:rPr>
              <w:t>）初步评价OPRP的</w:t>
            </w:r>
            <w:r>
              <w:rPr>
                <w:rFonts w:hint="eastAsia" w:ascii="宋体" w:hAnsi="宋体" w:eastAsia="宋体"/>
                <w:b w:val="0"/>
                <w:bCs/>
                <w:strike/>
                <w:dstrike w:val="0"/>
                <w:sz w:val="20"/>
                <w:lang w:val="en-US" w:eastAsia="zh-CN"/>
              </w:rPr>
              <w:t>策划和</w:t>
            </w:r>
            <w:r>
              <w:rPr>
                <w:rFonts w:hint="eastAsia" w:ascii="宋体" w:hAnsi="宋体" w:eastAsia="宋体"/>
                <w:b w:val="0"/>
                <w:bCs/>
                <w:strike/>
                <w:dstrike w:val="0"/>
                <w:sz w:val="20"/>
                <w:lang w:val="en-GB" w:eastAsia="zh-CN"/>
              </w:rPr>
              <w:t>实施是否符合要求【</w:t>
            </w:r>
            <w:r>
              <w:rPr>
                <w:rFonts w:hint="eastAsia" w:ascii="宋体" w:hAnsi="宋体" w:eastAsia="宋体"/>
                <w:b w:val="0"/>
                <w:bCs/>
                <w:strike/>
                <w:dstrike w:val="0"/>
                <w:sz w:val="20"/>
                <w:lang w:val="en-US" w:eastAsia="zh-CN"/>
              </w:rPr>
              <w:t>不适用</w:t>
            </w:r>
            <w:r>
              <w:rPr>
                <w:rFonts w:hint="eastAsia" w:ascii="宋体" w:hAnsi="宋体" w:eastAsia="宋体"/>
                <w:b w:val="0"/>
                <w:bCs/>
                <w:strike/>
                <w:dstrike w:val="0"/>
                <w:sz w:val="20"/>
                <w:lang w:val="en-GB" w:eastAsia="zh-CN"/>
              </w:rPr>
              <w:t>】</w:t>
            </w:r>
          </w:p>
        </w:tc>
        <w:tc>
          <w:tcPr>
            <w:tcW w:w="1063"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w:t>
            </w:r>
            <w:r>
              <w:rPr>
                <w:rFonts w:hint="eastAsia"/>
                <w:szCs w:val="18"/>
                <w:lang w:val="en-US" w:eastAsia="zh-CN"/>
              </w:rPr>
              <w:t>及</w:t>
            </w:r>
            <w:r>
              <w:rPr>
                <w:rFonts w:hint="eastAsia"/>
                <w:szCs w:val="18"/>
              </w:rPr>
              <w:t>关键限值</w:t>
            </w:r>
            <w:r>
              <w:rPr>
                <w:rFonts w:hint="eastAsia"/>
                <w:szCs w:val="18"/>
                <w:lang w:eastAsia="zh-CN"/>
              </w:rPr>
              <w:t>、</w:t>
            </w:r>
            <w:r>
              <w:rPr>
                <w:rFonts w:hint="eastAsia"/>
                <w:szCs w:val="18"/>
                <w:lang w:val="en-US" w:eastAsia="zh-CN"/>
              </w:rPr>
              <w:t>OPRP点及行动准则</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5"/>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w:t>
            </w:r>
            <w:r>
              <w:rPr>
                <w:rFonts w:hint="eastAsia" w:ascii="宋体" w:hAnsi="宋体"/>
                <w:color w:val="000000"/>
                <w:spacing w:val="-10"/>
                <w:szCs w:val="21"/>
                <w:lang w:val="en-US" w:eastAsia="zh-CN"/>
              </w:rPr>
              <w:t>/OPRP</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CCP4：工器具消毒；</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cs="Times New Roman"/>
                <w:color w:val="000000"/>
                <w:kern w:val="0"/>
                <w:sz w:val="21"/>
                <w:szCs w:val="21"/>
                <w:lang w:val="en-US" w:eastAsia="zh-CN" w:bidi="ar"/>
              </w:rPr>
              <w:t>OPRP1:</w:t>
            </w:r>
            <w:r>
              <w:rPr>
                <w:rFonts w:hint="default" w:ascii="Times New Roman" w:hAnsi="Times New Roman" w:eastAsia="宋体" w:cs="Times New Roman"/>
                <w:color w:val="000000"/>
                <w:kern w:val="0"/>
                <w:sz w:val="21"/>
                <w:szCs w:val="21"/>
                <w:lang w:val="en-US" w:eastAsia="zh-CN" w:bidi="ar"/>
              </w:rPr>
              <w:t>分餐</w:t>
            </w:r>
          </w:p>
          <w:p>
            <w:pPr>
              <w:pStyle w:val="2"/>
              <w:rPr>
                <w:rFonts w:hint="default"/>
                <w:lang w:val="en-US" w:eastAsia="zh-CN"/>
              </w:rPr>
            </w:pPr>
            <w:r>
              <w:rPr>
                <w:rFonts w:hint="eastAsia"/>
                <w:sz w:val="21"/>
                <w:szCs w:val="21"/>
                <w:lang w:val="en-US" w:eastAsia="zh-CN"/>
              </w:rPr>
              <w:t>OPRP2:配送</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zCs w:val="21"/>
                <w:lang w:val="en-US" w:eastAsia="zh-CN"/>
              </w:rPr>
              <w:t>/行动准则</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CCP1-1_CL：</w:t>
            </w:r>
            <w:r>
              <w:rPr>
                <w:rFonts w:hint="eastAsia" w:ascii="宋体" w:hAnsi="宋体" w:cs="宋体"/>
                <w:color w:val="000000"/>
                <w:spacing w:val="-10"/>
                <w:sz w:val="21"/>
                <w:szCs w:val="21"/>
                <w:u w:val="single"/>
                <w:lang w:val="en-US" w:eastAsia="zh-CN"/>
              </w:rPr>
              <w:t>每批次自测叶菜类农残，</w:t>
            </w:r>
            <w:r>
              <w:rPr>
                <w:rFonts w:hint="eastAsia" w:ascii="宋体" w:hAnsi="宋体" w:eastAsia="宋体" w:cs="宋体"/>
                <w:color w:val="000000"/>
                <w:kern w:val="0"/>
                <w:sz w:val="21"/>
                <w:szCs w:val="21"/>
                <w:u w:val="single"/>
                <w:lang w:val="en-US" w:eastAsia="zh-CN" w:bidi="ar"/>
              </w:rPr>
              <w:t>有机磷、氨基甲酸酯类抑制率≤50%；每</w:t>
            </w:r>
            <w:r>
              <w:rPr>
                <w:rFonts w:hint="eastAsia" w:ascii="宋体" w:hAnsi="宋体" w:cs="宋体"/>
                <w:color w:val="000000"/>
                <w:kern w:val="0"/>
                <w:sz w:val="21"/>
                <w:szCs w:val="21"/>
                <w:u w:val="single"/>
                <w:lang w:val="en-US" w:eastAsia="zh-CN" w:bidi="ar"/>
              </w:rPr>
              <w:t>季度</w:t>
            </w:r>
            <w:r>
              <w:rPr>
                <w:rFonts w:hint="eastAsia" w:ascii="宋体" w:hAnsi="宋体" w:eastAsia="宋体" w:cs="宋体"/>
                <w:color w:val="000000"/>
                <w:kern w:val="0"/>
                <w:sz w:val="21"/>
                <w:szCs w:val="21"/>
                <w:u w:val="single"/>
                <w:lang w:val="en-US" w:eastAsia="zh-CN" w:bidi="ar"/>
              </w:rPr>
              <w:t>查验蔬菜农药残留检测报告</w:t>
            </w:r>
            <w:r>
              <w:rPr>
                <w:rFonts w:hint="eastAsia" w:ascii="宋体" w:hAnsi="宋体" w:cs="宋体"/>
                <w:color w:val="000000"/>
                <w:spacing w:val="-10"/>
                <w:sz w:val="21"/>
                <w:szCs w:val="21"/>
                <w:u w:val="single"/>
                <w:lang w:val="en-US" w:eastAsia="zh-CN"/>
              </w:rPr>
              <w:t>；</w:t>
            </w:r>
          </w:p>
          <w:p>
            <w:pPr>
              <w:pStyle w:val="2"/>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CCP1-2_CL</w:t>
            </w:r>
            <w:r>
              <w:rPr>
                <w:rFonts w:hint="eastAsia" w:ascii="宋体" w:hAnsi="宋体" w:cs="宋体"/>
                <w:color w:val="000000"/>
                <w:spacing w:val="-10"/>
                <w:sz w:val="21"/>
                <w:szCs w:val="21"/>
                <w:u w:val="single"/>
                <w:lang w:val="en-US" w:eastAsia="zh-CN"/>
              </w:rPr>
              <w:t>：每批确认《动物检疫合格证明》，每年确认检测报告</w:t>
            </w:r>
            <w:r>
              <w:rPr>
                <w:rFonts w:hint="eastAsia" w:ascii="宋体" w:hAnsi="宋体" w:eastAsia="宋体" w:cs="宋体"/>
                <w:color w:val="000000"/>
                <w:spacing w:val="-10"/>
                <w:sz w:val="21"/>
                <w:szCs w:val="21"/>
                <w:u w:val="single"/>
                <w:lang w:val="en-US"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铁Φ2.5mm，不锈钢 Φ 3.0mm 通过能检出</w:t>
            </w:r>
            <w:r>
              <w:rPr>
                <w:rFonts w:hint="eastAsia" w:ascii="宋体" w:hAnsi="宋体" w:cs="宋体"/>
                <w:color w:val="000000"/>
                <w:spacing w:val="-10"/>
                <w:sz w:val="21"/>
                <w:szCs w:val="21"/>
                <w:lang w:val="en-US" w:eastAsia="zh-CN"/>
              </w:rPr>
              <w:t>；</w:t>
            </w:r>
          </w:p>
          <w:p>
            <w:pPr>
              <w:keepNext w:val="0"/>
              <w:keepLines w:val="0"/>
              <w:widowControl/>
              <w:suppressLineNumbers w:val="0"/>
              <w:jc w:val="left"/>
              <w:rPr>
                <w:sz w:val="21"/>
                <w:szCs w:val="21"/>
              </w:rPr>
            </w:pPr>
            <w:r>
              <w:rPr>
                <w:rFonts w:hint="eastAsia" w:ascii="宋体" w:hAnsi="宋体" w:eastAsia="宋体" w:cs="宋体"/>
                <w:color w:val="000000"/>
                <w:spacing w:val="-10"/>
                <w:sz w:val="21"/>
                <w:szCs w:val="21"/>
                <w:highlight w:val="none"/>
                <w:lang w:val="en-US" w:eastAsia="zh-CN"/>
              </w:rPr>
              <w:t>CCP4_CL</w:t>
            </w:r>
            <w:r>
              <w:rPr>
                <w:rFonts w:hint="eastAsia" w:ascii="宋体" w:hAnsi="宋体" w:cs="宋体"/>
                <w:color w:val="000000"/>
                <w:spacing w:val="-10"/>
                <w:sz w:val="21"/>
                <w:szCs w:val="21"/>
                <w:highlight w:val="none"/>
                <w:lang w:val="en-US" w:eastAsia="zh-CN"/>
              </w:rPr>
              <w:t>：</w:t>
            </w:r>
            <w:r>
              <w:rPr>
                <w:rFonts w:hint="eastAsia" w:ascii="宋体" w:hAnsi="宋体" w:eastAsia="宋体" w:cs="宋体"/>
                <w:color w:val="000000"/>
                <w:kern w:val="0"/>
                <w:sz w:val="21"/>
                <w:szCs w:val="21"/>
                <w:lang w:val="en-US" w:eastAsia="zh-CN" w:bidi="ar"/>
              </w:rPr>
              <w:t xml:space="preserve">冷消毒：200ppm84消毒液，浸泡 20 分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钟消毒；或 75%酒精喷洒消毒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热消毒：消毒温度 85℃、消毒时间 90 分钟</w:t>
            </w:r>
          </w:p>
          <w:p>
            <w:pPr>
              <w:keepNext w:val="0"/>
              <w:keepLines w:val="0"/>
              <w:widowControl/>
              <w:suppressLineNumbers w:val="0"/>
              <w:jc w:val="left"/>
              <w:rPr>
                <w:rFonts w:hint="eastAsia" w:ascii="宋体" w:hAnsi="宋体" w:eastAsia="宋体" w:cs="宋体"/>
                <w:sz w:val="21"/>
                <w:szCs w:val="21"/>
                <w:highlight w:val="magenta"/>
              </w:rPr>
            </w:pPr>
          </w:p>
          <w:p>
            <w:pPr>
              <w:keepNext w:val="0"/>
              <w:keepLines w:val="0"/>
              <w:widowControl/>
              <w:suppressLineNumbers w:val="0"/>
              <w:jc w:val="left"/>
              <w:rPr>
                <w:rFonts w:hint="default" w:ascii="Times New Roman" w:hAnsi="Times New Roman" w:cs="Times New Roman"/>
                <w:sz w:val="21"/>
                <w:szCs w:val="21"/>
                <w:highlight w:val="none"/>
                <w:lang w:val="en-US"/>
              </w:rPr>
            </w:pPr>
            <w:r>
              <w:rPr>
                <w:rFonts w:hint="default" w:ascii="Times New Roman" w:hAnsi="Times New Roman" w:cs="Times New Roman"/>
                <w:color w:val="000000"/>
                <w:kern w:val="0"/>
                <w:sz w:val="21"/>
                <w:szCs w:val="21"/>
                <w:highlight w:val="none"/>
                <w:lang w:val="en-US" w:eastAsia="zh-CN" w:bidi="ar"/>
              </w:rPr>
              <w:t>OPRP1</w:t>
            </w:r>
            <w:r>
              <w:rPr>
                <w:rFonts w:hint="eastAsia" w:ascii="Times New Roman" w:hAnsi="Times New Roman" w:cs="Times New Roman"/>
                <w:color w:val="000000"/>
                <w:kern w:val="0"/>
                <w:sz w:val="21"/>
                <w:szCs w:val="21"/>
                <w:highlight w:val="none"/>
                <w:lang w:val="en-US" w:eastAsia="zh-CN" w:bidi="ar"/>
              </w:rPr>
              <w:t>_行动准则：分餐区使用前紫外线消毒1小时</w:t>
            </w:r>
          </w:p>
          <w:p>
            <w:pPr>
              <w:rPr>
                <w:rFonts w:hint="default" w:ascii="宋体" w:eastAsia="宋体"/>
                <w:color w:val="000000"/>
                <w:spacing w:val="-10"/>
                <w:szCs w:val="21"/>
                <w:lang w:val="en-US" w:eastAsia="zh-CN"/>
              </w:rPr>
            </w:pPr>
            <w:r>
              <w:rPr>
                <w:rFonts w:hint="eastAsia"/>
                <w:sz w:val="21"/>
                <w:szCs w:val="21"/>
                <w:highlight w:val="none"/>
                <w:lang w:val="en-US" w:eastAsia="zh-CN"/>
              </w:rPr>
              <w:t>OPRP2—配送时间≤2h，到达交付时菜品中心温度≥60℃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ascii="宋体"/>
                <w:color w:val="000000"/>
                <w:spacing w:val="-10"/>
                <w:szCs w:val="21"/>
              </w:rPr>
            </w:pPr>
            <w:r>
              <w:rPr>
                <w:rFonts w:hint="eastAsia"/>
                <w:color w:val="000000"/>
                <w:szCs w:val="18"/>
                <w:u w:val="none"/>
              </w:rPr>
              <w:t>产品第三方检测和厨余垃圾清运</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不使用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E6E0EC" w:themeFill="accent4" w:themeFillTint="32"/>
          </w:tcPr>
          <w:p>
            <w:pPr>
              <w:rPr>
                <w:rFonts w:hint="default" w:ascii="宋体" w:eastAsia="宋体"/>
                <w:color w:val="000000"/>
                <w:szCs w:val="21"/>
                <w:lang w:val="en-US" w:eastAsia="zh-CN"/>
              </w:rPr>
            </w:pPr>
            <w:r>
              <w:rPr>
                <w:rFonts w:hint="eastAsia" w:ascii="宋体"/>
                <w:color w:val="000000"/>
                <w:szCs w:val="21"/>
              </w:rPr>
              <w:sym w:font="Wingdings 2" w:char="0052"/>
            </w:r>
            <w:r>
              <w:rPr>
                <w:rFonts w:hint="eastAsia" w:ascii="宋体"/>
                <w:color w:val="000000"/>
                <w:szCs w:val="21"/>
              </w:rPr>
              <w:t>是</w:t>
            </w:r>
            <w:r>
              <w:rPr>
                <w:rFonts w:hint="eastAsia" w:ascii="宋体"/>
                <w:color w:val="000000"/>
                <w:szCs w:val="21"/>
                <w:lang w:eastAsia="zh-CN"/>
              </w:rPr>
              <w:t>，</w:t>
            </w:r>
            <w:r>
              <w:rPr>
                <w:rFonts w:hint="eastAsia" w:ascii="宋体"/>
                <w:color w:val="000000"/>
                <w:szCs w:val="21"/>
                <w:lang w:val="en-US" w:eastAsia="zh-CN"/>
              </w:rPr>
              <w:t>但不充分，见问题清单</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是否满足生产/服务食品安全的需要</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u w:val="single"/>
                <w:lang w:val="en-US" w:eastAsia="zh-CN"/>
              </w:rPr>
              <w:t>运输配送</w:t>
            </w:r>
          </w:p>
        </w:tc>
      </w:tr>
    </w:tbl>
    <w:p>
      <w:pPr>
        <w:pStyle w:val="2"/>
        <w:rPr>
          <w:rFonts w:eastAsia="黑体"/>
          <w:szCs w:val="21"/>
        </w:rPr>
      </w:pPr>
    </w:p>
    <w:p>
      <w:pPr>
        <w:pStyle w:val="2"/>
        <w:rPr>
          <w:rFonts w:eastAsia="黑体"/>
          <w:szCs w:val="21"/>
        </w:rPr>
      </w:pPr>
    </w:p>
    <w:p>
      <w:pPr>
        <w:spacing w:before="156" w:beforeLines="50" w:line="320" w:lineRule="exact"/>
        <w:ind w:left="260" w:leftChars="124"/>
        <w:rPr>
          <w:rFonts w:ascii="宋体"/>
          <w:b/>
          <w:color w:val="000000"/>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关键控制点（CCP）的识别</w:t>
            </w:r>
          </w:p>
        </w:tc>
        <w:tc>
          <w:tcPr>
            <w:tcW w:w="5164" w:type="dxa"/>
            <w:shd w:val="clear" w:color="auto" w:fill="8DB3E2" w:themeFill="text2" w:themeFillTint="66"/>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CCP3:金属检测;</w:t>
            </w:r>
          </w:p>
          <w:p>
            <w:pPr>
              <w:keepNext w:val="0"/>
              <w:keepLines w:val="0"/>
              <w:widowControl/>
              <w:suppressLineNumbers w:val="0"/>
              <w:jc w:val="left"/>
              <w:rPr>
                <w:rFonts w:hint="eastAsia" w:ascii="宋体" w:hAnsi="宋体" w:eastAsia="宋体" w:cs="Times New Roman"/>
                <w:color w:val="000000"/>
                <w:szCs w:val="21"/>
              </w:rPr>
            </w:pPr>
            <w:r>
              <w:rPr>
                <w:rFonts w:hint="eastAsia"/>
                <w:sz w:val="21"/>
                <w:szCs w:val="21"/>
                <w:lang w:val="en-US" w:eastAsia="zh-CN"/>
              </w:rPr>
              <w:t>CCP4：工器具消毒</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2791"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关键限值（CL）的识别</w:t>
            </w:r>
          </w:p>
        </w:tc>
        <w:tc>
          <w:tcPr>
            <w:tcW w:w="5164" w:type="dxa"/>
            <w:shd w:val="clear" w:color="auto" w:fill="8DB3E2" w:themeFill="text2" w:themeFillTint="66"/>
          </w:tcPr>
          <w:p>
            <w:pPr>
              <w:keepNext w:val="0"/>
              <w:keepLines w:val="0"/>
              <w:widowControl/>
              <w:suppressLineNumbers w:val="0"/>
              <w:jc w:val="left"/>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CCP1-1_CL：</w:t>
            </w:r>
            <w:r>
              <w:rPr>
                <w:rFonts w:hint="eastAsia" w:ascii="宋体" w:hAnsi="宋体" w:cs="宋体"/>
                <w:color w:val="000000"/>
                <w:spacing w:val="-10"/>
                <w:sz w:val="21"/>
                <w:szCs w:val="21"/>
                <w:u w:val="single"/>
                <w:lang w:val="en-US" w:eastAsia="zh-CN"/>
              </w:rPr>
              <w:t>每批次自测叶菜类农残，</w:t>
            </w:r>
            <w:r>
              <w:rPr>
                <w:rFonts w:hint="eastAsia" w:ascii="宋体" w:hAnsi="宋体" w:eastAsia="宋体" w:cs="宋体"/>
                <w:color w:val="000000"/>
                <w:kern w:val="0"/>
                <w:sz w:val="21"/>
                <w:szCs w:val="21"/>
                <w:u w:val="single"/>
                <w:lang w:val="en-US" w:eastAsia="zh-CN" w:bidi="ar"/>
              </w:rPr>
              <w:t>有机磷、氨基甲酸酯类抑制率≤50%；每</w:t>
            </w:r>
            <w:r>
              <w:rPr>
                <w:rFonts w:hint="eastAsia" w:ascii="宋体" w:hAnsi="宋体" w:cs="宋体"/>
                <w:color w:val="000000"/>
                <w:kern w:val="0"/>
                <w:sz w:val="21"/>
                <w:szCs w:val="21"/>
                <w:u w:val="single"/>
                <w:lang w:val="en-US" w:eastAsia="zh-CN" w:bidi="ar"/>
              </w:rPr>
              <w:t>季度</w:t>
            </w:r>
            <w:r>
              <w:rPr>
                <w:rFonts w:hint="eastAsia" w:ascii="宋体" w:hAnsi="宋体" w:eastAsia="宋体" w:cs="宋体"/>
                <w:color w:val="000000"/>
                <w:kern w:val="0"/>
                <w:sz w:val="21"/>
                <w:szCs w:val="21"/>
                <w:u w:val="single"/>
                <w:lang w:val="en-US" w:eastAsia="zh-CN" w:bidi="ar"/>
              </w:rPr>
              <w:t>查验蔬菜农药残留检测报告</w:t>
            </w:r>
            <w:r>
              <w:rPr>
                <w:rFonts w:hint="eastAsia" w:ascii="宋体" w:hAnsi="宋体" w:cs="宋体"/>
                <w:color w:val="000000"/>
                <w:spacing w:val="-10"/>
                <w:sz w:val="21"/>
                <w:szCs w:val="21"/>
                <w:u w:val="single"/>
                <w:lang w:val="en-US" w:eastAsia="zh-CN"/>
              </w:rPr>
              <w:t>；</w:t>
            </w:r>
          </w:p>
          <w:p>
            <w:pPr>
              <w:pStyle w:val="2"/>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CCP1-2_CL</w:t>
            </w:r>
            <w:r>
              <w:rPr>
                <w:rFonts w:hint="eastAsia" w:ascii="宋体" w:hAnsi="宋体" w:cs="宋体"/>
                <w:color w:val="000000"/>
                <w:spacing w:val="-10"/>
                <w:sz w:val="21"/>
                <w:szCs w:val="21"/>
                <w:u w:val="single"/>
                <w:lang w:val="en-US" w:eastAsia="zh-CN"/>
              </w:rPr>
              <w:t>：每批确认《动物检疫合格证明》，每年确认检测报告</w:t>
            </w:r>
            <w:r>
              <w:rPr>
                <w:rFonts w:hint="eastAsia" w:ascii="宋体" w:hAnsi="宋体" w:eastAsia="宋体" w:cs="宋体"/>
                <w:color w:val="000000"/>
                <w:spacing w:val="-10"/>
                <w:sz w:val="21"/>
                <w:szCs w:val="21"/>
                <w:u w:val="single"/>
                <w:lang w:val="en-US"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烧熟煮透，中心温度≥70℃</w:t>
            </w:r>
          </w:p>
          <w:p>
            <w:pPr>
              <w:pStyle w:val="2"/>
              <w:ind w:left="950" w:hanging="950" w:hangingChars="500"/>
              <w:rPr>
                <w:rFonts w:hint="eastAsia" w:ascii="宋体" w:hAnsi="宋体" w:eastAsia="宋体" w:cs="宋体"/>
                <w:color w:val="000000"/>
                <w:spacing w:val="-10"/>
                <w:sz w:val="21"/>
                <w:szCs w:val="21"/>
                <w:lang w:val="en-US" w:eastAsia="zh-CN"/>
              </w:rPr>
            </w:pPr>
            <w:r>
              <w:rPr>
                <w:rFonts w:hint="eastAsia" w:ascii="宋体" w:hAnsi="宋体" w:eastAsia="宋体" w:cs="宋体"/>
                <w:color w:val="000000"/>
                <w:spacing w:val="-10"/>
                <w:sz w:val="21"/>
                <w:szCs w:val="21"/>
                <w:lang w:val="en-US" w:eastAsia="zh-CN"/>
              </w:rPr>
              <w:t>CCP3_CL</w:t>
            </w:r>
            <w:r>
              <w:rPr>
                <w:rFonts w:hint="eastAsia" w:ascii="宋体" w:hAnsi="宋体" w:cs="宋体"/>
                <w:color w:val="000000"/>
                <w:spacing w:val="-10"/>
                <w:sz w:val="21"/>
                <w:szCs w:val="21"/>
                <w:lang w:val="en-US" w:eastAsia="zh-CN"/>
              </w:rPr>
              <w:t>：</w:t>
            </w:r>
            <w:r>
              <w:rPr>
                <w:rFonts w:hint="eastAsia" w:ascii="宋体" w:hAnsi="宋体" w:eastAsia="宋体" w:cs="宋体"/>
                <w:color w:val="000000"/>
                <w:spacing w:val="-10"/>
                <w:sz w:val="21"/>
                <w:szCs w:val="21"/>
                <w:lang w:val="en-US" w:eastAsia="zh-CN"/>
              </w:rPr>
              <w:t>铁Φ2.5mm，不锈钢 Φ 3.0mm 通过能检出</w:t>
            </w:r>
            <w:r>
              <w:rPr>
                <w:rFonts w:hint="eastAsia" w:ascii="宋体" w:hAnsi="宋体" w:cs="宋体"/>
                <w:color w:val="000000"/>
                <w:spacing w:val="-10"/>
                <w:sz w:val="21"/>
                <w:szCs w:val="21"/>
                <w:lang w:val="en-US" w:eastAsia="zh-CN"/>
              </w:rPr>
              <w:t>；</w:t>
            </w:r>
          </w:p>
          <w:p>
            <w:pPr>
              <w:keepNext w:val="0"/>
              <w:keepLines w:val="0"/>
              <w:widowControl/>
              <w:suppressLineNumbers w:val="0"/>
              <w:jc w:val="left"/>
              <w:rPr>
                <w:sz w:val="21"/>
                <w:szCs w:val="21"/>
              </w:rPr>
            </w:pPr>
            <w:r>
              <w:rPr>
                <w:rFonts w:hint="eastAsia" w:ascii="宋体" w:hAnsi="宋体" w:eastAsia="宋体" w:cs="宋体"/>
                <w:color w:val="000000"/>
                <w:spacing w:val="-10"/>
                <w:sz w:val="21"/>
                <w:szCs w:val="21"/>
                <w:highlight w:val="none"/>
                <w:lang w:val="en-US" w:eastAsia="zh-CN"/>
              </w:rPr>
              <w:t>CCP4_CL</w:t>
            </w:r>
            <w:r>
              <w:rPr>
                <w:rFonts w:hint="eastAsia" w:ascii="宋体" w:hAnsi="宋体" w:cs="宋体"/>
                <w:color w:val="000000"/>
                <w:spacing w:val="-10"/>
                <w:sz w:val="21"/>
                <w:szCs w:val="21"/>
                <w:highlight w:val="none"/>
                <w:lang w:val="en-US" w:eastAsia="zh-CN"/>
              </w:rPr>
              <w:t>：</w:t>
            </w:r>
            <w:r>
              <w:rPr>
                <w:rFonts w:hint="eastAsia" w:ascii="宋体" w:hAnsi="宋体" w:eastAsia="宋体" w:cs="宋体"/>
                <w:color w:val="000000"/>
                <w:kern w:val="0"/>
                <w:sz w:val="21"/>
                <w:szCs w:val="21"/>
                <w:lang w:val="en-US" w:eastAsia="zh-CN" w:bidi="ar"/>
              </w:rPr>
              <w:t>冷消毒：200ppm84消毒液，浸泡20分钟消毒；或 75%酒精喷洒消毒</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热消毒：消毒温度 85℃、消毒时间 90 分钟</w:t>
            </w:r>
          </w:p>
          <w:p>
            <w:pPr>
              <w:keepNext w:val="0"/>
              <w:keepLines w:val="0"/>
              <w:widowControl/>
              <w:suppressLineNumbers w:val="0"/>
              <w:jc w:val="left"/>
              <w:rPr>
                <w:rFonts w:hint="eastAsia" w:ascii="宋体" w:hAnsi="宋体" w:eastAsia="宋体" w:cs="Times New Roman"/>
                <w:color w:val="000000"/>
                <w:szCs w:val="21"/>
              </w:rPr>
            </w:pP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tcPr>
          <w:p>
            <w:pPr>
              <w:rPr>
                <w:rFonts w:hint="eastAsia" w:ascii="宋体" w:hAnsi="宋体" w:eastAsia="宋体" w:cs="Times New Roman"/>
                <w:color w:val="000000"/>
                <w:szCs w:val="21"/>
              </w:rPr>
            </w:pPr>
            <w:r>
              <w:rPr>
                <w:rFonts w:hint="eastAsia"/>
                <w:color w:val="000000"/>
                <w:szCs w:val="18"/>
                <w:u w:val="none"/>
              </w:rPr>
              <w:t>产品第三方检测和厨余垃圾清运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107"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zCs w:val="21"/>
              </w:rPr>
              <w:sym w:font="Wingdings 2" w:char="00A3"/>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tcPr>
          <w:p>
            <w:pPr>
              <w:rPr>
                <w:rFonts w:hint="eastAsia" w:ascii="宋体" w:hAnsi="宋体" w:eastAsia="宋体" w:cs="Times New Roman"/>
                <w:color w:val="000000"/>
                <w:szCs w:val="21"/>
                <w:lang w:eastAsia="zh-CN"/>
              </w:rPr>
            </w:pPr>
            <w:r>
              <w:rPr>
                <w:rFonts w:hint="eastAsia" w:ascii="宋体" w:hAnsi="宋体" w:eastAsia="宋体" w:cs="Times New Roman"/>
                <w:color w:val="000000"/>
                <w:szCs w:val="21"/>
                <w:lang w:val="en-US" w:eastAsia="zh-CN"/>
              </w:rPr>
              <w:t>不使用</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A3"/>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rPr>
              <w:t>运输</w:t>
            </w:r>
            <w:r>
              <w:rPr>
                <w:rFonts w:hint="eastAsia" w:ascii="宋体" w:hAnsi="宋体"/>
                <w:b/>
                <w:color w:val="000000"/>
                <w:sz w:val="20"/>
                <w:szCs w:val="20"/>
                <w:lang w:val="en-US" w:eastAsia="zh-CN"/>
              </w:rPr>
              <w:t>配送</w:t>
            </w:r>
            <w:r>
              <w:rPr>
                <w:rFonts w:hint="eastAsia" w:ascii="宋体" w:hAnsi="宋体"/>
                <w:b/>
                <w:color w:val="000000"/>
                <w:sz w:val="20"/>
                <w:szCs w:val="20"/>
              </w:rPr>
              <w:t>过程</w:t>
            </w:r>
          </w:p>
        </w:tc>
      </w:tr>
    </w:tbl>
    <w:p>
      <w:pPr>
        <w:pStyle w:val="9"/>
        <w:ind w:left="0" w:leftChars="0" w:firstLine="0" w:firstLineChars="0"/>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2022-08-</w:t>
            </w:r>
            <w:bookmarkEnd w:id="37"/>
            <w:r>
              <w:rPr>
                <w:rFonts w:hint="eastAsia" w:ascii="宋体"/>
                <w:b/>
                <w:color w:val="000000"/>
                <w:szCs w:val="21"/>
                <w:lang w:val="en-US" w:eastAsia="zh-CN"/>
              </w:rPr>
              <w:t>25日上午</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ascii="宋体" w:hAnsi="宋体"/>
          <w:b/>
          <w:color w:val="000000"/>
          <w:szCs w:val="21"/>
        </w:rPr>
        <w:drawing>
          <wp:anchor distT="0" distB="0" distL="114300" distR="114300" simplePos="0" relativeHeight="251661312" behindDoc="1" locked="0" layoutInCell="1" allowOverlap="1">
            <wp:simplePos x="0" y="0"/>
            <wp:positionH relativeFrom="column">
              <wp:posOffset>2172335</wp:posOffset>
            </wp:positionH>
            <wp:positionV relativeFrom="paragraph">
              <wp:posOffset>71755</wp:posOffset>
            </wp:positionV>
            <wp:extent cx="846455" cy="492125"/>
            <wp:effectExtent l="0" t="0" r="4445" b="3175"/>
            <wp:wrapTight wrapText="bothSides">
              <wp:wrapPolygon>
                <wp:start x="0" y="0"/>
                <wp:lineTo x="0" y="21182"/>
                <wp:lineTo x="21389" y="21182"/>
                <wp:lineTo x="21389" y="0"/>
                <wp:lineTo x="0" y="0"/>
              </wp:wrapPolygon>
            </wp:wrapTight>
            <wp:docPr id="2" name="图片 2" descr="1655823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5823099(1)"/>
                    <pic:cNvPicPr>
                      <a:picLocks noChangeAspect="1"/>
                    </pic:cNvPicPr>
                  </pic:nvPicPr>
                  <pic:blipFill>
                    <a:blip r:embed="rId6"/>
                    <a:stretch>
                      <a:fillRect/>
                    </a:stretch>
                  </pic:blipFill>
                  <pic:spPr>
                    <a:xfrm>
                      <a:off x="0" y="0"/>
                      <a:ext cx="846455" cy="492125"/>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anchor distT="0" distB="0" distL="114300" distR="114300" simplePos="0" relativeHeight="251662336" behindDoc="1" locked="0" layoutInCell="1" allowOverlap="1">
            <wp:simplePos x="0" y="0"/>
            <wp:positionH relativeFrom="column">
              <wp:posOffset>4330065</wp:posOffset>
            </wp:positionH>
            <wp:positionV relativeFrom="paragraph">
              <wp:posOffset>-88900</wp:posOffset>
            </wp:positionV>
            <wp:extent cx="628650" cy="285750"/>
            <wp:effectExtent l="0" t="0" r="6350" b="6350"/>
            <wp:wrapTight wrapText="bothSides">
              <wp:wrapPolygon>
                <wp:start x="0" y="0"/>
                <wp:lineTo x="0" y="21120"/>
                <wp:lineTo x="21382" y="21120"/>
                <wp:lineTo x="21382" y="0"/>
                <wp:lineTo x="0" y="0"/>
              </wp:wrapPolygon>
            </wp:wrapTight>
            <wp:docPr id="3" name="图片 3" descr="165286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864589(1)"/>
                    <pic:cNvPicPr>
                      <a:picLocks noChangeAspect="1"/>
                    </pic:cNvPicPr>
                  </pic:nvPicPr>
                  <pic:blipFill>
                    <a:blip r:embed="rId7"/>
                    <a:stretch>
                      <a:fillRect/>
                    </a:stretch>
                  </pic:blipFill>
                  <pic:spPr>
                    <a:xfrm>
                      <a:off x="0" y="0"/>
                      <a:ext cx="628650" cy="285750"/>
                    </a:xfrm>
                    <a:prstGeom prst="rect">
                      <a:avLst/>
                    </a:prstGeom>
                  </pic:spPr>
                </pic:pic>
              </a:graphicData>
            </a:graphic>
          </wp:anchor>
        </w:drawing>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2022-08-24日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平湖聚笙餐饮管理有限公司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899"/>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7" w:type="dxa"/>
            <w:vAlign w:val="center"/>
          </w:tcPr>
          <w:p>
            <w:pPr>
              <w:snapToGrid w:val="0"/>
              <w:spacing w:line="360" w:lineRule="auto"/>
              <w:jc w:val="center"/>
              <w:rPr>
                <w:rFonts w:hint="default" w:ascii="Times New Roman" w:hAnsi="Times New Roman" w:eastAsia="黑体" w:cs="Times New Roman"/>
                <w:b/>
                <w:bCs/>
                <w:color w:val="auto"/>
                <w:szCs w:val="21"/>
              </w:rPr>
            </w:pPr>
            <w:r>
              <w:rPr>
                <w:rFonts w:hint="default" w:ascii="Times New Roman" w:hAnsi="Times New Roman" w:eastAsia="黑体" w:cs="Times New Roman"/>
                <w:b/>
                <w:bCs/>
                <w:color w:val="auto"/>
                <w:szCs w:val="21"/>
              </w:rPr>
              <w:t>序号</w:t>
            </w:r>
          </w:p>
        </w:tc>
        <w:tc>
          <w:tcPr>
            <w:tcW w:w="6302" w:type="dxa"/>
            <w:gridSpan w:val="2"/>
            <w:vAlign w:val="center"/>
          </w:tcPr>
          <w:p>
            <w:pPr>
              <w:snapToGrid w:val="0"/>
              <w:spacing w:line="360" w:lineRule="auto"/>
              <w:jc w:val="center"/>
              <w:rPr>
                <w:rFonts w:hint="default" w:ascii="Times New Roman" w:hAnsi="Times New Roman" w:eastAsia="黑体" w:cs="Times New Roman"/>
                <w:b/>
                <w:bCs/>
                <w:color w:val="auto"/>
                <w:szCs w:val="21"/>
              </w:rPr>
            </w:pPr>
            <w:r>
              <w:rPr>
                <w:rFonts w:hint="default" w:ascii="Times New Roman" w:hAnsi="Times New Roman" w:eastAsia="黑体" w:cs="Times New Roman"/>
                <w:b/>
                <w:bCs/>
                <w:color w:val="auto"/>
                <w:szCs w:val="21"/>
              </w:rPr>
              <w:t>问题描述</w:t>
            </w:r>
          </w:p>
        </w:tc>
        <w:tc>
          <w:tcPr>
            <w:tcW w:w="922" w:type="dxa"/>
            <w:vAlign w:val="center"/>
          </w:tcPr>
          <w:p>
            <w:pPr>
              <w:snapToGrid w:val="0"/>
              <w:spacing w:line="360" w:lineRule="auto"/>
              <w:jc w:val="center"/>
              <w:rPr>
                <w:rFonts w:hint="default" w:ascii="Times New Roman" w:hAnsi="Times New Roman" w:eastAsia="黑体" w:cs="Times New Roman"/>
                <w:b/>
                <w:bCs/>
                <w:color w:val="auto"/>
                <w:szCs w:val="21"/>
              </w:rPr>
            </w:pPr>
            <w:r>
              <w:rPr>
                <w:rFonts w:hint="default" w:ascii="Times New Roman" w:hAnsi="Times New Roman" w:eastAsia="黑体" w:cs="Times New Roman"/>
                <w:b/>
                <w:bCs/>
                <w:color w:val="auto"/>
                <w:szCs w:val="21"/>
              </w:rPr>
              <w:t>管理体系标准</w:t>
            </w:r>
          </w:p>
        </w:tc>
        <w:tc>
          <w:tcPr>
            <w:tcW w:w="1133" w:type="dxa"/>
            <w:vAlign w:val="center"/>
          </w:tcPr>
          <w:p>
            <w:pPr>
              <w:snapToGrid w:val="0"/>
              <w:spacing w:line="360" w:lineRule="auto"/>
              <w:jc w:val="center"/>
              <w:rPr>
                <w:rFonts w:hint="default" w:ascii="Times New Roman" w:hAnsi="Times New Roman" w:eastAsia="黑体" w:cs="Times New Roman"/>
                <w:b/>
                <w:bCs/>
                <w:color w:val="auto"/>
                <w:szCs w:val="21"/>
              </w:rPr>
            </w:pPr>
            <w:r>
              <w:rPr>
                <w:rFonts w:hint="default" w:ascii="Times New Roman" w:hAnsi="Times New Roman" w:eastAsia="黑体" w:cs="Times New Roman"/>
                <w:b/>
                <w:bCs/>
                <w:color w:val="auto"/>
                <w:szCs w:val="21"/>
              </w:rPr>
              <w:t>对应的标准条款</w:t>
            </w:r>
          </w:p>
        </w:tc>
        <w:tc>
          <w:tcPr>
            <w:tcW w:w="934" w:type="dxa"/>
            <w:vAlign w:val="center"/>
          </w:tcPr>
          <w:p>
            <w:pPr>
              <w:snapToGrid w:val="0"/>
              <w:spacing w:line="360" w:lineRule="auto"/>
              <w:jc w:val="center"/>
              <w:rPr>
                <w:rFonts w:hint="default" w:ascii="Times New Roman" w:hAnsi="Times New Roman" w:eastAsia="黑体" w:cs="Times New Roman"/>
                <w:b/>
                <w:bCs/>
                <w:color w:val="auto"/>
                <w:szCs w:val="21"/>
              </w:rPr>
            </w:pPr>
            <w:r>
              <w:rPr>
                <w:rFonts w:hint="default" w:ascii="Times New Roman" w:hAnsi="Times New Roman" w:eastAsia="黑体" w:cs="Times New Roman"/>
                <w:b/>
                <w:bCs/>
                <w:color w:val="auto"/>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查看现场：</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洗碗间与加工间通道直通，餐食封盖（属内包）在外包区域（操作人员也未佩戴口罩），存在重大交叉风险；</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Q</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8.5.1</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8.2</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8.3</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查看现场：</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更衣室内洗手池无法使用；也未张贴洗手消毒流程；更衣室窗户打开并且无纱窗等防护；</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lang w:val="en-US" w:eastAsia="zh-CN"/>
              </w:rPr>
              <w:t>更衣室内存放喷壶等杂物；</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3）</w:t>
            </w:r>
            <w:r>
              <w:rPr>
                <w:rFonts w:hint="default" w:ascii="Times New Roman" w:hAnsi="Times New Roman" w:eastAsia="黑体" w:cs="Times New Roman"/>
                <w:color w:val="auto"/>
                <w:sz w:val="21"/>
                <w:szCs w:val="21"/>
              </w:rPr>
              <w:t>一次更衣室及二次更衣室内均未配置紫外线灯；</w:t>
            </w:r>
          </w:p>
          <w:p>
            <w:pPr>
              <w:pStyle w:val="7"/>
              <w:numPr>
                <w:ilvl w:val="0"/>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4）</w:t>
            </w:r>
            <w:r>
              <w:rPr>
                <w:rFonts w:hint="default" w:ascii="Times New Roman" w:hAnsi="Times New Roman" w:eastAsia="黑体" w:cs="Times New Roman"/>
                <w:color w:val="auto"/>
                <w:sz w:val="21"/>
                <w:szCs w:val="21"/>
              </w:rPr>
              <w:t>厨房灶台发现有钢丝球；</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5）</w:t>
            </w:r>
            <w:r>
              <w:rPr>
                <w:rFonts w:hint="default" w:ascii="Times New Roman" w:hAnsi="Times New Roman" w:eastAsia="黑体" w:cs="Times New Roman"/>
                <w:color w:val="auto"/>
                <w:sz w:val="21"/>
                <w:szCs w:val="21"/>
              </w:rPr>
              <w:t>排水沟沟壁积垢明显，并有异味；</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6）</w:t>
            </w:r>
            <w:r>
              <w:rPr>
                <w:rFonts w:hint="default" w:ascii="Times New Roman" w:hAnsi="Times New Roman" w:eastAsia="黑体" w:cs="Times New Roman"/>
                <w:color w:val="auto"/>
                <w:sz w:val="21"/>
                <w:szCs w:val="21"/>
              </w:rPr>
              <w:t>冷冻库冰霜很厚，现场显示温度为-0.5℃，产品有着地放置情况；</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7）</w:t>
            </w:r>
            <w:r>
              <w:rPr>
                <w:rFonts w:hint="default" w:ascii="Times New Roman" w:hAnsi="Times New Roman" w:eastAsia="黑体" w:cs="Times New Roman"/>
                <w:color w:val="auto"/>
                <w:sz w:val="21"/>
                <w:szCs w:val="21"/>
              </w:rPr>
              <w:t>现场查看</w:t>
            </w:r>
            <w:r>
              <w:rPr>
                <w:rFonts w:hint="default" w:ascii="Times New Roman" w:hAnsi="Times New Roman" w:eastAsia="黑体" w:cs="Times New Roman"/>
                <w:color w:val="auto"/>
                <w:sz w:val="21"/>
                <w:szCs w:val="21"/>
                <w:lang w:val="en-US" w:eastAsia="zh-CN"/>
              </w:rPr>
              <w:t>生产加工间</w:t>
            </w:r>
            <w:r>
              <w:rPr>
                <w:rFonts w:hint="default" w:ascii="Times New Roman" w:hAnsi="Times New Roman" w:eastAsia="黑体" w:cs="Times New Roman"/>
                <w:color w:val="auto"/>
                <w:sz w:val="21"/>
                <w:szCs w:val="21"/>
              </w:rPr>
              <w:t xml:space="preserve">所有灭蝇灯均未开启，同时，厨房间内灭蝇灯有较多蚊蝇，未及时处理； </w:t>
            </w:r>
          </w:p>
          <w:p>
            <w:pPr>
              <w:pStyle w:val="7"/>
              <w:numPr>
                <w:ilvl w:val="0"/>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8）</w:t>
            </w:r>
            <w:r>
              <w:rPr>
                <w:rFonts w:hint="default" w:ascii="Times New Roman" w:hAnsi="Times New Roman" w:eastAsia="黑体" w:cs="Times New Roman"/>
                <w:color w:val="auto"/>
                <w:sz w:val="21"/>
                <w:szCs w:val="21"/>
              </w:rPr>
              <w:t>分餐间内员工有未佩戴口罩情况；</w:t>
            </w:r>
            <w:r>
              <w:rPr>
                <w:rFonts w:hint="default" w:ascii="Times New Roman" w:hAnsi="Times New Roman" w:eastAsia="黑体" w:cs="Times New Roman"/>
                <w:color w:val="auto"/>
                <w:sz w:val="21"/>
                <w:szCs w:val="21"/>
                <w:lang w:val="en-US" w:eastAsia="zh-CN"/>
              </w:rPr>
              <w:t>分餐间</w:t>
            </w:r>
            <w:r>
              <w:rPr>
                <w:rFonts w:hint="default" w:ascii="Times New Roman" w:hAnsi="Times New Roman" w:eastAsia="黑体" w:cs="Times New Roman"/>
                <w:color w:val="auto"/>
                <w:sz w:val="21"/>
                <w:szCs w:val="21"/>
              </w:rPr>
              <w:t>柜子内存放有用纸箱盛放的杂物；工服和工器具等物品混放；</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9</w:t>
            </w:r>
            <w:r>
              <w:rPr>
                <w:rFonts w:hint="default" w:ascii="Times New Roman" w:hAnsi="Times New Roman" w:eastAsia="黑体" w:cs="Times New Roman"/>
                <w:color w:val="auto"/>
                <w:sz w:val="21"/>
                <w:szCs w:val="21"/>
              </w:rPr>
              <w:t>）餐具器消毒间出口存放有汤桶（有水迹，无法判断是否消毒），部分汤桶着地放置；</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1</w:t>
            </w:r>
            <w:r>
              <w:rPr>
                <w:rFonts w:hint="eastAsia" w:ascii="Times New Roman" w:hAnsi="Times New Roman" w:eastAsia="黑体" w:cs="Times New Roman"/>
                <w:color w:val="auto"/>
                <w:sz w:val="21"/>
                <w:szCs w:val="21"/>
                <w:lang w:val="en-US" w:eastAsia="zh-CN"/>
              </w:rPr>
              <w:t>0</w:t>
            </w:r>
            <w:r>
              <w:rPr>
                <w:rFonts w:hint="default" w:ascii="Times New Roman" w:hAnsi="Times New Roman" w:eastAsia="黑体" w:cs="Times New Roman"/>
                <w:color w:val="auto"/>
                <w:sz w:val="21"/>
                <w:szCs w:val="21"/>
                <w:lang w:val="en-US" w:eastAsia="zh-CN"/>
              </w:rPr>
              <w:t>）</w:t>
            </w:r>
            <w:r>
              <w:rPr>
                <w:rFonts w:hint="default" w:ascii="Times New Roman" w:hAnsi="Times New Roman" w:eastAsia="黑体" w:cs="Times New Roman"/>
                <w:color w:val="auto"/>
                <w:sz w:val="21"/>
                <w:szCs w:val="21"/>
              </w:rPr>
              <w:t>仓库整理箱内发现有很多老鼠粪便，仓库及餐器具消毒间上方天花板未封闭，</w:t>
            </w:r>
            <w:r>
              <w:rPr>
                <w:rFonts w:hint="default" w:ascii="Times New Roman" w:hAnsi="Times New Roman" w:eastAsia="黑体" w:cs="Times New Roman"/>
                <w:color w:val="auto"/>
                <w:sz w:val="21"/>
                <w:szCs w:val="21"/>
                <w:lang w:val="en-US" w:eastAsia="zh-CN"/>
              </w:rPr>
              <w:t>库房及车间</w:t>
            </w:r>
            <w:r>
              <w:rPr>
                <w:rFonts w:hint="default" w:ascii="Times New Roman" w:hAnsi="Times New Roman" w:eastAsia="黑体" w:cs="Times New Roman"/>
                <w:color w:val="auto"/>
                <w:sz w:val="21"/>
                <w:szCs w:val="21"/>
              </w:rPr>
              <w:t>出入口无挡鼠板；</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Q</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8.5.1</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8.2</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3.3</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37" w:type="dxa"/>
            <w:vAlign w:val="center"/>
          </w:tcPr>
          <w:p>
            <w:pPr>
              <w:pStyle w:val="7"/>
              <w:pBdr>
                <w:bottom w:val="none" w:color="auto" w:sz="0" w:space="0"/>
              </w:pBdr>
              <w:spacing w:line="360" w:lineRule="auto"/>
              <w:ind w:right="600" w:rightChars="0"/>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3</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1）仓库中化学品未未见标识，与其他物品混放；</w:t>
            </w:r>
          </w:p>
          <w:p>
            <w:pPr>
              <w:pStyle w:val="7"/>
              <w:numPr>
                <w:ilvl w:val="0"/>
                <w:numId w:val="0"/>
              </w:numPr>
              <w:pBdr>
                <w:bottom w:val="none" w:color="auto" w:sz="0" w:space="0"/>
              </w:pBdr>
              <w:tabs>
                <w:tab w:val="center" w:pos="5737"/>
                <w:tab w:val="clear" w:pos="4153"/>
              </w:tabs>
              <w:spacing w:line="360" w:lineRule="auto"/>
              <w:ind w:left="0" w:leftChars="0" w:firstLine="0" w:firstLineChars="0"/>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2）后厨加工</w:t>
            </w:r>
            <w:r>
              <w:rPr>
                <w:rFonts w:hint="default" w:ascii="Times New Roman" w:hAnsi="Times New Roman" w:eastAsia="黑体" w:cs="Times New Roman"/>
                <w:color w:val="auto"/>
                <w:sz w:val="21"/>
                <w:szCs w:val="21"/>
              </w:rPr>
              <w:t>现场放有整桶的洗洁精，并且没有标识；</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8.</w:t>
            </w:r>
            <w:r>
              <w:rPr>
                <w:rFonts w:hint="default" w:ascii="Times New Roman" w:hAnsi="Times New Roman" w:eastAsia="黑体" w:cs="Times New Roman"/>
                <w:color w:val="auto"/>
                <w:sz w:val="21"/>
                <w:szCs w:val="21"/>
                <w:lang w:val="en-US" w:eastAsia="zh-CN"/>
              </w:rPr>
              <w:t>2</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3.</w:t>
            </w:r>
            <w:r>
              <w:rPr>
                <w:rFonts w:hint="default" w:ascii="Times New Roman" w:hAnsi="Times New Roman" w:eastAsia="黑体" w:cs="Times New Roman"/>
                <w:color w:val="auto"/>
                <w:sz w:val="21"/>
                <w:szCs w:val="21"/>
                <w:lang w:val="en-US" w:eastAsia="zh-CN"/>
              </w:rPr>
              <w:t>3</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rightChars="0"/>
              <w:jc w:val="both"/>
              <w:textAlignment w:val="auto"/>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4</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配送餐食保温箱无标签标示</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Q</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8.5.3</w:t>
            </w:r>
          </w:p>
          <w:p>
            <w:pPr>
              <w:pStyle w:val="7"/>
              <w:pBdr>
                <w:bottom w:val="none" w:color="auto" w:sz="0" w:space="0"/>
              </w:pBdr>
              <w:spacing w:line="360" w:lineRule="auto"/>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8.</w:t>
            </w:r>
            <w:r>
              <w:rPr>
                <w:rFonts w:hint="default" w:ascii="Times New Roman" w:hAnsi="Times New Roman" w:eastAsia="黑体" w:cs="Times New Roman"/>
                <w:color w:val="auto"/>
                <w:sz w:val="21"/>
                <w:szCs w:val="21"/>
                <w:lang w:val="en-US" w:eastAsia="zh-CN"/>
              </w:rPr>
              <w:t>3</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3.</w:t>
            </w:r>
            <w:r>
              <w:rPr>
                <w:rFonts w:hint="default" w:ascii="Times New Roman" w:hAnsi="Times New Roman" w:eastAsia="黑体" w:cs="Times New Roman"/>
                <w:color w:val="auto"/>
                <w:sz w:val="21"/>
                <w:szCs w:val="21"/>
                <w:lang w:val="en-US" w:eastAsia="zh-CN"/>
              </w:rPr>
              <w:t>7</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val="en-US" w:eastAsia="zh-CN"/>
              </w:rPr>
              <w:t>5</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查计量器具管理</w:t>
            </w:r>
            <w:r>
              <w:rPr>
                <w:rFonts w:hint="default" w:ascii="Times New Roman" w:hAnsi="Times New Roman" w:eastAsia="黑体" w:cs="Times New Roman"/>
                <w:color w:val="auto"/>
                <w:sz w:val="21"/>
                <w:szCs w:val="21"/>
                <w:lang w:eastAsia="zh-CN"/>
              </w:rPr>
              <w:t>：</w:t>
            </w:r>
          </w:p>
          <w:p>
            <w:pPr>
              <w:pStyle w:val="7"/>
              <w:numPr>
                <w:ilvl w:val="0"/>
                <w:numId w:val="3"/>
              </w:numPr>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未提供</w:t>
            </w:r>
            <w:r>
              <w:rPr>
                <w:rFonts w:hint="default" w:ascii="Times New Roman" w:hAnsi="Times New Roman" w:eastAsia="黑体" w:cs="Times New Roman"/>
                <w:color w:val="auto"/>
                <w:sz w:val="21"/>
                <w:szCs w:val="21"/>
              </w:rPr>
              <w:t>电子秤</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rPr>
              <w:t>温度计的校检证据；</w:t>
            </w:r>
          </w:p>
          <w:p>
            <w:pPr>
              <w:pStyle w:val="7"/>
              <w:numPr>
                <w:ilvl w:val="0"/>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留样柜只有温度跟踪仪器，没有温度显示装置；</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Q</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7.1.5</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8.7</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3.6</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val="en-US" w:eastAsia="zh-CN"/>
              </w:rPr>
              <w:t>6</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lang w:val="en-US" w:eastAsia="zh-CN"/>
              </w:rPr>
              <w:t>厨房间</w:t>
            </w:r>
            <w:r>
              <w:rPr>
                <w:rFonts w:hint="default" w:ascii="Times New Roman" w:hAnsi="Times New Roman" w:eastAsia="黑体" w:cs="Times New Roman"/>
                <w:color w:val="auto"/>
                <w:sz w:val="21"/>
                <w:szCs w:val="21"/>
              </w:rPr>
              <w:t>消防栓内卫生不干净，有明显蛛网、锈斑等；</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2）现场查看垃圾未按照垃圾分类要求进行分类管理；</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3）未提供油烟排放达标等外部监测证据；</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4）未提供燃气报警器检测报告；</w:t>
            </w:r>
          </w:p>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5）未提供天然气的MSDS。</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E/0</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8.1</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7</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未提供三级安全教育的证据</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E/0</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8.1</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8</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未提供向生态环境部门备案的环境影响登记表</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E</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8.1</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val="en-US" w:eastAsia="zh-CN"/>
              </w:rPr>
              <w:t>9</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HACCP计划：</w:t>
            </w:r>
          </w:p>
          <w:p>
            <w:pPr>
              <w:pStyle w:val="7"/>
              <w:numPr>
                <w:numId w:val="0"/>
              </w:numPr>
              <w:pBdr>
                <w:bottom w:val="none" w:color="auto" w:sz="0" w:space="0"/>
              </w:pBdr>
              <w:tabs>
                <w:tab w:val="center" w:pos="5737"/>
                <w:tab w:val="clear" w:pos="4153"/>
              </w:tabs>
              <w:spacing w:line="360" w:lineRule="auto"/>
              <w:ind w:leftChars="0"/>
              <w:jc w:val="both"/>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现场未见金属检测</w:t>
            </w:r>
            <w:r>
              <w:rPr>
                <w:rFonts w:hint="default" w:ascii="Times New Roman" w:hAnsi="Times New Roman" w:eastAsia="黑体" w:cs="Times New Roman"/>
                <w:color w:val="auto"/>
                <w:sz w:val="21"/>
                <w:szCs w:val="21"/>
                <w:lang w:eastAsia="zh-CN"/>
              </w:rPr>
              <w:t>，</w:t>
            </w:r>
            <w:r>
              <w:rPr>
                <w:rFonts w:hint="default" w:ascii="Times New Roman" w:hAnsi="Times New Roman" w:eastAsia="黑体" w:cs="Times New Roman"/>
                <w:color w:val="auto"/>
                <w:sz w:val="21"/>
                <w:szCs w:val="21"/>
              </w:rPr>
              <w:t>与HACCP计划中的工艺流程不一致；</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8.5.1</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4.2</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10</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highlight w:val="none"/>
                <w:u w:val="none"/>
                <w:lang w:val="en-US" w:eastAsia="zh-CN"/>
              </w:rPr>
              <w:t>提供了致敏物清单，与企业实际经营不完全一致，</w:t>
            </w:r>
            <w:r>
              <w:rPr>
                <w:rFonts w:hint="default" w:ascii="Times New Roman" w:hAnsi="Times New Roman" w:eastAsia="黑体" w:cs="Times New Roman"/>
                <w:color w:val="auto"/>
                <w:sz w:val="21"/>
                <w:szCs w:val="21"/>
                <w:u w:val="none"/>
              </w:rPr>
              <w:t>未对</w:t>
            </w:r>
            <w:r>
              <w:rPr>
                <w:rFonts w:hint="default" w:ascii="Times New Roman" w:hAnsi="Times New Roman" w:eastAsia="黑体" w:cs="Times New Roman"/>
                <w:color w:val="auto"/>
                <w:sz w:val="21"/>
                <w:szCs w:val="21"/>
                <w:u w:val="none"/>
                <w:lang w:val="en-US" w:eastAsia="zh-CN"/>
              </w:rPr>
              <w:t>面粉</w:t>
            </w:r>
            <w:r>
              <w:rPr>
                <w:rFonts w:hint="default" w:ascii="Times New Roman" w:hAnsi="Times New Roman" w:eastAsia="黑体" w:cs="Times New Roman"/>
                <w:color w:val="auto"/>
                <w:sz w:val="21"/>
                <w:szCs w:val="21"/>
                <w:u w:val="none"/>
              </w:rPr>
              <w:t>、花生等致敏物质进行标识；</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8.2</w:t>
            </w:r>
          </w:p>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3.11</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11</w:t>
            </w: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未提供餐食餐具、生产加工用水的安全性验证报告</w:t>
            </w: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F</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H</w:t>
            </w: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rPr>
              <w:t>8.</w:t>
            </w:r>
            <w:r>
              <w:rPr>
                <w:rFonts w:hint="default" w:ascii="Times New Roman" w:hAnsi="Times New Roman" w:eastAsia="黑体" w:cs="Times New Roman"/>
                <w:color w:val="auto"/>
                <w:sz w:val="21"/>
                <w:szCs w:val="21"/>
                <w:lang w:val="en-US" w:eastAsia="zh-CN"/>
              </w:rPr>
              <w:t>8</w:t>
            </w:r>
          </w:p>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lang w:val="en-US" w:eastAsia="zh-CN"/>
              </w:rPr>
              <w:t>4.5</w:t>
            </w: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7" w:type="dxa"/>
            <w:vAlign w:val="center"/>
          </w:tcPr>
          <w:p>
            <w:pPr>
              <w:pStyle w:val="7"/>
              <w:pBdr>
                <w:bottom w:val="none" w:color="auto" w:sz="0" w:space="0"/>
              </w:pBdr>
              <w:spacing w:line="360" w:lineRule="auto"/>
              <w:ind w:right="600"/>
              <w:jc w:val="both"/>
              <w:rPr>
                <w:rFonts w:hint="default" w:ascii="Times New Roman" w:hAnsi="Times New Roman" w:eastAsia="黑体" w:cs="Times New Roman"/>
                <w:color w:val="auto"/>
                <w:sz w:val="21"/>
                <w:szCs w:val="21"/>
                <w:lang w:eastAsia="zh-CN"/>
              </w:rPr>
            </w:pP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kern w:val="2"/>
                <w:sz w:val="21"/>
                <w:szCs w:val="21"/>
                <w:lang w:val="en-US" w:eastAsia="zh-CN" w:bidi="ar-SA"/>
              </w:rPr>
            </w:pP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7" w:type="dxa"/>
            <w:vAlign w:val="center"/>
          </w:tcPr>
          <w:p>
            <w:pPr>
              <w:pStyle w:val="7"/>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right="0"/>
              <w:jc w:val="both"/>
              <w:textAlignment w:val="auto"/>
              <w:rPr>
                <w:rFonts w:hint="default" w:ascii="Times New Roman" w:hAnsi="Times New Roman" w:eastAsia="黑体" w:cs="Times New Roman"/>
                <w:color w:val="auto"/>
                <w:sz w:val="21"/>
                <w:szCs w:val="21"/>
                <w:lang w:val="en-US" w:eastAsia="zh-CN"/>
              </w:rPr>
            </w:pPr>
          </w:p>
        </w:tc>
        <w:tc>
          <w:tcPr>
            <w:tcW w:w="6302" w:type="dxa"/>
            <w:gridSpan w:val="2"/>
            <w:vAlign w:val="center"/>
          </w:tcPr>
          <w:p>
            <w:pPr>
              <w:pStyle w:val="7"/>
              <w:pBdr>
                <w:bottom w:val="none" w:color="auto" w:sz="0" w:space="0"/>
              </w:pBdr>
              <w:tabs>
                <w:tab w:val="center" w:pos="5737"/>
                <w:tab w:val="clear" w:pos="4153"/>
              </w:tabs>
              <w:spacing w:line="360" w:lineRule="auto"/>
              <w:jc w:val="both"/>
              <w:rPr>
                <w:rFonts w:hint="default" w:ascii="Times New Roman" w:hAnsi="Times New Roman" w:eastAsia="黑体" w:cs="Times New Roman"/>
                <w:color w:val="auto"/>
                <w:sz w:val="21"/>
                <w:szCs w:val="21"/>
                <w:lang w:val="en-US" w:eastAsia="zh-CN"/>
              </w:rPr>
            </w:pPr>
          </w:p>
        </w:tc>
        <w:tc>
          <w:tcPr>
            <w:tcW w:w="922"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p>
        </w:tc>
        <w:tc>
          <w:tcPr>
            <w:tcW w:w="1133"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p>
        </w:tc>
        <w:tc>
          <w:tcPr>
            <w:tcW w:w="934" w:type="dxa"/>
            <w:vAlign w:val="center"/>
          </w:tcPr>
          <w:p>
            <w:pPr>
              <w:pStyle w:val="7"/>
              <w:pBdr>
                <w:bottom w:val="none" w:color="auto" w:sz="0" w:space="0"/>
              </w:pBdr>
              <w:spacing w:line="360" w:lineRule="auto"/>
              <w:jc w:val="both"/>
              <w:rPr>
                <w:rFonts w:hint="default" w:ascii="Times New Roman" w:hAnsi="Times New Roman" w:eastAsia="黑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spacing w:line="360" w:lineRule="auto"/>
              <w:ind w:left="1418" w:hanging="1418"/>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注：问题等级：1 =改进建议；2 =轻微问题，有可能导致成为第二阶段的不符合项；</w:t>
            </w:r>
          </w:p>
          <w:p>
            <w:pPr>
              <w:tabs>
                <w:tab w:val="left" w:pos="1418"/>
              </w:tabs>
              <w:spacing w:line="360" w:lineRule="auto"/>
              <w:ind w:firstLine="1680" w:firstLineChars="800"/>
              <w:jc w:val="left"/>
              <w:rPr>
                <w:rFonts w:hint="default" w:ascii="Times New Roman" w:hAnsi="Times New Roman" w:eastAsia="黑体" w:cs="Times New Roman"/>
                <w:b/>
                <w:bCs/>
                <w:color w:val="auto"/>
                <w:spacing w:val="-8"/>
                <w:szCs w:val="21"/>
              </w:rPr>
            </w:pPr>
            <w:r>
              <w:rPr>
                <w:rFonts w:hint="default" w:ascii="Times New Roman" w:hAnsi="Times New Roman" w:eastAsia="黑体" w:cs="Times New Roman"/>
                <w:color w:val="auto"/>
                <w:szCs w:val="21"/>
              </w:rPr>
              <w:t>3 = 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36" w:type="dxa"/>
            <w:gridSpan w:val="2"/>
          </w:tcPr>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审核组长：</w:t>
            </w:r>
          </w:p>
          <w:p>
            <w:pPr>
              <w:spacing w:line="360" w:lineRule="auto"/>
              <w:rPr>
                <w:rFonts w:hint="default" w:ascii="Times New Roman" w:hAnsi="Times New Roman" w:eastAsia="黑体" w:cs="Times New Roman"/>
                <w:b/>
                <w:color w:val="auto"/>
                <w:szCs w:val="21"/>
              </w:rPr>
            </w:pPr>
          </w:p>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日期：</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年</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月</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日</w:t>
            </w:r>
          </w:p>
        </w:tc>
        <w:tc>
          <w:tcPr>
            <w:tcW w:w="5392" w:type="dxa"/>
            <w:gridSpan w:val="4"/>
          </w:tcPr>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受审核方代表</w:t>
            </w:r>
          </w:p>
          <w:p>
            <w:pPr>
              <w:spacing w:line="360" w:lineRule="auto"/>
              <w:rPr>
                <w:rFonts w:hint="default" w:ascii="Times New Roman" w:hAnsi="Times New Roman" w:eastAsia="黑体" w:cs="Times New Roman"/>
                <w:b/>
                <w:color w:val="auto"/>
                <w:szCs w:val="21"/>
              </w:rPr>
            </w:pPr>
          </w:p>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日期：</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年</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月</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auto"/>
              <w:rPr>
                <w:rFonts w:hint="default" w:ascii="Times New Roman" w:hAnsi="Times New Roman" w:eastAsia="黑体" w:cs="Times New Roman"/>
                <w:b/>
                <w:bCs/>
                <w:color w:val="auto"/>
                <w:spacing w:val="-8"/>
                <w:szCs w:val="21"/>
              </w:rPr>
            </w:pPr>
            <w:r>
              <w:rPr>
                <w:rFonts w:hint="default" w:ascii="Times New Roman" w:hAnsi="Times New Roman" w:eastAsia="黑体" w:cs="Times New Roman"/>
                <w:b/>
                <w:bCs/>
                <w:color w:val="auto"/>
                <w:spacing w:val="-8"/>
                <w:szCs w:val="21"/>
              </w:rPr>
              <w:t>对</w:t>
            </w:r>
            <w:r>
              <w:rPr>
                <w:rFonts w:hint="default" w:ascii="Times New Roman" w:hAnsi="Times New Roman" w:eastAsia="黑体" w:cs="Times New Roman"/>
                <w:b/>
                <w:color w:val="auto"/>
                <w:spacing w:val="-12"/>
                <w:szCs w:val="21"/>
              </w:rPr>
              <w:t>一阶段现场审核严重</w:t>
            </w:r>
            <w:r>
              <w:rPr>
                <w:rFonts w:hint="default" w:ascii="Times New Roman" w:hAnsi="Times New Roman" w:eastAsia="黑体" w:cs="Times New Roman"/>
                <w:b/>
                <w:bCs/>
                <w:color w:val="auto"/>
                <w:spacing w:val="-8"/>
                <w:szCs w:val="21"/>
              </w:rPr>
              <w:t>问题整改结果的验证结论：</w:t>
            </w:r>
          </w:p>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pacing w:val="-10"/>
                <w:szCs w:val="21"/>
              </w:rPr>
              <w:t>□</w:t>
            </w:r>
            <w:r>
              <w:rPr>
                <w:rFonts w:hint="default" w:ascii="Times New Roman" w:hAnsi="Times New Roman" w:eastAsia="黑体" w:cs="Times New Roman"/>
                <w:b/>
                <w:color w:val="auto"/>
                <w:szCs w:val="21"/>
              </w:rPr>
              <w:t>所有严重问题全部整改，并符合要求</w:t>
            </w:r>
            <w:r>
              <w:rPr>
                <w:rFonts w:hint="default" w:ascii="Times New Roman" w:hAnsi="Times New Roman" w:eastAsia="黑体" w:cs="Times New Roman"/>
                <w:b/>
                <w:color w:val="auto"/>
                <w:spacing w:val="-10"/>
                <w:szCs w:val="21"/>
              </w:rPr>
              <w:t>□未</w:t>
            </w:r>
            <w:r>
              <w:rPr>
                <w:rFonts w:hint="default" w:ascii="Times New Roman" w:hAnsi="Times New Roman" w:eastAsia="黑体" w:cs="Times New Roman"/>
                <w:b/>
                <w:color w:val="auto"/>
                <w:szCs w:val="21"/>
              </w:rPr>
              <w:t>按期完成整改</w:t>
            </w:r>
            <w:r>
              <w:rPr>
                <w:rFonts w:hint="default" w:ascii="Times New Roman" w:hAnsi="Times New Roman" w:eastAsia="黑体" w:cs="Times New Roman"/>
                <w:b/>
                <w:color w:val="auto"/>
                <w:spacing w:val="-10"/>
                <w:szCs w:val="21"/>
              </w:rPr>
              <w:t>□整改后不符合要求，需重新整改</w:t>
            </w:r>
            <w:r>
              <w:rPr>
                <w:rFonts w:hint="default" w:ascii="Times New Roman" w:hAnsi="Times New Roman" w:eastAsia="黑体" w:cs="Times New Roman"/>
                <w:b/>
                <w:color w:val="auto"/>
                <w:szCs w:val="21"/>
              </w:rPr>
              <w:t>.</w:t>
            </w:r>
          </w:p>
          <w:p>
            <w:pPr>
              <w:spacing w:line="360" w:lineRule="auto"/>
              <w:rPr>
                <w:rFonts w:hint="default" w:ascii="Times New Roman" w:hAnsi="Times New Roman" w:eastAsia="黑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pacing w:val="-10"/>
                <w:szCs w:val="21"/>
              </w:rPr>
              <w:t>推荐意见：□可进行二阶段审核□需再次安排一阶段审核□不进入二阶段审核</w:t>
            </w:r>
            <w:r>
              <w:rPr>
                <w:rFonts w:hint="default" w:ascii="Times New Roman" w:hAnsi="Times New Roman" w:eastAsia="黑体" w:cs="Times New Roman"/>
                <w:b/>
                <w:color w:val="auto"/>
                <w:spacing w:val="-10"/>
                <w:szCs w:val="21"/>
              </w:rPr>
              <w:tab/>
            </w:r>
          </w:p>
          <w:p>
            <w:pPr>
              <w:spacing w:line="360" w:lineRule="auto"/>
              <w:rPr>
                <w:rFonts w:hint="default" w:ascii="Times New Roman" w:hAnsi="Times New Roman" w:eastAsia="黑体" w:cs="Times New Roman"/>
                <w:b/>
                <w:color w:val="auto"/>
                <w:szCs w:val="21"/>
              </w:rPr>
            </w:pPr>
          </w:p>
          <w:p>
            <w:pPr>
              <w:spacing w:line="360" w:lineRule="auto"/>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验证人：</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日期：</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年</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月</w:t>
            </w:r>
            <w:r>
              <w:rPr>
                <w:rFonts w:hint="eastAsia" w:ascii="Times New Roman" w:hAnsi="Times New Roman" w:eastAsia="黑体" w:cs="Times New Roman"/>
                <w:b/>
                <w:color w:val="auto"/>
                <w:szCs w:val="21"/>
                <w:lang w:val="en-US" w:eastAsia="zh-CN"/>
              </w:rPr>
              <w:t xml:space="preserve">  </w:t>
            </w:r>
            <w:r>
              <w:rPr>
                <w:rFonts w:hint="default" w:ascii="Times New Roman" w:hAnsi="Times New Roman" w:eastAsia="黑体" w:cs="Times New Roman"/>
                <w:b/>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128" w:type="dxa"/>
            <w:gridSpan w:val="6"/>
          </w:tcPr>
          <w:p>
            <w:pPr>
              <w:spacing w:line="360" w:lineRule="auto"/>
              <w:rPr>
                <w:rFonts w:hint="default" w:ascii="Times New Roman" w:hAnsi="Times New Roman" w:eastAsia="黑体" w:cs="Times New Roman"/>
                <w:b/>
                <w:bCs/>
                <w:color w:val="auto"/>
                <w:spacing w:val="-8"/>
                <w:szCs w:val="21"/>
              </w:rPr>
            </w:pPr>
            <w:r>
              <w:rPr>
                <w:rFonts w:hint="default" w:ascii="Times New Roman" w:hAnsi="Times New Roman" w:eastAsia="黑体" w:cs="Times New Roman"/>
                <w:b/>
                <w:bCs/>
                <w:color w:val="auto"/>
                <w:spacing w:val="-8"/>
                <w:szCs w:val="21"/>
              </w:rPr>
              <w:t>备注：</w:t>
            </w:r>
          </w:p>
        </w:tc>
      </w:tr>
    </w:tbl>
    <w:p>
      <w:pPr>
        <w:snapToGrid w:val="0"/>
        <w:spacing w:line="400" w:lineRule="exact"/>
        <w:rPr>
          <w:rFonts w:ascii="宋体"/>
          <w:b/>
          <w:color w:val="000000"/>
          <w:szCs w:val="21"/>
        </w:rPr>
      </w:pPr>
      <w:bookmarkStart w:id="38" w:name="_GoBack"/>
      <w:bookmarkEnd w:id="38"/>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F656E225"/>
    <w:multiLevelType w:val="singleLevel"/>
    <w:tmpl w:val="F656E225"/>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ZDM3N2UwYzRjODcyYjBmZWI4OGFkMDIyNTk1M2M5ZTMifQ=="/>
  </w:docVars>
  <w:rsids>
    <w:rsidRoot w:val="00000000"/>
    <w:rsid w:val="14282EA3"/>
    <w:rsid w:val="2ECB02B5"/>
    <w:rsid w:val="2F4F7689"/>
    <w:rsid w:val="45DC07EF"/>
    <w:rsid w:val="7F651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4">
    <w:name w:val="Body Text"/>
    <w:basedOn w:val="1"/>
    <w:qFormat/>
    <w:uiPriority w:val="1"/>
    <w:pPr>
      <w:ind w:left="220"/>
    </w:pPr>
    <w:rPr>
      <w:rFonts w:ascii="宋体" w:hAnsi="宋体" w:eastAsia="宋体" w:cs="宋体"/>
      <w:sz w:val="24"/>
      <w:szCs w:val="24"/>
      <w:lang w:val="zh-CN" w:eastAsia="zh-CN" w:bidi="zh-CN"/>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9">
    <w:name w:val="Body Text First Indent"/>
    <w:basedOn w:val="4"/>
    <w:qFormat/>
    <w:uiPriority w:val="0"/>
    <w:pPr>
      <w:ind w:firstLine="420" w:firstLineChars="100"/>
    </w:pPr>
    <w:rPr>
      <w:szCs w:val="20"/>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2"/>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2022-08-24T13:17:00Z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2052-11.1.0.12302</vt:lpwstr>
  </property>
</Properties>
</file>