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65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398" w:type="dxa"/>
            <w:gridSpan w:val="2"/>
            <w:vAlign w:val="center"/>
          </w:tcPr>
          <w:p>
            <w:pPr>
              <w:rPr>
                <w:sz w:val="24"/>
                <w:szCs w:val="24"/>
              </w:rPr>
            </w:pPr>
            <w:r>
              <w:rPr>
                <w:sz w:val="24"/>
                <w:szCs w:val="24"/>
              </w:rPr>
              <w:t xml:space="preserve">受审核部门：  食品安全小组   </w:t>
            </w:r>
            <w:r>
              <w:rPr>
                <w:color w:val="000000"/>
                <w:sz w:val="24"/>
                <w:szCs w:val="24"/>
              </w:rPr>
              <w:t>主管领导：</w:t>
            </w:r>
            <w:r>
              <w:rPr>
                <w:rFonts w:hint="eastAsia"/>
                <w:color w:val="000000"/>
                <w:sz w:val="24"/>
                <w:szCs w:val="24"/>
              </w:rPr>
              <w:t xml:space="preserve">沈银根 </w:t>
            </w:r>
            <w:r>
              <w:rPr>
                <w:color w:val="000000"/>
                <w:sz w:val="24"/>
                <w:szCs w:val="24"/>
              </w:rPr>
              <w:t xml:space="preserve">  陪同人员：</w:t>
            </w:r>
            <w:r>
              <w:rPr>
                <w:rFonts w:hint="eastAsia"/>
                <w:sz w:val="24"/>
                <w:szCs w:val="24"/>
              </w:rPr>
              <w:t>方博闻</w:t>
            </w:r>
          </w:p>
        </w:tc>
        <w:tc>
          <w:tcPr>
            <w:tcW w:w="1504"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spacing w:before="120"/>
            </w:pPr>
            <w:r>
              <w:rPr>
                <w:sz w:val="24"/>
                <w:szCs w:val="24"/>
              </w:rPr>
              <w:t>审核员：</w:t>
            </w:r>
            <w:r>
              <w:rPr>
                <w:rFonts w:hint="eastAsia"/>
                <w:sz w:val="24"/>
                <w:szCs w:val="24"/>
              </w:rPr>
              <w:t>任泽华</w:t>
            </w:r>
            <w:r>
              <w:rPr>
                <w:sz w:val="24"/>
                <w:szCs w:val="24"/>
              </w:rPr>
              <w:t xml:space="preserve">   </w:t>
            </w:r>
            <w:r>
              <w:rPr>
                <w:rFonts w:hint="eastAsia"/>
                <w:sz w:val="24"/>
                <w:szCs w:val="24"/>
              </w:rPr>
              <w:t xml:space="preserve">     </w:t>
            </w:r>
            <w:r>
              <w:rPr>
                <w:sz w:val="24"/>
                <w:szCs w:val="24"/>
              </w:rPr>
              <w:t xml:space="preserve">   审核日期：2022-08</w:t>
            </w:r>
            <w:r>
              <w:rPr>
                <w:rFonts w:hint="eastAsia"/>
                <w:sz w:val="24"/>
                <w:szCs w:val="24"/>
              </w:rPr>
              <w:t>-</w:t>
            </w:r>
            <w:r>
              <w:rPr>
                <w:sz w:val="24"/>
                <w:szCs w:val="24"/>
              </w:rPr>
              <w:t>20</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398" w:type="dxa"/>
            <w:gridSpan w:val="2"/>
            <w:vAlign w:val="center"/>
          </w:tcPr>
          <w:p>
            <w:pPr>
              <w:tabs>
                <w:tab w:val="left" w:pos="6030"/>
              </w:tabs>
              <w:autoSpaceDE w:val="0"/>
              <w:autoSpaceDN w:val="0"/>
              <w:adjustRightInd w:val="0"/>
              <w:jc w:val="left"/>
            </w:pPr>
            <w:r>
              <w:t>审核条款：FSMS:5.3/7.1.5/8.1/8.2/8.3/8.4/8.5/8.6/8.8/9.1.2</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65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504"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653" w:type="dxa"/>
          </w:tcPr>
          <w:p>
            <w:r>
              <w:t>有食品安全小组名单，包括了</w:t>
            </w:r>
            <w:r>
              <w:rPr>
                <w:rFonts w:hint="eastAsia"/>
              </w:rPr>
              <w:t xml:space="preserve"> </w:t>
            </w:r>
            <w:r>
              <w:rPr>
                <w:rFonts w:hint="eastAsia"/>
                <w:bCs/>
                <w:u w:val="single"/>
              </w:rPr>
              <w:t xml:space="preserve">生产部、品质技术部、供销部、办公室 </w:t>
            </w:r>
            <w:r>
              <w:t>的人员</w:t>
            </w:r>
          </w:p>
          <w:p>
            <w:r>
              <w:t>公司在手册和《危害控制计划》中对食品安全小组的职责进行了规定，主要负责做好食品安全策划、危害分析预备工作、危害分析、确定控制措施（包括危害控制计划和OPRP等），对控制措施进行确认和验证等。通过会议、文件等方式进行传达，询问食品安全小组成员</w:t>
            </w:r>
            <w:r>
              <w:rPr>
                <w:rFonts w:hint="eastAsia" w:ascii="宋体" w:hAnsi="宋体"/>
                <w:szCs w:val="21"/>
                <w:u w:val="single"/>
              </w:rPr>
              <w:t>徐婷</w:t>
            </w:r>
            <w:r>
              <w:t>，基本清楚。</w:t>
            </w:r>
          </w:p>
          <w:p>
            <w:pPr>
              <w:pStyle w:val="11"/>
              <w:rPr>
                <w:rFonts w:ascii="Times New Roman" w:hAnsi="Times New Roman"/>
              </w:rPr>
            </w:pPr>
          </w:p>
          <w:p>
            <w:r>
              <w:fldChar w:fldCharType="begin"/>
            </w:r>
            <w:r>
              <w:instrText xml:space="preserve"> eq \o\ac(□,√)</w:instrText>
            </w:r>
            <w:r>
              <w:fldChar w:fldCharType="end"/>
            </w:r>
            <w:r>
              <w:t>HACCP/</w:t>
            </w:r>
            <w:r>
              <w:rPr>
                <w:rFonts w:hint="eastAsia"/>
              </w:rPr>
              <w:t>食品安全小组</w:t>
            </w:r>
            <w:r>
              <w:t>组长：</w:t>
            </w:r>
            <w:r>
              <w:rPr>
                <w:rFonts w:hint="eastAsia" w:ascii="宋体" w:hAnsi="宋体"/>
                <w:szCs w:val="21"/>
                <w:u w:val="single"/>
              </w:rPr>
              <w:t xml:space="preserve">沈银根 </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65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04" w:type="dxa"/>
            <w:vMerge w:val="restart"/>
            <w:shd w:val="clear" w:color="auto" w:fill="auto"/>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653" w:type="dxa"/>
            <w:shd w:val="clear" w:color="auto" w:fill="auto"/>
          </w:tcPr>
          <w:p>
            <w:pPr>
              <w:rPr>
                <w:rFonts w:hint="default" w:eastAsia="宋体"/>
                <w:lang w:val="en-US" w:eastAsia="zh-CN"/>
              </w:rPr>
            </w:pPr>
            <w:r>
              <w:rPr>
                <w:rFonts w:hint="eastAsia"/>
              </w:rPr>
              <w:t>组织使用外部建立的FSMS要素，包括：</w:t>
            </w:r>
            <w:r>
              <w:rPr>
                <w:rFonts w:hint="eastAsia"/>
                <w:color w:val="0000FF"/>
                <w:lang w:val="en-US" w:eastAsia="zh-CN"/>
              </w:rPr>
              <w:t>——组织自己建立FSMS</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人力资源管理程序</w:t>
            </w:r>
            <w:r>
              <w:t>》</w:t>
            </w:r>
            <w:r>
              <w:rPr>
                <w:rFonts w:hint="eastAsia"/>
              </w:rPr>
              <w:t>、</w:t>
            </w:r>
            <w:r>
              <w:rPr/>
              <w:sym w:font="Wingdings" w:char="00A8"/>
            </w:r>
            <w:r>
              <w:t>《能力和意识控制程序》</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 xml:space="preserve">危害控制计划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w:t>
            </w:r>
            <w:r>
              <w:rPr>
                <w:rFonts w:hint="eastAsia"/>
                <w:u w:val="single"/>
              </w:rPr>
              <w:t>生产过程控制记录</w:t>
            </w:r>
            <w:r>
              <w:rPr>
                <w:u w:val="single"/>
              </w:rPr>
              <w:t>》和《</w:t>
            </w:r>
            <w:r>
              <w:rPr>
                <w:rFonts w:hint="eastAsia"/>
                <w:u w:val="single"/>
              </w:rPr>
              <w:t>产品检验记录</w:t>
            </w:r>
            <w:r>
              <w:rPr>
                <w:u w:val="single"/>
              </w:rPr>
              <w:t>》</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653" w:type="dxa"/>
          </w:tcPr>
          <w:p>
            <w:r>
              <w:t>如：</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65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31647-2018 食品安全国家标准 食品添加剂生产通用卫生规范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2022 年7月 6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1"/>
              <w:ind w:left="0"/>
              <w:rPr>
                <w:rFonts w:ascii="Times New Roman" w:hAnsi="Times New Roman"/>
                <w:szCs w:val="22"/>
              </w:rPr>
            </w:pPr>
            <w:r>
              <w:rPr/>
              <w:sym w:font="Wingdings" w:char="00A8"/>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1"/>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653"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产品标识和追溯程序</w:t>
            </w:r>
            <w:r>
              <w:rPr>
                <w:szCs w:val="16"/>
              </w:rPr>
              <w:t>》</w:t>
            </w:r>
            <w:r>
              <w:t>、</w:t>
            </w:r>
            <w:r>
              <w:fldChar w:fldCharType="begin"/>
            </w:r>
            <w:r>
              <w:instrText xml:space="preserve"> eq \o\ac(□,√)</w:instrText>
            </w:r>
            <w:r>
              <w:fldChar w:fldCharType="end"/>
            </w:r>
            <w:r>
              <w:t>《前提方案》</w:t>
            </w:r>
          </w:p>
        </w:tc>
        <w:tc>
          <w:tcPr>
            <w:tcW w:w="1504"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197" w:type="dxa"/>
            <w:gridSpan w:val="3"/>
            <w:vMerge w:val="continue"/>
          </w:tcPr>
          <w:p/>
        </w:tc>
        <w:tc>
          <w:tcPr>
            <w:tcW w:w="922" w:type="dxa"/>
            <w:vMerge w:val="continue"/>
          </w:tcPr>
          <w:p/>
        </w:tc>
        <w:tc>
          <w:tcPr>
            <w:tcW w:w="745" w:type="dxa"/>
          </w:tcPr>
          <w:p>
            <w:r>
              <w:t>运行证据</w:t>
            </w:r>
          </w:p>
        </w:tc>
        <w:tc>
          <w:tcPr>
            <w:tcW w:w="9653" w:type="dxa"/>
          </w:tcPr>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9253"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t>原材料的唯一性标识方式：</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Pr>
                    <w:rPr>
                      <w:highlight w:val="yellow"/>
                    </w:rPr>
                  </w:pPr>
                </w:p>
                <w:p>
                  <w:r>
                    <w:t>半成品的唯一性标识方式：</w:t>
                  </w:r>
                  <w:r>
                    <w:rPr>
                      <w:rFonts w:hint="eastAsia"/>
                    </w:rPr>
                    <w:t>不涉及</w:t>
                  </w:r>
                  <w:r>
                    <w:t xml:space="preserve"> </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r>
                    <w:rPr>
                      <w:rFonts w:hint="eastAsia"/>
                    </w:rPr>
                    <w:t>—进货批号标识</w:t>
                  </w:r>
                </w:p>
                <w:p>
                  <w:pPr>
                    <w:rPr>
                      <w:highlight w:val="yellow"/>
                    </w:rPr>
                  </w:pPr>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6"/>
                  </w:pPr>
                </w:p>
                <w:p>
                  <w:r>
                    <w:rPr>
                      <w:rFonts w:hint="eastAsia"/>
                    </w:rPr>
                    <w:t>组织于</w:t>
                  </w: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w:t>
                  </w:r>
                  <w:r>
                    <w:rPr>
                      <w:szCs w:val="21"/>
                      <w:u w:val="single"/>
                    </w:rPr>
                    <w:t>7</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4</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26"/>
                    <w:gridCol w:w="1620"/>
                    <w:gridCol w:w="995"/>
                    <w:gridCol w:w="1355"/>
                    <w:gridCol w:w="12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rPr>
                          <w:t>产品批号</w:t>
                        </w:r>
                      </w:p>
                    </w:tc>
                    <w:tc>
                      <w:tcPr>
                        <w:tcW w:w="1626" w:type="dxa"/>
                      </w:tcPr>
                      <w:p>
                        <w:r>
                          <w:rPr>
                            <w:rFonts w:hint="eastAsia"/>
                          </w:rPr>
                          <w:t>不合格简述</w:t>
                        </w:r>
                      </w:p>
                    </w:tc>
                    <w:tc>
                      <w:tcPr>
                        <w:tcW w:w="1620" w:type="dxa"/>
                      </w:tcPr>
                      <w:p>
                        <w:r>
                          <w:t>生产记录</w:t>
                        </w:r>
                        <w:r>
                          <w:rPr>
                            <w:rFonts w:hint="eastAsia"/>
                          </w:rPr>
                          <w:t>情况</w:t>
                        </w:r>
                      </w:p>
                    </w:tc>
                    <w:tc>
                      <w:tcPr>
                        <w:tcW w:w="995" w:type="dxa"/>
                      </w:tcPr>
                      <w:p>
                        <w:r>
                          <w:t>检验记录</w:t>
                        </w:r>
                        <w:r>
                          <w:rPr>
                            <w:rFonts w:hint="eastAsia"/>
                          </w:rPr>
                          <w:t>情况</w:t>
                        </w:r>
                      </w:p>
                    </w:tc>
                    <w:tc>
                      <w:tcPr>
                        <w:tcW w:w="1355" w:type="dxa"/>
                      </w:tcPr>
                      <w:p>
                        <w:r>
                          <w:t>采购记录</w:t>
                        </w:r>
                        <w:r>
                          <w:rPr>
                            <w:rFonts w:hint="eastAsia"/>
                          </w:rPr>
                          <w:t>情况</w:t>
                        </w:r>
                      </w:p>
                    </w:tc>
                    <w:tc>
                      <w:tcPr>
                        <w:tcW w:w="129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t>202206232</w:t>
                        </w:r>
                      </w:p>
                    </w:tc>
                    <w:tc>
                      <w:tcPr>
                        <w:tcW w:w="1626" w:type="dxa"/>
                      </w:tcPr>
                      <w:p>
                        <w:r>
                          <w:rPr>
                            <w:rFonts w:hint="eastAsia"/>
                          </w:rPr>
                          <w:t>送货员反应给杭州某客户发货的产品（重质碳酸钙【I】）存在缺少生产日期情况（模拟）</w:t>
                        </w:r>
                      </w:p>
                    </w:tc>
                    <w:tc>
                      <w:tcPr>
                        <w:tcW w:w="1620" w:type="dxa"/>
                      </w:tcPr>
                      <w:p>
                        <w:r>
                          <w:rPr>
                            <w:rFonts w:hint="eastAsia"/>
                          </w:rPr>
                          <w:t>202</w:t>
                        </w:r>
                        <w:r>
                          <w:t>2</w:t>
                        </w:r>
                        <w:r>
                          <w:rPr>
                            <w:rFonts w:hint="eastAsia"/>
                          </w:rPr>
                          <w:t>.06.</w:t>
                        </w:r>
                        <w:r>
                          <w:t>23</w:t>
                        </w:r>
                      </w:p>
                    </w:tc>
                    <w:tc>
                      <w:tcPr>
                        <w:tcW w:w="995" w:type="dxa"/>
                      </w:tcPr>
                      <w:p>
                        <w:r>
                          <w:rPr>
                            <w:rFonts w:hint="eastAsia"/>
                          </w:rPr>
                          <w:t>202</w:t>
                        </w:r>
                        <w:r>
                          <w:t>2</w:t>
                        </w:r>
                        <w:r>
                          <w:rPr>
                            <w:rFonts w:hint="eastAsia"/>
                          </w:rPr>
                          <w:t>.06.</w:t>
                        </w:r>
                        <w:r>
                          <w:t>23</w:t>
                        </w:r>
                      </w:p>
                    </w:tc>
                    <w:tc>
                      <w:tcPr>
                        <w:tcW w:w="1355" w:type="dxa"/>
                      </w:tcPr>
                      <w:p>
                        <w:r>
                          <w:rPr>
                            <w:rFonts w:hint="eastAsia"/>
                          </w:rPr>
                          <w:t>有验收证据，但未追溯到原料批次信息</w:t>
                        </w:r>
                      </w:p>
                    </w:tc>
                    <w:tc>
                      <w:tcPr>
                        <w:tcW w:w="1290" w:type="dxa"/>
                      </w:tcPr>
                      <w:p>
                        <w:r>
                          <w:rPr>
                            <w:rFonts w:hint="eastAsia"/>
                          </w:rPr>
                          <w:t>202</w:t>
                        </w:r>
                        <w:r>
                          <w:t>2</w:t>
                        </w:r>
                        <w:r>
                          <w:rPr>
                            <w:rFonts w:hint="eastAsia"/>
                          </w:rPr>
                          <w:t>.06.</w:t>
                        </w:r>
                        <w:r>
                          <w:t>23</w:t>
                        </w:r>
                      </w:p>
                    </w:tc>
                    <w:tc>
                      <w:tcPr>
                        <w:tcW w:w="1320" w:type="dxa"/>
                      </w:tcPr>
                      <w:p>
                        <w:r>
                          <w:rPr>
                            <w:rFonts w:hint="eastAsia"/>
                          </w:rPr>
                          <w:t>发货</w:t>
                        </w:r>
                        <w:r>
                          <w:t>20</w:t>
                        </w:r>
                        <w:r>
                          <w:rPr>
                            <w:rFonts w:hint="eastAsia"/>
                          </w:rPr>
                          <w:t>包中经过彻查已撤回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620" w:type="dxa"/>
                      </w:tcPr>
                      <w:p/>
                    </w:tc>
                    <w:tc>
                      <w:tcPr>
                        <w:tcW w:w="995" w:type="dxa"/>
                      </w:tcPr>
                      <w:p/>
                    </w:tc>
                    <w:tc>
                      <w:tcPr>
                        <w:tcW w:w="1355" w:type="dxa"/>
                      </w:tcPr>
                      <w:p/>
                    </w:tc>
                    <w:tc>
                      <w:tcPr>
                        <w:tcW w:w="1290" w:type="dxa"/>
                      </w:tcPr>
                      <w:p/>
                    </w:tc>
                    <w:tc>
                      <w:tcPr>
                        <w:tcW w:w="1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620" w:type="dxa"/>
                      </w:tcPr>
                      <w:p/>
                    </w:tc>
                    <w:tc>
                      <w:tcPr>
                        <w:tcW w:w="995" w:type="dxa"/>
                      </w:tcPr>
                      <w:p/>
                    </w:tc>
                    <w:tc>
                      <w:tcPr>
                        <w:tcW w:w="1355" w:type="dxa"/>
                      </w:tcPr>
                      <w:p/>
                    </w:tc>
                    <w:tc>
                      <w:tcPr>
                        <w:tcW w:w="1290" w:type="dxa"/>
                      </w:tcPr>
                      <w:p/>
                    </w:tc>
                    <w:tc>
                      <w:tcPr>
                        <w:tcW w:w="1320" w:type="dxa"/>
                      </w:tcPr>
                      <w:p/>
                    </w:tc>
                  </w:tr>
                </w:tbl>
                <w:p>
                  <w:r>
                    <w:rPr>
                      <w:rFonts w:hint="eastAsia"/>
                    </w:rPr>
                    <w:t>注：在召回演练中未保留产品加工过程的原始记录，已经现场沟通，后期改进。</w:t>
                  </w:r>
                </w:p>
                <w:p>
                  <w:r>
                    <w:rPr>
                      <w:rFonts w:hint="eastAsia"/>
                    </w:rPr>
                    <w:t>可追溯性系统证据的保留期限</w:t>
                  </w:r>
                  <w:r>
                    <w:rPr>
                      <w:rFonts w:hint="eastAsia"/>
                      <w:u w:val="single"/>
                    </w:rPr>
                    <w:t xml:space="preserve"> </w:t>
                  </w:r>
                  <w:r>
                    <w:rPr>
                      <w:u w:val="single"/>
                    </w:rPr>
                    <w:t>24</w:t>
                  </w:r>
                  <w:r>
                    <w:rPr>
                      <w:rFonts w:hint="eastAsia"/>
                    </w:rPr>
                    <w:t>个月，至少包括产品的保质期</w:t>
                  </w:r>
                  <w:r>
                    <w:rPr>
                      <w:rFonts w:hint="eastAsia"/>
                      <w:u w:val="single"/>
                    </w:rPr>
                    <w:t xml:space="preserve"> </w:t>
                  </w:r>
                  <w:r>
                    <w:rPr>
                      <w:rFonts w:hint="eastAsia"/>
                      <w:b/>
                      <w:bCs/>
                      <w:u w:val="single"/>
                    </w:rPr>
                    <w:t>24个月</w:t>
                  </w:r>
                  <w:r>
                    <w:rPr>
                      <w:b/>
                      <w:bCs/>
                      <w:u w:val="single"/>
                    </w:rPr>
                    <w:t xml:space="preserve"> </w:t>
                  </w:r>
                  <w:r>
                    <w:rPr>
                      <w:rFonts w:hint="eastAsia"/>
                    </w:rPr>
                    <w:t>。</w:t>
                  </w:r>
                </w:p>
                <w:p/>
                <w:p>
                  <w:r>
                    <w:rPr>
                      <w:rFonts w:hint="eastAsia"/>
                    </w:rPr>
                    <w:t>产品留样（适用时）</w:t>
                  </w:r>
                </w:p>
                <w:p>
                  <w:r>
                    <w:rPr>
                      <w:rFonts w:hint="eastAsia"/>
                    </w:rPr>
                    <w:t>抽查产品留样记录：</w:t>
                  </w:r>
                </w:p>
                <w:tbl>
                  <w:tblPr>
                    <w:tblStyle w:val="13"/>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1056"/>
                    <w:gridCol w:w="1890"/>
                    <w:gridCol w:w="143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产品名称</w:t>
                        </w:r>
                      </w:p>
                    </w:tc>
                    <w:tc>
                      <w:tcPr>
                        <w:tcW w:w="1056" w:type="dxa"/>
                      </w:tcPr>
                      <w:p>
                        <w:r>
                          <w:rPr>
                            <w:rFonts w:hint="eastAsia"/>
                          </w:rPr>
                          <w:t>规格</w:t>
                        </w:r>
                      </w:p>
                    </w:tc>
                    <w:tc>
                      <w:tcPr>
                        <w:tcW w:w="1890" w:type="dxa"/>
                      </w:tcPr>
                      <w:p>
                        <w:r>
                          <w:rPr>
                            <w:rFonts w:hint="eastAsia"/>
                          </w:rPr>
                          <w:t>生产日期</w:t>
                        </w:r>
                      </w:p>
                    </w:tc>
                    <w:tc>
                      <w:tcPr>
                        <w:tcW w:w="1430" w:type="dxa"/>
                      </w:tcPr>
                      <w:p>
                        <w:r>
                          <w:rPr>
                            <w:rFonts w:hint="eastAsia"/>
                          </w:rPr>
                          <w:t>保存期限</w:t>
                        </w:r>
                      </w:p>
                    </w:tc>
                    <w:tc>
                      <w:tcPr>
                        <w:tcW w:w="2280"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氢氧化钙（批号2207082）</w:t>
                        </w:r>
                      </w:p>
                    </w:tc>
                    <w:tc>
                      <w:tcPr>
                        <w:tcW w:w="1056" w:type="dxa"/>
                      </w:tcPr>
                      <w:p>
                        <w:r>
                          <w:rPr>
                            <w:rFonts w:hint="eastAsia"/>
                          </w:rPr>
                          <w:t>25kg</w:t>
                        </w:r>
                      </w:p>
                    </w:tc>
                    <w:tc>
                      <w:tcPr>
                        <w:tcW w:w="1890" w:type="dxa"/>
                      </w:tcPr>
                      <w:p>
                        <w:r>
                          <w:rPr>
                            <w:rFonts w:hint="eastAsia"/>
                          </w:rPr>
                          <w:t>202</w:t>
                        </w:r>
                        <w:r>
                          <w:t>2</w:t>
                        </w:r>
                        <w:r>
                          <w:rPr>
                            <w:rFonts w:hint="eastAsia"/>
                          </w:rPr>
                          <w:t>-07-</w:t>
                        </w:r>
                        <w:r>
                          <w:t>9</w:t>
                        </w:r>
                      </w:p>
                    </w:tc>
                    <w:tc>
                      <w:tcPr>
                        <w:tcW w:w="1430" w:type="dxa"/>
                      </w:tcPr>
                      <w:p>
                        <w:r>
                          <w:rPr>
                            <w:rFonts w:hint="eastAsia"/>
                          </w:rPr>
                          <w:t>24个月</w:t>
                        </w:r>
                      </w:p>
                    </w:tc>
                    <w:tc>
                      <w:tcPr>
                        <w:tcW w:w="2280"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氢氧化钙（批号2112032）</w:t>
                        </w:r>
                      </w:p>
                    </w:tc>
                    <w:tc>
                      <w:tcPr>
                        <w:tcW w:w="1056" w:type="dxa"/>
                      </w:tcPr>
                      <w:p>
                        <w:r>
                          <w:rPr>
                            <w:rFonts w:hint="eastAsia"/>
                          </w:rPr>
                          <w:t>25kg</w:t>
                        </w:r>
                      </w:p>
                    </w:tc>
                    <w:tc>
                      <w:tcPr>
                        <w:tcW w:w="1890" w:type="dxa"/>
                      </w:tcPr>
                      <w:p>
                        <w:r>
                          <w:t>2021</w:t>
                        </w:r>
                        <w:r>
                          <w:rPr>
                            <w:rFonts w:hint="eastAsia"/>
                          </w:rPr>
                          <w:t>-</w:t>
                        </w:r>
                        <w:r>
                          <w:t>12</w:t>
                        </w:r>
                        <w:r>
                          <w:rPr>
                            <w:rFonts w:hint="eastAsia"/>
                          </w:rPr>
                          <w:t>-</w:t>
                        </w:r>
                        <w:r>
                          <w:t>3</w:t>
                        </w:r>
                      </w:p>
                    </w:tc>
                    <w:tc>
                      <w:tcPr>
                        <w:tcW w:w="1430" w:type="dxa"/>
                      </w:tcPr>
                      <w:p>
                        <w:r>
                          <w:rPr>
                            <w:rFonts w:hint="eastAsia"/>
                          </w:rPr>
                          <w:t>24个月</w:t>
                        </w:r>
                      </w:p>
                    </w:tc>
                    <w:tc>
                      <w:tcPr>
                        <w:tcW w:w="2280"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rPr>
                            <w:rFonts w:hint="eastAsia"/>
                          </w:rPr>
                          <w:t>1</w:t>
                        </w:r>
                        <w:r>
                          <w:t>000</w:t>
                        </w:r>
                        <w:r>
                          <w:rPr>
                            <w:rFonts w:hint="eastAsia"/>
                          </w:rPr>
                          <w:t>目重质碳酸钙【I】（批号2</w:t>
                        </w:r>
                        <w:r>
                          <w:t>204223</w:t>
                        </w:r>
                        <w:r>
                          <w:rPr>
                            <w:rFonts w:hint="eastAsia"/>
                          </w:rPr>
                          <w:t>）</w:t>
                        </w:r>
                      </w:p>
                    </w:tc>
                    <w:tc>
                      <w:tcPr>
                        <w:tcW w:w="1056" w:type="dxa"/>
                      </w:tcPr>
                      <w:p>
                        <w:r>
                          <w:rPr>
                            <w:rFonts w:hint="eastAsia"/>
                          </w:rPr>
                          <w:t>25kg</w:t>
                        </w:r>
                      </w:p>
                    </w:tc>
                    <w:tc>
                      <w:tcPr>
                        <w:tcW w:w="1890" w:type="dxa"/>
                      </w:tcPr>
                      <w:p>
                        <w:r>
                          <w:rPr>
                            <w:rFonts w:hint="eastAsia"/>
                          </w:rPr>
                          <w:t>202</w:t>
                        </w:r>
                        <w:r>
                          <w:t>2</w:t>
                        </w:r>
                        <w:r>
                          <w:rPr>
                            <w:rFonts w:hint="eastAsia"/>
                          </w:rPr>
                          <w:t>-0</w:t>
                        </w:r>
                        <w:r>
                          <w:t>4</w:t>
                        </w:r>
                        <w:r>
                          <w:rPr>
                            <w:rFonts w:hint="eastAsia"/>
                          </w:rPr>
                          <w:t>-</w:t>
                        </w:r>
                        <w:r>
                          <w:t>22</w:t>
                        </w:r>
                      </w:p>
                    </w:tc>
                    <w:tc>
                      <w:tcPr>
                        <w:tcW w:w="1430" w:type="dxa"/>
                      </w:tcPr>
                      <w:p>
                        <w:r>
                          <w:rPr>
                            <w:rFonts w:hint="eastAsia"/>
                          </w:rPr>
                          <w:t>24个月</w:t>
                        </w:r>
                      </w:p>
                    </w:tc>
                    <w:tc>
                      <w:tcPr>
                        <w:tcW w:w="2280"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r>
                          <w:t>600</w:t>
                        </w:r>
                        <w:r>
                          <w:rPr>
                            <w:rFonts w:hint="eastAsia"/>
                          </w:rPr>
                          <w:t>目重质碳酸钙【I】（批号2</w:t>
                        </w:r>
                        <w:r>
                          <w:t>110052</w:t>
                        </w:r>
                        <w:r>
                          <w:rPr>
                            <w:rFonts w:hint="eastAsia"/>
                          </w:rPr>
                          <w:t>）</w:t>
                        </w:r>
                      </w:p>
                    </w:tc>
                    <w:tc>
                      <w:tcPr>
                        <w:tcW w:w="1056" w:type="dxa"/>
                      </w:tcPr>
                      <w:p>
                        <w:r>
                          <w:rPr>
                            <w:rFonts w:hint="eastAsia"/>
                          </w:rPr>
                          <w:t>25kg</w:t>
                        </w:r>
                      </w:p>
                    </w:tc>
                    <w:tc>
                      <w:tcPr>
                        <w:tcW w:w="1890" w:type="dxa"/>
                      </w:tcPr>
                      <w:p>
                        <w:r>
                          <w:rPr>
                            <w:rFonts w:hint="eastAsia"/>
                          </w:rPr>
                          <w:t>202</w:t>
                        </w:r>
                        <w:r>
                          <w:t>1</w:t>
                        </w:r>
                        <w:r>
                          <w:rPr>
                            <w:rFonts w:hint="eastAsia"/>
                          </w:rPr>
                          <w:t>-</w:t>
                        </w:r>
                        <w:r>
                          <w:t>10</w:t>
                        </w:r>
                        <w:r>
                          <w:rPr>
                            <w:rFonts w:hint="eastAsia"/>
                          </w:rPr>
                          <w:t>-</w:t>
                        </w:r>
                        <w:r>
                          <w:t>6</w:t>
                        </w:r>
                      </w:p>
                    </w:tc>
                    <w:tc>
                      <w:tcPr>
                        <w:tcW w:w="1430" w:type="dxa"/>
                      </w:tcPr>
                      <w:p>
                        <w:r>
                          <w:rPr>
                            <w:rFonts w:hint="eastAsia"/>
                          </w:rPr>
                          <w:t>24个月</w:t>
                        </w:r>
                      </w:p>
                    </w:tc>
                    <w:tc>
                      <w:tcPr>
                        <w:tcW w:w="2280" w:type="dxa"/>
                      </w:tcPr>
                      <w:p>
                        <w:r>
                          <w:rPr>
                            <w:rFonts w:hint="eastAsia"/>
                          </w:rPr>
                          <w:t>密封常温保存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tc>
                    <w:tc>
                      <w:tcPr>
                        <w:tcW w:w="1056" w:type="dxa"/>
                      </w:tcPr>
                      <w:p/>
                    </w:tc>
                    <w:tc>
                      <w:tcPr>
                        <w:tcW w:w="1890" w:type="dxa"/>
                      </w:tcPr>
                      <w:p/>
                    </w:tc>
                    <w:tc>
                      <w:tcPr>
                        <w:tcW w:w="1430" w:type="dxa"/>
                      </w:tcPr>
                      <w:p/>
                    </w:tc>
                    <w:tc>
                      <w:tcPr>
                        <w:tcW w:w="2280" w:type="dxa"/>
                      </w:tc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r>
          </w:tbl>
          <w:p>
            <w:pPr>
              <w:pStyle w:val="11"/>
              <w:rPr>
                <w:rFonts w:ascii="Times New Roman" w:hAnsi="Times New Roman"/>
              </w:rPr>
            </w:pP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9653"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pPr>
              <w:rPr>
                <w:u w:val="single"/>
              </w:rPr>
            </w:pPr>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u w:val="single"/>
              </w:rPr>
              <w:t>现场观察：成品隔墙离地、有托盘存放、标签标识清楚；</w:t>
            </w:r>
          </w:p>
          <w:p>
            <w:r>
              <w:rPr>
                <w:rFonts w:hint="eastAsia"/>
                <w:u w:val="single"/>
              </w:rPr>
              <w:t>现场观察冷冻库温度： 不涉及</w:t>
            </w:r>
            <w:r>
              <w:rPr>
                <w:u w:val="single"/>
              </w:rPr>
              <w:t xml:space="preserve"> </w:t>
            </w:r>
            <w:r>
              <w:rPr>
                <w:rFonts w:hint="eastAsia"/>
                <w:u w:val="single"/>
              </w:rPr>
              <w:t>；</w:t>
            </w:r>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653"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04"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r>
              <w:rPr>
                <w:rFonts w:hint="eastAsia"/>
                <w:b/>
                <w:bCs/>
              </w:rPr>
              <w:t>（</w:t>
            </w:r>
            <w:r>
              <w:rPr>
                <w:rFonts w:hint="eastAsia"/>
                <w:u w:val="single"/>
              </w:rPr>
              <w:t>审核周期内没有变化</w:t>
            </w:r>
            <w:r>
              <w:rPr>
                <w:rFonts w:hint="eastAsia"/>
                <w:b/>
                <w:bCs/>
              </w:rPr>
              <w:t>）</w:t>
            </w:r>
          </w:p>
          <w:p>
            <w:pPr>
              <w:rPr>
                <w:u w:val="single"/>
              </w:rPr>
            </w:pPr>
            <w:r>
              <w:t>原材料：</w:t>
            </w:r>
            <w:r>
              <w:rPr>
                <w:u w:val="single"/>
              </w:rPr>
              <w:t xml:space="preserve">   </w:t>
            </w:r>
            <w:r>
              <w:rPr>
                <w:rFonts w:hint="eastAsia"/>
                <w:u w:val="single"/>
              </w:rPr>
              <w:t>氧化钙、方解石（碳酸钙矿石）</w:t>
            </w:r>
          </w:p>
          <w:p>
            <w:pPr>
              <w:rPr>
                <w:u w:val="single"/>
              </w:rPr>
            </w:pPr>
            <w:r>
              <w:t>食品添加剂：</w:t>
            </w:r>
            <w:r>
              <w:rPr>
                <w:u w:val="single"/>
              </w:rPr>
              <w:t xml:space="preserve">        无</w:t>
            </w:r>
            <w:r>
              <w:rPr>
                <w:rFonts w:hint="eastAsia"/>
                <w:u w:val="single"/>
              </w:rPr>
              <w:t xml:space="preserve"> </w:t>
            </w:r>
            <w:r>
              <w:rPr>
                <w:u w:val="single"/>
              </w:rPr>
              <w:t xml:space="preserve">  </w:t>
            </w:r>
          </w:p>
          <w:p>
            <w:pPr>
              <w:rPr>
                <w:u w:val="single"/>
              </w:rPr>
            </w:pPr>
            <w:r>
              <w:t>辅助材料：</w:t>
            </w:r>
            <w:r>
              <w:rPr>
                <w:u w:val="single"/>
              </w:rPr>
              <w:t xml:space="preserve">      无      </w:t>
            </w:r>
          </w:p>
          <w:p>
            <w:pPr>
              <w:rPr>
                <w:u w:val="single"/>
              </w:rPr>
            </w:pPr>
            <w:r>
              <w:t>包装材料：</w:t>
            </w:r>
            <w:r>
              <w:rPr>
                <w:u w:val="single"/>
              </w:rPr>
              <w:t xml:space="preserve">   PE</w:t>
            </w:r>
            <w:r>
              <w:rPr>
                <w:rFonts w:hint="eastAsia"/>
                <w:u w:val="single"/>
              </w:rPr>
              <w:t>膜、编织袋</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b/>
              </w:rPr>
              <w:t>氢氧化钙、重质碳酸钙（I）（</w:t>
            </w:r>
            <w:r>
              <w:rPr>
                <w:rFonts w:hint="eastAsia"/>
                <w:u w:val="single"/>
              </w:rPr>
              <w:t>审核周期内没有变化</w:t>
            </w:r>
            <w:r>
              <w:rPr>
                <w:rFonts w:hint="eastAsia"/>
                <w:b/>
              </w:rPr>
              <w:t>）</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食品生产企业的食品添加剂</w:t>
            </w:r>
            <w:r>
              <w:rPr>
                <w:u w:val="single"/>
              </w:rPr>
              <w:t xml:space="preserve">   </w:t>
            </w:r>
          </w:p>
          <w:p/>
          <w:p>
            <w:r>
              <w:t>确定已知特别容易受到特定食品安全危害易感的消费群体/使用者：</w:t>
            </w:r>
            <w:r>
              <w:rPr>
                <w:rFonts w:hint="eastAsia"/>
              </w:rPr>
              <w:t>（不涉及）</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2022  </w:t>
            </w:r>
            <w:r>
              <w:rPr>
                <w:szCs w:val="21"/>
              </w:rPr>
              <w:t>年</w:t>
            </w:r>
            <w:r>
              <w:rPr>
                <w:szCs w:val="21"/>
                <w:u w:val="single"/>
              </w:rPr>
              <w:t xml:space="preserve"> 5</w:t>
            </w:r>
            <w:r>
              <w:rPr>
                <w:szCs w:val="21"/>
              </w:rPr>
              <w:t>月</w:t>
            </w:r>
            <w:r>
              <w:rPr>
                <w:szCs w:val="21"/>
                <w:u w:val="single"/>
              </w:rPr>
              <w:t xml:space="preserve">  10  </w:t>
            </w:r>
            <w:r>
              <w:rPr>
                <w:szCs w:val="21"/>
              </w:rPr>
              <w:t>日</w:t>
            </w:r>
            <w:r>
              <w:t>在现场确认了流程图的准确性。</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65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（车间布置图）</w:t>
            </w:r>
            <w:r>
              <w:t>（包括：</w:t>
            </w:r>
            <w:r>
              <w:rPr/>
              <w:sym w:font="Wingdings" w:char="00FE"/>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04"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r>
              <w:rPr>
                <w:rFonts w:hint="eastAsia"/>
              </w:rPr>
              <w:t>应急准备和响应</w:t>
            </w:r>
          </w:p>
        </w:tc>
        <w:tc>
          <w:tcPr>
            <w:tcW w:w="936" w:type="dxa"/>
            <w:gridSpan w:val="2"/>
            <w:vMerge w:val="restart"/>
          </w:tcPr>
          <w:p>
            <w:r>
              <w:t>F8.4</w:t>
            </w:r>
          </w:p>
          <w:p/>
        </w:tc>
        <w:tc>
          <w:tcPr>
            <w:tcW w:w="745" w:type="dxa"/>
          </w:tcPr>
          <w:p>
            <w:r>
              <w:t>文件名称</w:t>
            </w:r>
          </w:p>
        </w:tc>
        <w:tc>
          <w:tcPr>
            <w:tcW w:w="9653" w:type="dxa"/>
          </w:tcPr>
          <w:p>
            <w:pPr>
              <w:spacing w:line="480" w:lineRule="exact"/>
            </w:pPr>
            <w:r>
              <w:t>如：</w:t>
            </w:r>
            <w:r>
              <w:rPr/>
              <w:sym w:font="Wingdings" w:char="00FE"/>
            </w:r>
            <w:r>
              <w:rPr>
                <w:rFonts w:hint="eastAsia"/>
              </w:rPr>
              <w:t>《产品标识和可追溯程序》、</w:t>
            </w:r>
            <w:r>
              <w:rPr/>
              <w:sym w:font="Wingdings" w:char="00FE"/>
            </w:r>
            <w:r>
              <w:t>《应急准备和响应程序》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653" w:type="dxa"/>
          </w:tcPr>
          <w:p>
            <w:r>
              <w:rPr>
                <w:rFonts w:hint="eastAsia"/>
              </w:rPr>
              <w:t>于2</w:t>
            </w:r>
            <w:r>
              <w:t>022</w:t>
            </w:r>
            <w:r>
              <w:rPr>
                <w:rFonts w:hint="eastAsia"/>
              </w:rPr>
              <w:t>年7月23日开展了火灾应急演练。基本符合要求。</w:t>
            </w:r>
          </w:p>
          <w:p>
            <w:r>
              <w:t>有权决定撤回/召回人员：</w:t>
            </w:r>
            <w:r>
              <w:rPr>
                <w:rFonts w:hint="eastAsia"/>
                <w:u w:val="single"/>
              </w:rPr>
              <w:t xml:space="preserve"> </w:t>
            </w:r>
            <w:r>
              <w:rPr>
                <w:u w:val="single"/>
              </w:rPr>
              <w:t xml:space="preserve"> 总经理</w:t>
            </w:r>
            <w:r>
              <w:rPr>
                <w:rFonts w:hint="eastAsia"/>
                <w:u w:val="single"/>
              </w:rPr>
              <w:t>、食品安全小组组长</w:t>
            </w:r>
            <w:bookmarkStart w:id="0" w:name="_GoBack"/>
            <w:bookmarkEnd w:id="0"/>
            <w:r>
              <w:rPr>
                <w:u w:val="single"/>
              </w:rPr>
              <w:t xml:space="preserve">  </w:t>
            </w:r>
            <w:r>
              <w:t xml:space="preserve">；  </w:t>
            </w:r>
          </w:p>
          <w:p>
            <w:r>
              <w:t>确保及时撤回/召回被确定为潜在不安全的大量最终产品。</w:t>
            </w:r>
          </w:p>
          <w:p>
            <w:r>
              <w:t>组织的撤回/召回流程，包括：</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品质技术部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品质技术部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品质技术部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r>
              <w:rPr>
                <w:rFonts w:hint="eastAsia"/>
              </w:rPr>
              <w:t>（模拟时间2</w:t>
            </w:r>
            <w:r>
              <w:t>022.7.4</w:t>
            </w:r>
            <w:r>
              <w:rPr>
                <w:rFonts w:hint="eastAsia"/>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439"/>
              <w:gridCol w:w="81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7" w:type="dxa"/>
                </w:tcPr>
                <w:p>
                  <w:pPr>
                    <w:rPr>
                      <w:szCs w:val="21"/>
                    </w:rPr>
                  </w:pPr>
                  <w:r>
                    <w:rPr>
                      <w:szCs w:val="21"/>
                    </w:rPr>
                    <w:t>产品批号</w:t>
                  </w:r>
                </w:p>
              </w:tc>
              <w:tc>
                <w:tcPr>
                  <w:tcW w:w="1704" w:type="dxa"/>
                </w:tcPr>
                <w:p>
                  <w:pPr>
                    <w:rPr>
                      <w:szCs w:val="21"/>
                    </w:rPr>
                  </w:pPr>
                  <w:r>
                    <w:rPr>
                      <w:szCs w:val="21"/>
                    </w:rPr>
                    <w:t>不合格简述</w:t>
                  </w:r>
                </w:p>
              </w:tc>
              <w:tc>
                <w:tcPr>
                  <w:tcW w:w="1279" w:type="dxa"/>
                </w:tcPr>
                <w:p>
                  <w:pPr>
                    <w:rPr>
                      <w:szCs w:val="21"/>
                    </w:rPr>
                  </w:pPr>
                  <w:r>
                    <w:rPr>
                      <w:szCs w:val="21"/>
                    </w:rPr>
                    <w:t>生产记录情况</w:t>
                  </w:r>
                </w:p>
              </w:tc>
              <w:tc>
                <w:tcPr>
                  <w:tcW w:w="1540" w:type="dxa"/>
                </w:tcPr>
                <w:p>
                  <w:pPr>
                    <w:rPr>
                      <w:szCs w:val="21"/>
                    </w:rPr>
                  </w:pPr>
                  <w:r>
                    <w:rPr>
                      <w:szCs w:val="21"/>
                    </w:rPr>
                    <w:t>检验记录情况</w:t>
                  </w:r>
                </w:p>
              </w:tc>
              <w:tc>
                <w:tcPr>
                  <w:tcW w:w="1439" w:type="dxa"/>
                </w:tcPr>
                <w:p>
                  <w:pPr>
                    <w:rPr>
                      <w:szCs w:val="21"/>
                    </w:rPr>
                  </w:pPr>
                  <w:r>
                    <w:rPr>
                      <w:szCs w:val="21"/>
                    </w:rPr>
                    <w:t>采购记录情况</w:t>
                  </w:r>
                </w:p>
              </w:tc>
              <w:tc>
                <w:tcPr>
                  <w:tcW w:w="816" w:type="dxa"/>
                </w:tcPr>
                <w:p>
                  <w:pPr>
                    <w:rPr>
                      <w:szCs w:val="21"/>
                    </w:rPr>
                  </w:pPr>
                  <w:r>
                    <w:rPr>
                      <w:szCs w:val="21"/>
                    </w:rPr>
                    <w:t>产品留样确认</w:t>
                  </w:r>
                </w:p>
              </w:tc>
              <w:tc>
                <w:tcPr>
                  <w:tcW w:w="1428" w:type="dxa"/>
                </w:tcPr>
                <w:p>
                  <w:pPr>
                    <w:rPr>
                      <w:szCs w:val="21"/>
                    </w:rPr>
                  </w:pPr>
                  <w:r>
                    <w:rPr>
                      <w:szCs w:val="21"/>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eastAsia"/>
                    </w:rPr>
                  </w:pPr>
                  <w:r>
                    <w:t>202206232</w:t>
                  </w:r>
                </w:p>
              </w:tc>
              <w:tc>
                <w:tcPr>
                  <w:tcW w:w="1704" w:type="dxa"/>
                </w:tcPr>
                <w:p>
                  <w:pPr>
                    <w:rPr>
                      <w:szCs w:val="21"/>
                    </w:rPr>
                  </w:pPr>
                  <w:r>
                    <w:rPr>
                      <w:rFonts w:hint="eastAsia"/>
                    </w:rPr>
                    <w:t>送货员反应给杭州某客户发货的产品（重质碳酸钙【I】）存在缺少生产日期情况（模拟）</w:t>
                  </w:r>
                </w:p>
              </w:tc>
              <w:tc>
                <w:tcPr>
                  <w:tcW w:w="1279" w:type="dxa"/>
                </w:tcPr>
                <w:p>
                  <w:pPr>
                    <w:rPr>
                      <w:szCs w:val="21"/>
                    </w:rPr>
                  </w:pPr>
                  <w:r>
                    <w:rPr>
                      <w:rFonts w:hint="eastAsia"/>
                    </w:rPr>
                    <w:t>202</w:t>
                  </w:r>
                  <w:r>
                    <w:t>2</w:t>
                  </w:r>
                  <w:r>
                    <w:rPr>
                      <w:rFonts w:hint="eastAsia"/>
                    </w:rPr>
                    <w:t>.06.</w:t>
                  </w:r>
                  <w:r>
                    <w:t>23</w:t>
                  </w:r>
                </w:p>
              </w:tc>
              <w:tc>
                <w:tcPr>
                  <w:tcW w:w="1540" w:type="dxa"/>
                </w:tcPr>
                <w:p>
                  <w:pPr>
                    <w:rPr>
                      <w:szCs w:val="21"/>
                    </w:rPr>
                  </w:pPr>
                  <w:r>
                    <w:rPr>
                      <w:rFonts w:hint="eastAsia"/>
                    </w:rPr>
                    <w:t>202</w:t>
                  </w:r>
                  <w:r>
                    <w:t>2</w:t>
                  </w:r>
                  <w:r>
                    <w:rPr>
                      <w:rFonts w:hint="eastAsia"/>
                    </w:rPr>
                    <w:t>.06.</w:t>
                  </w:r>
                  <w:r>
                    <w:t>23</w:t>
                  </w:r>
                </w:p>
              </w:tc>
              <w:tc>
                <w:tcPr>
                  <w:tcW w:w="1439" w:type="dxa"/>
                </w:tcPr>
                <w:p>
                  <w:pPr>
                    <w:rPr>
                      <w:szCs w:val="21"/>
                    </w:rPr>
                  </w:pPr>
                  <w:r>
                    <w:rPr>
                      <w:rFonts w:hint="eastAsia"/>
                    </w:rPr>
                    <w:t>有验收证据，但未追溯到原料批次信息</w:t>
                  </w:r>
                </w:p>
              </w:tc>
              <w:tc>
                <w:tcPr>
                  <w:tcW w:w="816" w:type="dxa"/>
                </w:tcPr>
                <w:p>
                  <w:pPr>
                    <w:rPr>
                      <w:szCs w:val="21"/>
                    </w:rPr>
                  </w:pPr>
                  <w:r>
                    <w:rPr>
                      <w:rFonts w:hint="eastAsia"/>
                    </w:rPr>
                    <w:t>202</w:t>
                  </w:r>
                  <w:r>
                    <w:t>2</w:t>
                  </w:r>
                  <w:r>
                    <w:rPr>
                      <w:rFonts w:hint="eastAsia"/>
                    </w:rPr>
                    <w:t>.06.</w:t>
                  </w:r>
                  <w:r>
                    <w:t>23</w:t>
                  </w:r>
                </w:p>
              </w:tc>
              <w:tc>
                <w:tcPr>
                  <w:tcW w:w="1428" w:type="dxa"/>
                </w:tcPr>
                <w:p>
                  <w:pPr>
                    <w:rPr>
                      <w:szCs w:val="21"/>
                    </w:rPr>
                  </w:pPr>
                  <w:r>
                    <w:rPr>
                      <w:rFonts w:hint="eastAsia"/>
                    </w:rPr>
                    <w:t>发货</w:t>
                  </w:r>
                  <w:r>
                    <w:t>20</w:t>
                  </w:r>
                  <w:r>
                    <w:rPr>
                      <w:rFonts w:hint="eastAsia"/>
                    </w:rPr>
                    <w:t>包中经过彻查已撤回</w:t>
                  </w:r>
                </w:p>
              </w:tc>
            </w:tr>
          </w:tbl>
          <w:p>
            <w:pPr>
              <w:pStyle w:val="11"/>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5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食品安全小组于</w:t>
            </w:r>
            <w:r>
              <w:rPr>
                <w:u w:val="single"/>
              </w:rPr>
              <w:t xml:space="preserve">  2022</w:t>
            </w:r>
            <w:r>
              <w:t>年</w:t>
            </w:r>
            <w:r>
              <w:rPr>
                <w:u w:val="single"/>
              </w:rPr>
              <w:t xml:space="preserve"> 5</w:t>
            </w:r>
            <w:r>
              <w:t>月</w:t>
            </w:r>
            <w:r>
              <w:rPr>
                <w:u w:val="single"/>
              </w:rPr>
              <w:t xml:space="preserve"> 10</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A8"/>
            </w:r>
            <w:r>
              <w:t xml:space="preserve">农药残留  </w:t>
            </w:r>
            <w:r>
              <w:rPr/>
              <w:sym w:font="Wingdings" w:char="00A8"/>
            </w:r>
            <w:r>
              <w:t xml:space="preserve">兽药残留  </w:t>
            </w:r>
            <w:r>
              <w:rPr/>
              <w:sym w:font="Wingdings" w:char="00A8"/>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有毒有害种子</w:t>
            </w:r>
            <w:r>
              <w:rPr/>
              <w:sym w:font="Wingdings" w:char="00A8"/>
            </w:r>
            <w:r>
              <w:t>其他</w:t>
            </w:r>
            <w:r>
              <w:rPr>
                <w:rFonts w:hint="eastAsia"/>
              </w:rPr>
              <w:t>（挥发性盐基氮、组胺、多氯联苯）</w:t>
            </w:r>
            <w:r>
              <w:t xml:space="preserve">  </w:t>
            </w:r>
          </w:p>
          <w:p>
            <w:r>
              <w:t>生物危害：</w:t>
            </w:r>
            <w:r>
              <w:rPr/>
              <w:sym w:font="Wingdings" w:char="00A8"/>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A8"/>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氧化钙/方解石</w:t>
                  </w:r>
                </w:p>
              </w:tc>
              <w:tc>
                <w:tcPr>
                  <w:tcW w:w="3136" w:type="dxa"/>
                  <w:shd w:val="clear" w:color="auto" w:fill="auto"/>
                  <w:vAlign w:val="center"/>
                </w:tcPr>
                <w:p>
                  <w:pPr>
                    <w:jc w:val="center"/>
                    <w:rPr>
                      <w:bCs/>
                      <w:sz w:val="18"/>
                      <w:szCs w:val="18"/>
                      <w:lang w:val="en-GB"/>
                    </w:rPr>
                  </w:pPr>
                  <w:r>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ym w:font="Wingdings" w:char="00A8"/>
                  </w:r>
                  <w:r>
                    <w:rPr>
                      <w:bCs/>
                      <w:sz w:val="18"/>
                      <w:szCs w:val="18"/>
                      <w:lang w:val="en-GB"/>
                    </w:rPr>
                    <w:t>农药残留</w:t>
                  </w:r>
                  <w:r>
                    <w:rPr>
                      <w:bCs/>
                      <w:sz w:val="18"/>
                      <w:szCs w:val="18"/>
                    </w:rPr>
                    <w:t xml:space="preserve"> </w:t>
                  </w:r>
                  <w:r>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或</w:t>
                  </w:r>
                  <w:r>
                    <w:rPr>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P</w:t>
                  </w:r>
                  <w:r>
                    <w:rPr>
                      <w:bCs/>
                      <w:sz w:val="18"/>
                      <w:szCs w:val="18"/>
                    </w:rPr>
                    <w:t>E</w:t>
                  </w:r>
                  <w:r>
                    <w:rPr>
                      <w:rFonts w:hint="eastAsia"/>
                      <w:bCs/>
                      <w:sz w:val="18"/>
                      <w:szCs w:val="18"/>
                    </w:rPr>
                    <w:t>膜（内袋）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rFonts w:hint="eastAsia"/>
                      <w:bCs/>
                      <w:sz w:val="18"/>
                      <w:szCs w:val="18"/>
                    </w:rPr>
                    <w:t>——</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lang w:val="en-GB"/>
                    </w:rPr>
                  </w:pPr>
                </w:p>
              </w:tc>
              <w:tc>
                <w:tcPr>
                  <w:tcW w:w="3245" w:type="dxa"/>
                  <w:shd w:val="clear" w:color="auto" w:fill="auto"/>
                  <w:vAlign w:val="center"/>
                </w:tcPr>
                <w:p>
                  <w:pPr>
                    <w:autoSpaceDE w:val="0"/>
                    <w:autoSpaceDN w:val="0"/>
                    <w:adjustRightInd w:val="0"/>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5" w:type="dxa"/>
                  <w:shd w:val="clear" w:color="auto" w:fill="auto"/>
                  <w:vAlign w:val="center"/>
                </w:tcPr>
                <w:p>
                  <w:pPr>
                    <w:autoSpaceDE w:val="0"/>
                    <w:autoSpaceDN w:val="0"/>
                    <w:adjustRightInd w:val="0"/>
                    <w:jc w:val="center"/>
                    <w:rPr>
                      <w:bCs/>
                      <w:sz w:val="18"/>
                      <w:szCs w:val="18"/>
                      <w:lang w:val="en-GB"/>
                    </w:rPr>
                  </w:pPr>
                </w:p>
              </w:tc>
              <w:tc>
                <w:tcPr>
                  <w:tcW w:w="3136" w:type="dxa"/>
                  <w:shd w:val="clear" w:color="auto" w:fill="auto"/>
                  <w:vAlign w:val="center"/>
                </w:tcPr>
                <w:p>
                  <w:pPr>
                    <w:jc w:val="center"/>
                    <w:rPr>
                      <w:bCs/>
                      <w:sz w:val="18"/>
                      <w:szCs w:val="18"/>
                    </w:rPr>
                  </w:pPr>
                </w:p>
              </w:tc>
              <w:tc>
                <w:tcPr>
                  <w:tcW w:w="3245" w:type="dxa"/>
                  <w:shd w:val="clear" w:color="auto" w:fill="auto"/>
                  <w:vAlign w:val="center"/>
                </w:tcPr>
                <w:p>
                  <w:pPr>
                    <w:autoSpaceDE w:val="0"/>
                    <w:autoSpaceDN w:val="0"/>
                    <w:adjustRightInd w:val="0"/>
                    <w:jc w:val="center"/>
                    <w:rPr>
                      <w:sz w:val="18"/>
                      <w:szCs w:val="18"/>
                    </w:rPr>
                  </w:pPr>
                </w:p>
              </w:tc>
            </w:tr>
          </w:tbl>
          <w:p>
            <w:pPr>
              <w:rPr>
                <w:bCs/>
              </w:rPr>
            </w:pPr>
          </w:p>
          <w:p>
            <w:pPr>
              <w:tabs>
                <w:tab w:val="right" w:pos="3119"/>
              </w:tabs>
              <w:rPr>
                <w:b/>
              </w:rPr>
            </w:pPr>
            <w:r>
              <w:rPr>
                <w:b/>
              </w:rPr>
              <w:t>最终产品危害分析：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氢氧化钙</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rPr>
                      <w:bCs/>
                      <w:lang w:val="en-GB"/>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lang w:val="en-GB"/>
                    </w:rPr>
                    <w:t>重质碳酸钙（I）</w:t>
                  </w:r>
                </w:p>
              </w:tc>
              <w:tc>
                <w:tcPr>
                  <w:tcW w:w="2873" w:type="dxa"/>
                  <w:shd w:val="clear" w:color="auto" w:fill="auto"/>
                  <w:vAlign w:val="center"/>
                </w:tcPr>
                <w:p>
                  <w:pPr>
                    <w:jc w:val="center"/>
                    <w:rPr>
                      <w:bCs/>
                      <w:lang w:val="en-GB"/>
                    </w:rPr>
                  </w:pPr>
                  <w:r>
                    <w:rPr>
                      <w:bCs/>
                    </w:rPr>
                    <w:sym w:font="Wingdings" w:char="00A8"/>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p>
                  <w:pPr>
                    <w:jc w:val="center"/>
                    <w:rPr>
                      <w:bCs/>
                      <w:lang w:val="en-GB"/>
                    </w:rPr>
                  </w:pPr>
                  <w:r>
                    <w:rPr>
                      <w:bCs/>
                    </w:rPr>
                    <w:sym w:font="Wingdings" w:char="00FE"/>
                  </w:r>
                  <w:r>
                    <w:rPr>
                      <w:rFonts w:hint="eastAsia"/>
                      <w:bCs/>
                    </w:rPr>
                    <w:t>物理危害</w:t>
                  </w:r>
                </w:p>
              </w:tc>
              <w:tc>
                <w:tcPr>
                  <w:tcW w:w="3665" w:type="dxa"/>
                  <w:shd w:val="clear" w:color="auto" w:fill="auto"/>
                  <w:vAlign w:val="center"/>
                </w:tcPr>
                <w:p>
                  <w:pPr>
                    <w:jc w:val="center"/>
                    <w:rPr>
                      <w:bCs/>
                    </w:rPr>
                  </w:pPr>
                  <w:r>
                    <w:rPr/>
                    <w:sym w:font="Wingdings" w:char="00FE"/>
                  </w:r>
                  <w:r>
                    <w:rPr>
                      <w:bCs/>
                    </w:rPr>
                    <w:t>OPRP</w:t>
                  </w:r>
                </w:p>
                <w:p>
                  <w:pPr>
                    <w:jc w:val="center"/>
                    <w:rPr>
                      <w:bCs/>
                    </w:rPr>
                  </w:pPr>
                  <w:r>
                    <w:rPr>
                      <w:bCs/>
                    </w:rPr>
                    <w:sym w:font="Wingdings" w:char="00FE"/>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p>
              </w:tc>
              <w:tc>
                <w:tcPr>
                  <w:tcW w:w="2873"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11"/>
                    <w:rPr>
                      <w:lang w:val="en-GB"/>
                    </w:rPr>
                  </w:pPr>
                  <w:r>
                    <w:rPr>
                      <w:rFonts w:ascii="Times New Roman" w:hAnsi="Times New Roman"/>
                    </w:rPr>
                    <w:sym w:font="Wingdings" w:char="00A8"/>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加工用水/冰/蒸汽</w:t>
            </w:r>
            <w:r>
              <w:rPr>
                <w:rFonts w:hint="eastAsia"/>
              </w:rPr>
              <w:t xml:space="preserve"> </w:t>
            </w:r>
            <w:r>
              <w:t xml:space="preserve"> </w:t>
            </w:r>
            <w:r>
              <w:rPr/>
              <w:sym w:font="Wingdings" w:char="00A8"/>
            </w:r>
            <w:r>
              <w:t xml:space="preserve">接触面  </w:t>
            </w:r>
            <w:r>
              <w:rPr/>
              <w:sym w:font="Wingdings" w:char="00FE"/>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化学品污染</w:t>
            </w:r>
            <w:r>
              <w:rPr>
                <w:u w:val="single"/>
              </w:rPr>
              <w:t xml:space="preserve">   </w:t>
            </w:r>
          </w:p>
          <w:p>
            <w:pPr>
              <w:pStyle w:val="11"/>
              <w:ind w:left="0" w:firstLine="0" w:firstLineChars="0"/>
              <w:rPr>
                <w:rFonts w:ascii="Times New Roman" w:hAnsi="Times New Roman"/>
              </w:rPr>
            </w:pPr>
          </w:p>
          <w:p>
            <w:pPr>
              <w:rPr>
                <w:color w:val="FF0000"/>
              </w:rPr>
            </w:pPr>
            <w:r>
              <w:t>组织确定了所识别最终产品的每种食品安全危害的可接受水平。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重质碳酸钙中铅、砷等重金属指标</w:t>
                  </w:r>
                </w:p>
              </w:tc>
              <w:tc>
                <w:tcPr>
                  <w:tcW w:w="4263" w:type="dxa"/>
                  <w:shd w:val="clear" w:color="auto" w:fill="auto"/>
                  <w:vAlign w:val="center"/>
                </w:tcPr>
                <w:p>
                  <w:pPr>
                    <w:rPr>
                      <w:bCs/>
                      <w:szCs w:val="21"/>
                    </w:rPr>
                  </w:pPr>
                  <w:r>
                    <w:rPr>
                      <w:rFonts w:hint="eastAsia"/>
                      <w:bCs/>
                      <w:szCs w:val="21"/>
                    </w:rPr>
                    <w:t>按照GB 1886.214-2016《食品安全国家标准 食品添加剂 碳酸钙（包括轻质和重质碳酸钙）》执行，目测正常。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氢氧化钙中铅、砷等重金属指标</w:t>
                  </w:r>
                </w:p>
              </w:tc>
              <w:tc>
                <w:tcPr>
                  <w:tcW w:w="4263" w:type="dxa"/>
                  <w:shd w:val="clear" w:color="auto" w:fill="auto"/>
                  <w:vAlign w:val="center"/>
                </w:tcPr>
                <w:p>
                  <w:pPr>
                    <w:rPr>
                      <w:bCs/>
                      <w:szCs w:val="21"/>
                    </w:rPr>
                  </w:pPr>
                  <w:r>
                    <w:rPr>
                      <w:rFonts w:hint="eastAsia"/>
                      <w:bCs/>
                      <w:szCs w:val="21"/>
                    </w:rPr>
                    <w:t>按照GB 25572-2010《食品安全国家标准 食品添加剂 氢氧化钙》执行，目测正常。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rPr>
                      <w:bCs/>
                      <w:szCs w:val="21"/>
                    </w:rPr>
                  </w:pPr>
                  <w:r>
                    <w:rPr>
                      <w:rFonts w:hint="eastAsia"/>
                      <w:bCs/>
                      <w:szCs w:val="21"/>
                    </w:rPr>
                    <w:t>塑料袋</w:t>
                  </w:r>
                </w:p>
              </w:tc>
              <w:tc>
                <w:tcPr>
                  <w:tcW w:w="4263" w:type="dxa"/>
                  <w:shd w:val="clear" w:color="auto" w:fill="auto"/>
                  <w:vAlign w:val="center"/>
                </w:tcPr>
                <w:p>
                  <w:pP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shd w:val="clear" w:color="auto" w:fill="auto"/>
          </w:tcPr>
          <w:p>
            <w:r>
              <w:t>控制措施组合的确认</w:t>
            </w:r>
          </w:p>
        </w:tc>
        <w:tc>
          <w:tcPr>
            <w:tcW w:w="936" w:type="dxa"/>
            <w:gridSpan w:val="2"/>
            <w:shd w:val="clear" w:color="auto" w:fill="auto"/>
          </w:tcPr>
          <w:p>
            <w:r>
              <w:t>F8.5.3</w:t>
            </w:r>
          </w:p>
        </w:tc>
        <w:tc>
          <w:tcPr>
            <w:tcW w:w="745" w:type="dxa"/>
            <w:shd w:val="clear" w:color="auto" w:fill="auto"/>
          </w:tcP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504"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shd w:val="clear" w:color="auto" w:fill="auto"/>
          </w:tcPr>
          <w:p/>
        </w:tc>
        <w:tc>
          <w:tcPr>
            <w:tcW w:w="936" w:type="dxa"/>
            <w:gridSpan w:val="2"/>
            <w:shd w:val="clear" w:color="auto" w:fill="auto"/>
          </w:tcPr>
          <w:p/>
        </w:tc>
        <w:tc>
          <w:tcPr>
            <w:tcW w:w="745" w:type="dxa"/>
            <w:shd w:val="clear" w:color="auto" w:fill="auto"/>
          </w:tcPr>
          <w:p>
            <w:r>
              <w:t>运行证据</w:t>
            </w:r>
          </w:p>
        </w:tc>
        <w:tc>
          <w:tcPr>
            <w:tcW w:w="965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ascii="宋体" w:hAnsi="宋体"/>
                <w:b/>
                <w:bCs/>
                <w:szCs w:val="21"/>
                <w:u w:val="single"/>
              </w:rPr>
              <w:t>2</w:t>
            </w:r>
            <w:r>
              <w:rPr>
                <w:rFonts w:hint="eastAsia" w:ascii="宋体" w:hAnsi="宋体"/>
                <w:b/>
                <w:bCs/>
                <w:szCs w:val="21"/>
                <w:u w:val="single"/>
              </w:rPr>
              <w:t>年</w:t>
            </w:r>
            <w:r>
              <w:rPr>
                <w:rFonts w:ascii="宋体" w:hAnsi="宋体"/>
                <w:b/>
                <w:bCs/>
                <w:szCs w:val="21"/>
                <w:u w:val="single"/>
              </w:rPr>
              <w:t>7</w:t>
            </w:r>
            <w:r>
              <w:rPr>
                <w:rFonts w:hint="eastAsia" w:ascii="宋体" w:hAnsi="宋体"/>
                <w:b/>
                <w:bCs/>
                <w:szCs w:val="21"/>
                <w:u w:val="single"/>
              </w:rPr>
              <w:t>月1日，结论：控制有效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《OPRP确认记录表》，2021年</w:t>
            </w:r>
            <w:r>
              <w:rPr>
                <w:rFonts w:ascii="宋体" w:hAnsi="宋体"/>
                <w:b/>
                <w:bCs/>
                <w:szCs w:val="21"/>
                <w:u w:val="single"/>
              </w:rPr>
              <w:t>5</w:t>
            </w:r>
            <w:r>
              <w:rPr>
                <w:rFonts w:hint="eastAsia" w:ascii="宋体" w:hAnsi="宋体"/>
                <w:b/>
                <w:bCs/>
                <w:szCs w:val="21"/>
                <w:u w:val="single"/>
              </w:rPr>
              <w:t>月1</w:t>
            </w:r>
            <w:r>
              <w:rPr>
                <w:rFonts w:ascii="宋体" w:hAnsi="宋体"/>
                <w:b/>
                <w:bCs/>
                <w:szCs w:val="21"/>
                <w:u w:val="single"/>
              </w:rPr>
              <w:t>0</w:t>
            </w:r>
            <w:r>
              <w:rPr>
                <w:rFonts w:hint="eastAsia" w:ascii="宋体" w:hAnsi="宋体"/>
                <w:b/>
                <w:bCs/>
                <w:szCs w:val="21"/>
                <w:u w:val="single"/>
              </w:rPr>
              <w:t>日，结论：控制有效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危害控制计划</w:t>
            </w:r>
            <w:r>
              <w:rPr>
                <w:rFonts w:hint="eastAsia" w:ascii="宋体" w:hAnsi="宋体"/>
                <w:b/>
                <w:bCs/>
                <w:szCs w:val="21"/>
                <w:u w:val="single"/>
              </w:rPr>
              <w:t>确认记录表》，202</w:t>
            </w:r>
            <w:r>
              <w:rPr>
                <w:rFonts w:ascii="宋体" w:hAnsi="宋体"/>
                <w:b/>
                <w:bCs/>
                <w:szCs w:val="21"/>
                <w:u w:val="single"/>
              </w:rPr>
              <w:t>2</w:t>
            </w:r>
            <w:r>
              <w:rPr>
                <w:rFonts w:hint="eastAsia" w:ascii="宋体" w:hAnsi="宋体"/>
                <w:b/>
                <w:bCs/>
                <w:szCs w:val="21"/>
                <w:u w:val="single"/>
              </w:rPr>
              <w:t>年</w:t>
            </w:r>
            <w:r>
              <w:rPr>
                <w:rFonts w:ascii="宋体" w:hAnsi="宋体"/>
                <w:b/>
                <w:bCs/>
                <w:szCs w:val="21"/>
                <w:u w:val="single"/>
              </w:rPr>
              <w:t>5</w:t>
            </w:r>
            <w:r>
              <w:rPr>
                <w:rFonts w:hint="eastAsia" w:ascii="宋体" w:hAnsi="宋体"/>
                <w:b/>
                <w:bCs/>
                <w:szCs w:val="21"/>
                <w:u w:val="single"/>
              </w:rPr>
              <w:t>月1</w:t>
            </w:r>
            <w:r>
              <w:rPr>
                <w:rFonts w:ascii="宋体" w:hAnsi="宋体"/>
                <w:b/>
                <w:bCs/>
                <w:szCs w:val="21"/>
                <w:u w:val="single"/>
              </w:rPr>
              <w:t>0</w:t>
            </w:r>
            <w:r>
              <w:rPr>
                <w:rFonts w:hint="eastAsia" w:ascii="宋体" w:hAnsi="宋体"/>
                <w:b/>
                <w:bCs/>
                <w:szCs w:val="21"/>
                <w:u w:val="single"/>
              </w:rPr>
              <w:t>日，结论：控制有效</w:t>
            </w:r>
          </w:p>
          <w:p>
            <w:pPr>
              <w:pStyle w:val="11"/>
              <w:ind w:left="0" w:firstLine="0" w:firstLineChars="0"/>
              <w:rPr>
                <w:color w:val="FF0000"/>
                <w:highlight w:val="yellow"/>
                <w:u w:val="single"/>
              </w:rPr>
            </w:pPr>
          </w:p>
          <w:tbl>
            <w:tblPr>
              <w:tblStyle w:val="13"/>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125"/>
              <w:gridCol w:w="1056"/>
              <w:gridCol w:w="1355"/>
              <w:gridCol w:w="127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212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05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355"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08</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09</w:t>
                  </w:r>
                </w:p>
              </w:tc>
              <w:tc>
                <w:tcPr>
                  <w:tcW w:w="212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食品添加剂</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氢氧化钙，批次</w:t>
                  </w:r>
                  <w:r>
                    <w:rPr>
                      <w:color w:val="000000" w:themeColor="text1"/>
                      <w:sz w:val="18"/>
                      <w:szCs w:val="18"/>
                      <w14:textFill>
                        <w14:solidFill>
                          <w14:schemeClr w14:val="tx1"/>
                        </w14:solidFill>
                      </w14:textFill>
                    </w:rPr>
                    <w:t>2022</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7</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21</w:t>
                  </w:r>
                </w:p>
              </w:tc>
              <w:tc>
                <w:tcPr>
                  <w:tcW w:w="105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rPr>
                      <w:color w:val="000000" w:themeColor="text1"/>
                      <w:sz w:val="18"/>
                      <w:szCs w:val="18"/>
                      <w14:textFill>
                        <w14:solidFill>
                          <w14:schemeClr w14:val="tx1"/>
                        </w14:solidFill>
                      </w14:textFill>
                    </w:rPr>
                  </w:pPr>
                  <w:r>
                    <w:rPr>
                      <w:color w:val="000000" w:themeColor="text1"/>
                      <w14:textFill>
                        <w14:solidFill>
                          <w14:schemeClr w14:val="tx1"/>
                        </w14:solidFill>
                      </w14:textFill>
                    </w:rPr>
                    <w:t>2210929374</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09</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2022-08-05</w:t>
                  </w:r>
                </w:p>
              </w:tc>
              <w:tc>
                <w:tcPr>
                  <w:tcW w:w="212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食品添加剂 碳酸钙（重质碳酸钙），批次</w:t>
                  </w:r>
                  <w:r>
                    <w:rPr>
                      <w:color w:val="000000" w:themeColor="text1"/>
                      <w:sz w:val="18"/>
                      <w:szCs w:val="18"/>
                      <w14:textFill>
                        <w14:solidFill>
                          <w14:schemeClr w14:val="tx1"/>
                        </w14:solidFill>
                      </w14:textFill>
                    </w:rPr>
                    <w:t>2022.7.22</w:t>
                  </w:r>
                </w:p>
              </w:tc>
              <w:tc>
                <w:tcPr>
                  <w:tcW w:w="105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rPr>
                      <w:rFonts w:ascii="宋体" w:hAnsi="宋体"/>
                      <w:sz w:val="18"/>
                    </w:rPr>
                  </w:pPr>
                  <w:r>
                    <w:rPr>
                      <w:rFonts w:ascii="宋体" w:hAnsi="宋体"/>
                      <w:sz w:val="18"/>
                    </w:rPr>
                    <w:t>2210929373</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2022-08-05</w:t>
                  </w:r>
                </w:p>
              </w:tc>
              <w:tc>
                <w:tcPr>
                  <w:tcW w:w="207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Pr>
              <w:rPr>
                <w:color w:val="000000" w:themeColor="text1"/>
                <w:sz w:val="18"/>
                <w:szCs w:val="18"/>
                <w14:textFill>
                  <w14:solidFill>
                    <w14:schemeClr w14:val="tx1"/>
                  </w14:solidFill>
                </w14:textFill>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0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危害控制</w:t>
            </w:r>
            <w:r>
              <w:t>计划》</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81"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pPr>
              <w:spacing w:before="240" w:after="120"/>
              <w:rPr>
                <w:lang w:val="en-GB"/>
              </w:rPr>
            </w:pPr>
            <w:r>
              <w:rPr>
                <w:rFonts w:hint="eastAsia"/>
              </w:rPr>
              <w:t>氢氧化钙OPRP计划/</w:t>
            </w:r>
            <w:r>
              <w:rPr>
                <w:rFonts w:hint="eastAsia"/>
                <w:lang w:val="en-GB"/>
              </w:rPr>
              <w:t>危害控制计划：</w:t>
            </w:r>
          </w:p>
          <w:tbl>
            <w:tblPr>
              <w:tblStyle w:val="12"/>
              <w:tblW w:w="911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23"/>
              <w:gridCol w:w="1235"/>
              <w:gridCol w:w="1310"/>
              <w:gridCol w:w="2045"/>
              <w:gridCol w:w="305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90" w:hRule="atLeast"/>
                <w:tblHeader/>
              </w:trPr>
              <w:tc>
                <w:tcPr>
                  <w:tcW w:w="723" w:type="dxa"/>
                  <w:shd w:val="clear" w:color="auto" w:fill="auto"/>
                </w:tcPr>
                <w:p>
                  <w:pPr>
                    <w:pStyle w:val="21"/>
                    <w:rPr>
                      <w:sz w:val="21"/>
                      <w:szCs w:val="21"/>
                      <w:lang w:eastAsia="zh-CN"/>
                    </w:rPr>
                  </w:pPr>
                  <w:r>
                    <w:rPr>
                      <w:rFonts w:hint="eastAsia"/>
                      <w:sz w:val="21"/>
                      <w:szCs w:val="21"/>
                      <w:lang w:eastAsia="zh-CN"/>
                    </w:rPr>
                    <w:t>序号</w:t>
                  </w:r>
                </w:p>
              </w:tc>
              <w:tc>
                <w:tcPr>
                  <w:tcW w:w="1235" w:type="dxa"/>
                  <w:shd w:val="clear" w:color="auto" w:fill="auto"/>
                </w:tcPr>
                <w:p>
                  <w:pPr>
                    <w:pStyle w:val="21"/>
                    <w:rPr>
                      <w:sz w:val="21"/>
                      <w:szCs w:val="21"/>
                      <w:lang w:eastAsia="zh-CN"/>
                    </w:rPr>
                  </w:pPr>
                  <w:r>
                    <w:rPr>
                      <w:rFonts w:hint="eastAsia"/>
                      <w:sz w:val="21"/>
                      <w:szCs w:val="21"/>
                      <w:lang w:eastAsia="zh-CN"/>
                    </w:rPr>
                    <w:t>过程步骤</w:t>
                  </w:r>
                </w:p>
              </w:tc>
              <w:tc>
                <w:tcPr>
                  <w:tcW w:w="1310" w:type="dxa"/>
                  <w:shd w:val="clear" w:color="auto" w:fill="auto"/>
                </w:tcPr>
                <w:p>
                  <w:pPr>
                    <w:pStyle w:val="21"/>
                    <w:rPr>
                      <w:sz w:val="21"/>
                      <w:szCs w:val="21"/>
                      <w:lang w:eastAsia="zh-CN"/>
                    </w:rPr>
                  </w:pPr>
                  <w:r>
                    <w:rPr>
                      <w:rFonts w:hint="eastAsia"/>
                      <w:sz w:val="21"/>
                      <w:szCs w:val="21"/>
                      <w:lang w:eastAsia="zh-CN"/>
                    </w:rPr>
                    <w:t>危害</w:t>
                  </w:r>
                </w:p>
              </w:tc>
              <w:tc>
                <w:tcPr>
                  <w:tcW w:w="2045" w:type="dxa"/>
                  <w:shd w:val="clear" w:color="auto" w:fill="auto"/>
                </w:tcPr>
                <w:p>
                  <w:pPr>
                    <w:pStyle w:val="21"/>
                    <w:rPr>
                      <w:sz w:val="21"/>
                      <w:szCs w:val="21"/>
                      <w:lang w:eastAsia="zh-CN"/>
                    </w:rPr>
                  </w:pPr>
                  <w:r>
                    <w:rPr>
                      <w:rFonts w:hint="eastAsia"/>
                      <w:sz w:val="21"/>
                      <w:szCs w:val="21"/>
                      <w:lang w:eastAsia="zh-CN"/>
                    </w:rPr>
                    <w:t xml:space="preserve"> 监控程序</w:t>
                  </w:r>
                </w:p>
              </w:tc>
              <w:tc>
                <w:tcPr>
                  <w:tcW w:w="3053" w:type="dxa"/>
                  <w:shd w:val="clear" w:color="auto" w:fill="auto"/>
                </w:tcPr>
                <w:p>
                  <w:pPr>
                    <w:pStyle w:val="21"/>
                    <w:rPr>
                      <w:sz w:val="21"/>
                      <w:szCs w:val="21"/>
                      <w:lang w:val="en-US" w:eastAsia="zh-CN"/>
                    </w:rPr>
                  </w:pPr>
                  <w:r>
                    <w:rPr>
                      <w:rFonts w:hint="eastAsia"/>
                      <w:sz w:val="21"/>
                      <w:szCs w:val="21"/>
                      <w:lang w:val="en-US" w:eastAsia="zh-CN"/>
                    </w:rPr>
                    <w:t>行动准则</w:t>
                  </w:r>
                </w:p>
              </w:tc>
              <w:tc>
                <w:tcPr>
                  <w:tcW w:w="750" w:type="dxa"/>
                  <w:shd w:val="clear" w:color="auto" w:fill="auto"/>
                </w:tcPr>
                <w:p>
                  <w:pPr>
                    <w:pStyle w:val="21"/>
                    <w:rPr>
                      <w:sz w:val="21"/>
                      <w:szCs w:val="21"/>
                      <w:lang w:val="fr-FR" w:eastAsia="zh-CN"/>
                    </w:rPr>
                  </w:pPr>
                  <w:r>
                    <w:rPr>
                      <w:rFonts w:hint="eastAsia"/>
                      <w:sz w:val="21"/>
                      <w:szCs w:val="21"/>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22" w:hRule="atLeast"/>
              </w:trPr>
              <w:tc>
                <w:tcPr>
                  <w:tcW w:w="723" w:type="dxa"/>
                  <w:vMerge w:val="restart"/>
                  <w:tcBorders>
                    <w:top w:val="single" w:color="auto" w:sz="4" w:space="0"/>
                    <w:left w:val="single" w:color="auto" w:sz="4" w:space="0"/>
                    <w:right w:val="single" w:color="auto" w:sz="4" w:space="0"/>
                  </w:tcBorders>
                  <w:shd w:val="clear" w:color="auto" w:fill="auto"/>
                </w:tcPr>
                <w:p>
                  <w:pPr>
                    <w:spacing w:line="320" w:lineRule="exact"/>
                    <w:jc w:val="center"/>
                    <w:rPr>
                      <w:szCs w:val="21"/>
                    </w:rPr>
                  </w:pPr>
                  <w:r>
                    <w:rPr>
                      <w:rFonts w:hint="eastAsia"/>
                      <w:sz w:val="18"/>
                      <w:szCs w:val="18"/>
                    </w:rPr>
                    <w:t>OPRP1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氧化钙验收</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lang w:val="fr-FR"/>
                    </w:rPr>
                  </w:pPr>
                  <w:r>
                    <w:rPr>
                      <w:rFonts w:hint="eastAsia" w:ascii="宋体" w:hAnsi="宋体" w:cs="宋体"/>
                      <w:color w:val="000000"/>
                      <w:kern w:val="0"/>
                      <w:sz w:val="18"/>
                      <w:szCs w:val="18"/>
                      <w:lang w:bidi="ar"/>
                    </w:rPr>
                    <w:t>化学的：重金属等超标</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rFonts w:hint="eastAsia"/>
                      <w:sz w:val="18"/>
                      <w:szCs w:val="18"/>
                    </w:rPr>
                    <w:t>品管员每年审查供应商资质证明；品管员每批</w:t>
                  </w:r>
                </w:p>
                <w:p>
                  <w:pPr>
                    <w:jc w:val="left"/>
                    <w:rPr>
                      <w:sz w:val="18"/>
                      <w:szCs w:val="18"/>
                    </w:rPr>
                  </w:pPr>
                  <w:r>
                    <w:rPr>
                      <w:rFonts w:hint="eastAsia"/>
                      <w:sz w:val="18"/>
                      <w:szCs w:val="18"/>
                    </w:rPr>
                    <w:t>审查产品合格证明</w:t>
                  </w:r>
                </w:p>
                <w:p>
                  <w:pPr>
                    <w:jc w:val="left"/>
                    <w:rPr>
                      <w:sz w:val="18"/>
                      <w:szCs w:val="18"/>
                    </w:rPr>
                  </w:pPr>
                  <w:r>
                    <w:rPr>
                      <w:rFonts w:hint="eastAsia"/>
                      <w:sz w:val="18"/>
                      <w:szCs w:val="18"/>
                    </w:rPr>
                    <w:t>或检验报告数据</w:t>
                  </w:r>
                </w:p>
              </w:tc>
              <w:tc>
                <w:tcPr>
                  <w:tcW w:w="30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rPr>
                      <w:sz w:val="18"/>
                      <w:szCs w:val="18"/>
                    </w:rPr>
                  </w:pPr>
                  <w:r>
                    <w:rPr>
                      <w:rFonts w:hint="eastAsia"/>
                      <w:sz w:val="18"/>
                      <w:szCs w:val="18"/>
                    </w:rPr>
                    <w:t>1、每年进行合格供方评定;2、索取三方检测报告或公司送检，验证安全性指标符合要求;3、入厂检验时确认来自合格供方;按进货检验要求检验合格入厂；</w:t>
                  </w:r>
                </w:p>
              </w:tc>
              <w:tc>
                <w:tcPr>
                  <w:tcW w:w="750" w:type="dxa"/>
                  <w:vMerge w:val="restart"/>
                  <w:tcBorders>
                    <w:top w:val="single" w:color="auto" w:sz="4" w:space="0"/>
                    <w:left w:val="single" w:color="auto" w:sz="4" w:space="0"/>
                    <w:right w:val="single" w:color="auto" w:sz="4" w:space="0"/>
                  </w:tcBorders>
                  <w:shd w:val="clear" w:color="auto" w:fill="auto"/>
                </w:tcPr>
                <w:p>
                  <w:pPr>
                    <w:jc w:val="center"/>
                    <w:rPr>
                      <w:szCs w:val="21"/>
                    </w:rPr>
                  </w:pPr>
                  <w:r>
                    <w:rPr>
                      <w:rFonts w:hint="eastAsia"/>
                    </w:rPr>
                    <w:t>《原材料检验记录》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7" w:hRule="atLeast"/>
              </w:trPr>
              <w:tc>
                <w:tcPr>
                  <w:tcW w:w="723" w:type="dxa"/>
                  <w:vMerge w:val="continue"/>
                  <w:tcBorders>
                    <w:left w:val="single" w:color="auto" w:sz="4" w:space="0"/>
                    <w:right w:val="single" w:color="auto" w:sz="4" w:space="0"/>
                  </w:tcBorders>
                  <w:shd w:val="clear" w:color="auto" w:fill="auto"/>
                </w:tcPr>
                <w:p>
                  <w:pPr>
                    <w:rPr>
                      <w:szCs w:val="21"/>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szCs w:val="21"/>
                    </w:rPr>
                  </w:pPr>
                  <w:r>
                    <w:rPr>
                      <w:rFonts w:hint="eastAsia" w:ascii="宋体" w:hAnsi="宋体" w:cs="宋体"/>
                      <w:color w:val="000000"/>
                      <w:kern w:val="0"/>
                      <w:sz w:val="18"/>
                      <w:szCs w:val="18"/>
                      <w:lang w:bidi="ar"/>
                    </w:rPr>
                    <w:t>塑料包装袋</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widowControl/>
                    <w:jc w:val="left"/>
                  </w:pPr>
                  <w:r>
                    <w:rPr>
                      <w:rFonts w:hint="eastAsia" w:ascii="宋体" w:hAnsi="宋体" w:cs="宋体"/>
                      <w:color w:val="000000"/>
                      <w:kern w:val="0"/>
                      <w:sz w:val="18"/>
                      <w:szCs w:val="18"/>
                      <w:lang w:bidi="ar"/>
                    </w:rPr>
                    <w:t>化学的：重金</w:t>
                  </w:r>
                </w:p>
                <w:p>
                  <w:pPr>
                    <w:widowControl/>
                    <w:jc w:val="left"/>
                    <w:rPr>
                      <w:szCs w:val="21"/>
                    </w:rPr>
                  </w:pPr>
                  <w:r>
                    <w:rPr>
                      <w:rFonts w:hint="eastAsia" w:ascii="宋体" w:hAnsi="宋体" w:cs="宋体"/>
                      <w:color w:val="000000"/>
                      <w:kern w:val="0"/>
                      <w:sz w:val="18"/>
                      <w:szCs w:val="18"/>
                      <w:lang w:bidi="ar"/>
                    </w:rPr>
                    <w:t>属、溶剂残留等超标</w:t>
                  </w: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left"/>
                    <w:rPr>
                      <w:szCs w:val="21"/>
                    </w:rPr>
                  </w:pPr>
                  <w:r>
                    <w:rPr>
                      <w:sz w:val="18"/>
                      <w:szCs w:val="18"/>
                    </w:rPr>
                    <w:t>品管员每年审查供应商资质证明</w:t>
                  </w:r>
                  <w:r>
                    <w:rPr>
                      <w:rFonts w:hint="eastAsia"/>
                      <w:sz w:val="18"/>
                      <w:szCs w:val="18"/>
                    </w:rPr>
                    <w:t>、</w:t>
                  </w:r>
                  <w:r>
                    <w:rPr>
                      <w:sz w:val="18"/>
                      <w:szCs w:val="18"/>
                    </w:rPr>
                    <w:t>产品合格证明文件</w:t>
                  </w:r>
                </w:p>
              </w:tc>
              <w:tc>
                <w:tcPr>
                  <w:tcW w:w="3053"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r>
                    <w:rPr>
                      <w:rFonts w:hint="eastAsia"/>
                      <w:sz w:val="18"/>
                      <w:szCs w:val="18"/>
                    </w:rPr>
                    <w:t xml:space="preserve">1、从合格供方进货 </w:t>
                  </w:r>
                </w:p>
                <w:p>
                  <w:pPr>
                    <w:spacing w:line="280" w:lineRule="exact"/>
                    <w:jc w:val="left"/>
                    <w:rPr>
                      <w:sz w:val="18"/>
                      <w:szCs w:val="18"/>
                    </w:rPr>
                  </w:pPr>
                  <w:r>
                    <w:rPr>
                      <w:rFonts w:hint="eastAsia"/>
                      <w:sz w:val="18"/>
                      <w:szCs w:val="18"/>
                    </w:rPr>
                    <w:t xml:space="preserve">2、每批提供进货批次原料合格证明 </w:t>
                  </w:r>
                </w:p>
                <w:p>
                  <w:pPr>
                    <w:spacing w:line="280" w:lineRule="exact"/>
                    <w:jc w:val="left"/>
                    <w:rPr>
                      <w:szCs w:val="21"/>
                    </w:rPr>
                  </w:pPr>
                  <w:r>
                    <w:rPr>
                      <w:rFonts w:hint="eastAsia"/>
                      <w:sz w:val="18"/>
                      <w:szCs w:val="18"/>
                    </w:rPr>
                    <w:t xml:space="preserve">3、每年提供第三方检验证明 </w:t>
                  </w:r>
                </w:p>
              </w:tc>
              <w:tc>
                <w:tcPr>
                  <w:tcW w:w="750" w:type="dxa"/>
                  <w:vMerge w:val="continue"/>
                  <w:tcBorders>
                    <w:left w:val="single" w:color="auto" w:sz="4" w:space="0"/>
                    <w:right w:val="single" w:color="auto" w:sz="4" w:space="0"/>
                  </w:tcBorders>
                  <w:shd w:val="clear" w:color="auto" w:fill="auto"/>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723" w:type="dxa"/>
                  <w:tcBorders>
                    <w:left w:val="single" w:color="auto" w:sz="4" w:space="0"/>
                    <w:bottom w:val="single" w:color="auto" w:sz="4" w:space="0"/>
                    <w:right w:val="single" w:color="auto" w:sz="4" w:space="0"/>
                  </w:tcBorders>
                  <w:shd w:val="clear" w:color="auto" w:fill="auto"/>
                </w:tcPr>
                <w:p>
                  <w:pPr>
                    <w:rPr>
                      <w:szCs w:val="21"/>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18"/>
                      <w:szCs w:val="18"/>
                      <w:lang w:bidi="a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18"/>
                      <w:szCs w:val="18"/>
                      <w:lang w:bidi="ar"/>
                    </w:rPr>
                  </w:pPr>
                </w:p>
              </w:tc>
              <w:tc>
                <w:tcPr>
                  <w:tcW w:w="204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p>
              </w:tc>
              <w:tc>
                <w:tcPr>
                  <w:tcW w:w="3053"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p>
              </w:tc>
              <w:tc>
                <w:tcPr>
                  <w:tcW w:w="750" w:type="dxa"/>
                  <w:tcBorders>
                    <w:left w:val="single" w:color="auto" w:sz="4" w:space="0"/>
                    <w:bottom w:val="single" w:color="auto" w:sz="4" w:space="0"/>
                    <w:right w:val="single" w:color="auto" w:sz="4" w:space="0"/>
                  </w:tcBorders>
                  <w:shd w:val="clear" w:color="auto" w:fill="auto"/>
                </w:tcPr>
                <w:p>
                  <w:pPr>
                    <w:jc w:val="center"/>
                    <w:rPr>
                      <w:szCs w:val="21"/>
                    </w:rPr>
                  </w:pPr>
                </w:p>
              </w:tc>
            </w:tr>
          </w:tbl>
          <w:p>
            <w:pPr>
              <w:pStyle w:val="2"/>
            </w:pPr>
          </w:p>
          <w:p>
            <w:pPr>
              <w:pStyle w:val="2"/>
            </w:pPr>
          </w:p>
          <w:tbl>
            <w:tblPr>
              <w:tblStyle w:val="12"/>
              <w:tblW w:w="8981"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740"/>
              <w:gridCol w:w="2182"/>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blHeader/>
              </w:trPr>
              <w:tc>
                <w:tcPr>
                  <w:tcW w:w="690" w:type="dxa"/>
                  <w:shd w:val="clear" w:color="auto" w:fill="auto"/>
                </w:tcPr>
                <w:p>
                  <w:pPr>
                    <w:pStyle w:val="21"/>
                    <w:rPr>
                      <w:rFonts w:ascii="宋体" w:hAnsi="宋体" w:cs="宋体"/>
                      <w:lang w:eastAsia="zh-CN"/>
                    </w:rPr>
                  </w:pPr>
                  <w:r>
                    <w:rPr>
                      <w:rFonts w:hint="eastAsia" w:ascii="宋体" w:hAnsi="宋体" w:cs="宋体"/>
                      <w:lang w:eastAsia="zh-CN"/>
                    </w:rPr>
                    <w:t>序号</w:t>
                  </w:r>
                </w:p>
              </w:tc>
              <w:tc>
                <w:tcPr>
                  <w:tcW w:w="1058" w:type="dxa"/>
                  <w:shd w:val="clear" w:color="auto" w:fill="auto"/>
                </w:tcPr>
                <w:p>
                  <w:pPr>
                    <w:pStyle w:val="21"/>
                    <w:rPr>
                      <w:rFonts w:ascii="宋体" w:hAnsi="宋体" w:cs="宋体"/>
                      <w:lang w:eastAsia="zh-CN"/>
                    </w:rPr>
                  </w:pPr>
                  <w:r>
                    <w:rPr>
                      <w:rFonts w:hint="eastAsia" w:ascii="宋体" w:hAnsi="宋体" w:cs="宋体"/>
                      <w:lang w:eastAsia="zh-CN"/>
                    </w:rPr>
                    <w:t>过程步骤</w:t>
                  </w:r>
                </w:p>
              </w:tc>
              <w:tc>
                <w:tcPr>
                  <w:tcW w:w="1310" w:type="dxa"/>
                  <w:shd w:val="clear" w:color="auto" w:fill="auto"/>
                </w:tcPr>
                <w:p>
                  <w:pPr>
                    <w:pStyle w:val="21"/>
                    <w:rPr>
                      <w:rFonts w:ascii="宋体" w:hAnsi="宋体" w:cs="宋体"/>
                      <w:lang w:eastAsia="zh-CN"/>
                    </w:rPr>
                  </w:pPr>
                  <w:r>
                    <w:rPr>
                      <w:rFonts w:hint="eastAsia" w:ascii="宋体" w:hAnsi="宋体" w:cs="宋体"/>
                      <w:lang w:eastAsia="zh-CN"/>
                    </w:rPr>
                    <w:t>危害</w:t>
                  </w:r>
                </w:p>
              </w:tc>
              <w:tc>
                <w:tcPr>
                  <w:tcW w:w="2740" w:type="dxa"/>
                  <w:shd w:val="clear" w:color="auto" w:fill="auto"/>
                </w:tcPr>
                <w:p>
                  <w:pPr>
                    <w:pStyle w:val="21"/>
                    <w:rPr>
                      <w:rFonts w:ascii="宋体" w:hAnsi="宋体" w:cs="宋体"/>
                      <w:lang w:eastAsia="zh-CN"/>
                    </w:rPr>
                  </w:pPr>
                  <w:r>
                    <w:rPr>
                      <w:rFonts w:hint="eastAsia" w:ascii="宋体" w:hAnsi="宋体" w:cs="宋体"/>
                      <w:lang w:eastAsia="zh-CN"/>
                    </w:rPr>
                    <w:t xml:space="preserve"> 监控程序</w:t>
                  </w:r>
                </w:p>
              </w:tc>
              <w:tc>
                <w:tcPr>
                  <w:tcW w:w="2182" w:type="dxa"/>
                  <w:shd w:val="clear" w:color="auto" w:fill="auto"/>
                </w:tcPr>
                <w:p>
                  <w:pPr>
                    <w:pStyle w:val="21"/>
                    <w:rPr>
                      <w:rFonts w:ascii="宋体" w:hAnsi="宋体" w:cs="宋体"/>
                      <w:lang w:val="en-US" w:eastAsia="zh-CN"/>
                    </w:rPr>
                  </w:pPr>
                  <w:r>
                    <w:rPr>
                      <w:rFonts w:hint="eastAsia" w:ascii="宋体" w:hAnsi="宋体" w:cs="宋体"/>
                      <w:lang w:val="fr-FR" w:eastAsia="zh-CN"/>
                    </w:rPr>
                    <w:t xml:space="preserve"> </w:t>
                  </w:r>
                  <w:r>
                    <w:rPr>
                      <w:rFonts w:hint="eastAsia" w:ascii="宋体" w:hAnsi="宋体" w:cs="宋体"/>
                      <w:lang w:val="en-US" w:eastAsia="zh-CN"/>
                    </w:rPr>
                    <w:t>CL</w:t>
                  </w:r>
                </w:p>
              </w:tc>
              <w:tc>
                <w:tcPr>
                  <w:tcW w:w="1001" w:type="dxa"/>
                  <w:shd w:val="clear" w:color="auto" w:fill="auto"/>
                </w:tcPr>
                <w:p>
                  <w:pPr>
                    <w:pStyle w:val="21"/>
                    <w:rPr>
                      <w:rFonts w:ascii="宋体" w:hAnsi="宋体" w:cs="宋体"/>
                      <w:lang w:val="fr-FR" w:eastAsia="zh-CN"/>
                    </w:rPr>
                  </w:pPr>
                  <w:r>
                    <w:rPr>
                      <w:rFonts w:hint="eastAsia" w:ascii="宋体" w:hAnsi="宋体" w:cs="宋体"/>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4"/>
                    </w:rPr>
                  </w:pPr>
                  <w:r>
                    <w:rPr>
                      <w:rFonts w:hint="eastAsia" w:ascii="宋体" w:hAnsi="宋体" w:cs="宋体"/>
                      <w:kern w:val="0"/>
                      <w:sz w:val="18"/>
                      <w:szCs w:val="18"/>
                      <w:lang w:bidi="ar"/>
                    </w:rPr>
                    <w:t>金属等异物</w:t>
                  </w:r>
                </w:p>
              </w:tc>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18"/>
                      <w:szCs w:val="18"/>
                    </w:rPr>
                  </w:pPr>
                  <w:r>
                    <w:rPr>
                      <w:rFonts w:hint="eastAsia"/>
                      <w:sz w:val="18"/>
                      <w:szCs w:val="18"/>
                    </w:rPr>
                    <w:t>操作员每批监控分级设备的转速</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转速：一级消化：25HZ、二级消化35HZ;风选38HZ</w:t>
                  </w:r>
                </w:p>
              </w:tc>
              <w:tc>
                <w:tcPr>
                  <w:tcW w:w="100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《中控检验记录》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widowControl/>
                    <w:jc w:val="left"/>
                  </w:pPr>
                  <w:r>
                    <w:rPr>
                      <w:rFonts w:hint="eastAsia" w:ascii="宋体" w:hAnsi="宋体" w:cs="宋体"/>
                      <w:kern w:val="0"/>
                      <w:sz w:val="18"/>
                      <w:szCs w:val="18"/>
                      <w:lang w:bidi="ar"/>
                    </w:rPr>
                    <w:t>重金属超标</w:t>
                  </w:r>
                </w:p>
                <w:p>
                  <w:pPr>
                    <w:jc w:val="left"/>
                    <w:rPr>
                      <w:rFonts w:ascii="宋体" w:hAnsi="宋体" w:cs="宋体"/>
                      <w:sz w:val="18"/>
                      <w:szCs w:val="18"/>
                    </w:rPr>
                  </w:pPr>
                </w:p>
              </w:tc>
              <w:tc>
                <w:tcPr>
                  <w:tcW w:w="274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Cs/>
                      <w:sz w:val="18"/>
                      <w:szCs w:val="18"/>
                    </w:rPr>
                  </w:pPr>
                  <w:r>
                    <w:rPr>
                      <w:rFonts w:hint="eastAsia" w:ascii="宋体" w:hAnsi="宋体" w:cs="宋体"/>
                      <w:bCs/>
                      <w:sz w:val="18"/>
                      <w:szCs w:val="18"/>
                    </w:rPr>
                    <w:t>检验员每批检测成品</w:t>
                  </w:r>
                  <w:r>
                    <w:rPr>
                      <w:rFonts w:hint="eastAsia" w:ascii="宋体" w:hAnsi="宋体" w:cs="宋体"/>
                      <w:kern w:val="0"/>
                      <w:sz w:val="18"/>
                      <w:szCs w:val="18"/>
                      <w:lang w:bidi="ar"/>
                    </w:rPr>
                    <w:t>铅、砷等指标，</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widowControl/>
                    <w:jc w:val="left"/>
                  </w:pPr>
                  <w:r>
                    <w:rPr>
                      <w:rFonts w:hint="eastAsia" w:ascii="宋体" w:hAnsi="宋体" w:cs="宋体"/>
                      <w:kern w:val="0"/>
                      <w:sz w:val="18"/>
                      <w:szCs w:val="18"/>
                      <w:lang w:bidi="ar"/>
                    </w:rPr>
                    <w:t>成品中铅、砷指标符合</w:t>
                  </w:r>
                  <w:r>
                    <w:rPr>
                      <w:kern w:val="0"/>
                      <w:sz w:val="18"/>
                      <w:szCs w:val="18"/>
                      <w:lang w:bidi="ar"/>
                    </w:rPr>
                    <w:t xml:space="preserve">GB25572-2010 </w:t>
                  </w:r>
                </w:p>
                <w:p>
                  <w:pPr>
                    <w:spacing w:line="280" w:lineRule="exact"/>
                    <w:jc w:val="left"/>
                    <w:rPr>
                      <w:rFonts w:ascii="宋体" w:hAnsi="宋体" w:cs="宋体"/>
                      <w:sz w:val="18"/>
                      <w:szCs w:val="18"/>
                    </w:rPr>
                  </w:pPr>
                  <w:r>
                    <w:rPr>
                      <w:rFonts w:hint="eastAsia" w:ascii="宋体" w:hAnsi="宋体" w:cs="宋体"/>
                      <w:kern w:val="0"/>
                      <w:sz w:val="18"/>
                      <w:szCs w:val="18"/>
                      <w:lang w:bidi="ar"/>
                    </w:rPr>
                    <w:t xml:space="preserve">标准要求 </w:t>
                  </w:r>
                </w:p>
              </w:tc>
              <w:tc>
                <w:tcPr>
                  <w:tcW w:w="100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w:t>
                  </w:r>
                  <w:r>
                    <w:rPr>
                      <w:rFonts w:hint="eastAsia"/>
                    </w:rPr>
                    <w:t>成品检验记录</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Pr>
                <w:p>
                  <w:pPr>
                    <w:rPr>
                      <w:rFonts w:ascii="宋体" w:hAnsi="宋体" w:cs="宋体"/>
                      <w:color w:val="0000FF"/>
                      <w:sz w:val="18"/>
                      <w:szCs w:val="18"/>
                    </w:rPr>
                  </w:pPr>
                </w:p>
              </w:tc>
              <w:tc>
                <w:tcPr>
                  <w:tcW w:w="1058" w:type="dxa"/>
                </w:tcPr>
                <w:p>
                  <w:pPr>
                    <w:rPr>
                      <w:szCs w:val="21"/>
                    </w:rPr>
                  </w:pPr>
                </w:p>
              </w:tc>
              <w:tc>
                <w:tcPr>
                  <w:tcW w:w="1310" w:type="dxa"/>
                </w:tcPr>
                <w:p>
                  <w:pPr>
                    <w:jc w:val="left"/>
                    <w:rPr>
                      <w:rFonts w:ascii="宋体" w:hAnsi="宋体" w:cs="宋体"/>
                      <w:color w:val="0000FF"/>
                      <w:sz w:val="18"/>
                      <w:szCs w:val="18"/>
                    </w:rPr>
                  </w:pPr>
                </w:p>
              </w:tc>
              <w:tc>
                <w:tcPr>
                  <w:tcW w:w="2740" w:type="dxa"/>
                </w:tcPr>
                <w:p>
                  <w:pPr>
                    <w:jc w:val="left"/>
                    <w:rPr>
                      <w:rFonts w:ascii="宋体" w:hAnsi="宋体" w:cs="宋体"/>
                      <w:bCs/>
                      <w:color w:val="0000FF"/>
                      <w:sz w:val="18"/>
                      <w:szCs w:val="18"/>
                    </w:rPr>
                  </w:pPr>
                </w:p>
              </w:tc>
              <w:tc>
                <w:tcPr>
                  <w:tcW w:w="2182" w:type="dxa"/>
                </w:tcPr>
                <w:p>
                  <w:pPr>
                    <w:spacing w:line="280" w:lineRule="exact"/>
                    <w:jc w:val="left"/>
                    <w:rPr>
                      <w:rFonts w:ascii="宋体" w:hAnsi="宋体" w:cs="宋体"/>
                      <w:color w:val="0000FF"/>
                      <w:sz w:val="18"/>
                      <w:szCs w:val="18"/>
                    </w:rPr>
                  </w:pPr>
                </w:p>
              </w:tc>
              <w:tc>
                <w:tcPr>
                  <w:tcW w:w="1001" w:type="dxa"/>
                </w:tcPr>
                <w:p>
                  <w:pPr>
                    <w:jc w:val="center"/>
                    <w:rPr>
                      <w:rFonts w:ascii="宋体" w:hAnsi="宋体" w:cs="宋体"/>
                      <w:color w:val="0000FF"/>
                      <w:sz w:val="18"/>
                      <w:szCs w:val="18"/>
                    </w:rPr>
                  </w:pPr>
                </w:p>
              </w:tc>
            </w:tr>
          </w:tbl>
          <w:p>
            <w:pPr>
              <w:pStyle w:val="11"/>
              <w:ind w:left="0" w:firstLine="0" w:firstLineChars="0"/>
            </w:pPr>
          </w:p>
          <w:p>
            <w:pPr>
              <w:pStyle w:val="11"/>
              <w:ind w:left="0" w:firstLine="0" w:firstLineChars="0"/>
            </w:pPr>
          </w:p>
          <w:p>
            <w:pPr>
              <w:spacing w:before="240" w:after="120"/>
              <w:rPr>
                <w:lang w:val="en-GB"/>
              </w:rPr>
            </w:pPr>
            <w:r>
              <w:rPr>
                <w:rFonts w:hint="eastAsia"/>
              </w:rPr>
              <w:t>重质碳酸钙【I】OPRP计划/</w:t>
            </w:r>
            <w:r>
              <w:rPr>
                <w:rFonts w:hint="eastAsia"/>
                <w:lang w:val="en-GB"/>
              </w:rPr>
              <w:t>危害控制计划：</w:t>
            </w:r>
          </w:p>
          <w:tbl>
            <w:tblPr>
              <w:tblStyle w:val="12"/>
              <w:tblW w:w="897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250"/>
              <w:gridCol w:w="1950"/>
              <w:gridCol w:w="306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1"/>
                    <w:rPr>
                      <w:sz w:val="21"/>
                      <w:szCs w:val="21"/>
                      <w:lang w:eastAsia="zh-CN"/>
                    </w:rPr>
                  </w:pPr>
                  <w:r>
                    <w:rPr>
                      <w:rFonts w:hint="eastAsia"/>
                      <w:sz w:val="21"/>
                      <w:szCs w:val="21"/>
                      <w:lang w:eastAsia="zh-CN"/>
                    </w:rPr>
                    <w:t>序号</w:t>
                  </w:r>
                </w:p>
              </w:tc>
              <w:tc>
                <w:tcPr>
                  <w:tcW w:w="1178" w:type="dxa"/>
                  <w:shd w:val="clear" w:color="auto" w:fill="auto"/>
                </w:tcPr>
                <w:p>
                  <w:pPr>
                    <w:pStyle w:val="21"/>
                    <w:rPr>
                      <w:sz w:val="21"/>
                      <w:szCs w:val="21"/>
                      <w:lang w:eastAsia="zh-CN"/>
                    </w:rPr>
                  </w:pPr>
                  <w:r>
                    <w:rPr>
                      <w:rFonts w:hint="eastAsia"/>
                      <w:sz w:val="21"/>
                      <w:szCs w:val="21"/>
                      <w:lang w:eastAsia="zh-CN"/>
                    </w:rPr>
                    <w:t>过程步骤</w:t>
                  </w:r>
                </w:p>
              </w:tc>
              <w:tc>
                <w:tcPr>
                  <w:tcW w:w="1250" w:type="dxa"/>
                  <w:shd w:val="clear" w:color="auto" w:fill="auto"/>
                </w:tcPr>
                <w:p>
                  <w:pPr>
                    <w:pStyle w:val="21"/>
                    <w:rPr>
                      <w:sz w:val="21"/>
                      <w:szCs w:val="21"/>
                      <w:lang w:eastAsia="zh-CN"/>
                    </w:rPr>
                  </w:pPr>
                  <w:r>
                    <w:rPr>
                      <w:rFonts w:hint="eastAsia"/>
                      <w:sz w:val="21"/>
                      <w:szCs w:val="21"/>
                      <w:lang w:eastAsia="zh-CN"/>
                    </w:rPr>
                    <w:t>危害</w:t>
                  </w:r>
                </w:p>
              </w:tc>
              <w:tc>
                <w:tcPr>
                  <w:tcW w:w="1950" w:type="dxa"/>
                  <w:shd w:val="clear" w:color="auto" w:fill="auto"/>
                </w:tcPr>
                <w:p>
                  <w:pPr>
                    <w:pStyle w:val="21"/>
                    <w:rPr>
                      <w:sz w:val="21"/>
                      <w:szCs w:val="21"/>
                      <w:lang w:eastAsia="zh-CN"/>
                    </w:rPr>
                  </w:pPr>
                  <w:r>
                    <w:rPr>
                      <w:rFonts w:hint="eastAsia"/>
                      <w:sz w:val="21"/>
                      <w:szCs w:val="21"/>
                      <w:lang w:eastAsia="zh-CN"/>
                    </w:rPr>
                    <w:t xml:space="preserve"> 监控程序</w:t>
                  </w:r>
                </w:p>
              </w:tc>
              <w:tc>
                <w:tcPr>
                  <w:tcW w:w="3063" w:type="dxa"/>
                  <w:shd w:val="clear" w:color="auto" w:fill="auto"/>
                </w:tcPr>
                <w:p>
                  <w:pPr>
                    <w:pStyle w:val="21"/>
                    <w:rPr>
                      <w:sz w:val="21"/>
                      <w:szCs w:val="21"/>
                      <w:lang w:val="en-US" w:eastAsia="zh-CN"/>
                    </w:rPr>
                  </w:pPr>
                  <w:r>
                    <w:rPr>
                      <w:rFonts w:hint="eastAsia"/>
                      <w:sz w:val="21"/>
                      <w:szCs w:val="21"/>
                      <w:lang w:val="en-US" w:eastAsia="zh-CN"/>
                    </w:rPr>
                    <w:t>行动准则</w:t>
                  </w:r>
                </w:p>
              </w:tc>
              <w:tc>
                <w:tcPr>
                  <w:tcW w:w="839" w:type="dxa"/>
                  <w:shd w:val="clear" w:color="auto" w:fill="auto"/>
                </w:tcPr>
                <w:p>
                  <w:pPr>
                    <w:pStyle w:val="21"/>
                    <w:rPr>
                      <w:sz w:val="21"/>
                      <w:szCs w:val="21"/>
                      <w:lang w:val="fr-FR" w:eastAsia="zh-CN"/>
                    </w:rPr>
                  </w:pPr>
                  <w:r>
                    <w:rPr>
                      <w:rFonts w:hint="eastAsia"/>
                      <w:sz w:val="21"/>
                      <w:szCs w:val="21"/>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vMerge w:val="restart"/>
                  <w:tcBorders>
                    <w:top w:val="single" w:color="auto" w:sz="4" w:space="0"/>
                    <w:left w:val="single" w:color="auto" w:sz="4" w:space="0"/>
                    <w:right w:val="single" w:color="auto" w:sz="4" w:space="0"/>
                  </w:tcBorders>
                  <w:shd w:val="clear" w:color="auto" w:fill="auto"/>
                </w:tcPr>
                <w:p>
                  <w:pPr>
                    <w:spacing w:line="320" w:lineRule="exact"/>
                    <w:jc w:val="center"/>
                    <w:rPr>
                      <w:szCs w:val="21"/>
                    </w:rPr>
                  </w:pPr>
                  <w:r>
                    <w:rPr>
                      <w:rFonts w:hint="eastAsia"/>
                      <w:sz w:val="18"/>
                      <w:szCs w:val="18"/>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方解石验收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lang w:val="fr-FR"/>
                    </w:rPr>
                  </w:pPr>
                  <w:r>
                    <w:rPr>
                      <w:rFonts w:hint="eastAsia" w:ascii="宋体" w:hAnsi="宋体" w:cs="宋体"/>
                      <w:color w:val="000000"/>
                      <w:kern w:val="0"/>
                      <w:sz w:val="18"/>
                      <w:szCs w:val="18"/>
                      <w:lang w:bidi="ar"/>
                    </w:rPr>
                    <w:t>化学的：重金属等超标</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rFonts w:hint="eastAsia"/>
                      <w:sz w:val="18"/>
                      <w:szCs w:val="18"/>
                    </w:rPr>
                    <w:t>品管员每年审查供应商资质证明；品管员每批</w:t>
                  </w:r>
                </w:p>
                <w:p>
                  <w:pPr>
                    <w:jc w:val="left"/>
                    <w:rPr>
                      <w:sz w:val="18"/>
                      <w:szCs w:val="18"/>
                    </w:rPr>
                  </w:pPr>
                  <w:r>
                    <w:rPr>
                      <w:rFonts w:hint="eastAsia"/>
                      <w:sz w:val="18"/>
                      <w:szCs w:val="18"/>
                    </w:rPr>
                    <w:t>审查产品合格证明</w:t>
                  </w:r>
                </w:p>
                <w:p>
                  <w:pPr>
                    <w:jc w:val="left"/>
                    <w:rPr>
                      <w:sz w:val="18"/>
                      <w:szCs w:val="18"/>
                    </w:rPr>
                  </w:pPr>
                  <w:r>
                    <w:rPr>
                      <w:rFonts w:hint="eastAsia"/>
                      <w:sz w:val="18"/>
                      <w:szCs w:val="18"/>
                    </w:rPr>
                    <w:t>或检验报告数据</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rPr>
                      <w:sz w:val="18"/>
                      <w:szCs w:val="18"/>
                    </w:rPr>
                  </w:pPr>
                  <w:r>
                    <w:rPr>
                      <w:rFonts w:hint="eastAsia"/>
                      <w:sz w:val="18"/>
                      <w:szCs w:val="18"/>
                    </w:rPr>
                    <w:t>1、每年进行合格供方评定;2、索取三方检测报告或公司送检，验证安全性指标符合要求;3、入厂检验时确认来自合格供方;按进货检验要求检验合格入厂；</w:t>
                  </w:r>
                </w:p>
              </w:tc>
              <w:tc>
                <w:tcPr>
                  <w:tcW w:w="839" w:type="dxa"/>
                  <w:vMerge w:val="restart"/>
                  <w:tcBorders>
                    <w:top w:val="single" w:color="auto" w:sz="4" w:space="0"/>
                    <w:left w:val="single" w:color="auto" w:sz="4" w:space="0"/>
                    <w:right w:val="single" w:color="auto" w:sz="4" w:space="0"/>
                  </w:tcBorders>
                  <w:shd w:val="clear" w:color="auto" w:fill="auto"/>
                </w:tcPr>
                <w:p>
                  <w:pPr>
                    <w:jc w:val="center"/>
                    <w:rPr>
                      <w:szCs w:val="21"/>
                    </w:rPr>
                  </w:pPr>
                  <w:r>
                    <w:rPr>
                      <w:rFonts w:hint="eastAsia"/>
                    </w:rPr>
                    <w:t>《原材料检验记录》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vMerge w:val="continue"/>
                  <w:tcBorders>
                    <w:left w:val="single" w:color="auto" w:sz="4" w:space="0"/>
                    <w:bottom w:val="single" w:color="auto" w:sz="4" w:space="0"/>
                    <w:right w:val="single" w:color="auto" w:sz="4" w:space="0"/>
                  </w:tcBorders>
                  <w:shd w:val="clear" w:color="auto" w:fill="auto"/>
                </w:tcPr>
                <w:p>
                  <w:pPr>
                    <w:rPr>
                      <w:szCs w:val="21"/>
                    </w:rPr>
                  </w:pPr>
                </w:p>
              </w:tc>
              <w:tc>
                <w:tcPr>
                  <w:tcW w:w="117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szCs w:val="21"/>
                    </w:rPr>
                  </w:pPr>
                  <w:r>
                    <w:rPr>
                      <w:rFonts w:hint="eastAsia" w:ascii="宋体" w:hAnsi="宋体" w:cs="宋体"/>
                      <w:color w:val="000000"/>
                      <w:kern w:val="0"/>
                      <w:sz w:val="18"/>
                      <w:szCs w:val="18"/>
                      <w:lang w:bidi="ar"/>
                    </w:rPr>
                    <w:t>塑料包装袋</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widowControl/>
                    <w:jc w:val="left"/>
                  </w:pPr>
                  <w:r>
                    <w:rPr>
                      <w:rFonts w:hint="eastAsia" w:ascii="宋体" w:hAnsi="宋体" w:cs="宋体"/>
                      <w:color w:val="000000"/>
                      <w:kern w:val="0"/>
                      <w:sz w:val="18"/>
                      <w:szCs w:val="18"/>
                      <w:lang w:bidi="ar"/>
                    </w:rPr>
                    <w:t>化学的：重金</w:t>
                  </w:r>
                </w:p>
                <w:p>
                  <w:pPr>
                    <w:widowControl/>
                    <w:jc w:val="left"/>
                    <w:rPr>
                      <w:szCs w:val="21"/>
                    </w:rPr>
                  </w:pPr>
                  <w:r>
                    <w:rPr>
                      <w:rFonts w:hint="eastAsia" w:ascii="宋体" w:hAnsi="宋体" w:cs="宋体"/>
                      <w:color w:val="000000"/>
                      <w:kern w:val="0"/>
                      <w:sz w:val="18"/>
                      <w:szCs w:val="18"/>
                      <w:lang w:bidi="ar"/>
                    </w:rPr>
                    <w:t>属、溶剂残留等超标</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jc w:val="left"/>
                    <w:rPr>
                      <w:szCs w:val="21"/>
                    </w:rPr>
                  </w:pPr>
                  <w:r>
                    <w:rPr>
                      <w:sz w:val="18"/>
                      <w:szCs w:val="18"/>
                    </w:rPr>
                    <w:t>品管员每年审查供应商资质证明</w:t>
                  </w:r>
                  <w:r>
                    <w:rPr>
                      <w:rFonts w:hint="eastAsia"/>
                      <w:sz w:val="18"/>
                      <w:szCs w:val="18"/>
                    </w:rPr>
                    <w:t>、</w:t>
                  </w:r>
                  <w:r>
                    <w:rPr>
                      <w:sz w:val="18"/>
                      <w:szCs w:val="18"/>
                    </w:rPr>
                    <w:t>产品合格证明文件</w:t>
                  </w:r>
                </w:p>
              </w:tc>
              <w:tc>
                <w:tcPr>
                  <w:tcW w:w="3063"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r>
                    <w:rPr>
                      <w:rFonts w:hint="eastAsia"/>
                      <w:sz w:val="18"/>
                      <w:szCs w:val="18"/>
                    </w:rPr>
                    <w:t xml:space="preserve">1、从合格供方进货 </w:t>
                  </w:r>
                </w:p>
                <w:p>
                  <w:pPr>
                    <w:spacing w:line="280" w:lineRule="exact"/>
                    <w:jc w:val="left"/>
                    <w:rPr>
                      <w:sz w:val="18"/>
                      <w:szCs w:val="18"/>
                    </w:rPr>
                  </w:pPr>
                  <w:r>
                    <w:rPr>
                      <w:rFonts w:hint="eastAsia"/>
                      <w:sz w:val="18"/>
                      <w:szCs w:val="18"/>
                    </w:rPr>
                    <w:t xml:space="preserve">2、每批提供进货批次原料合格证明 </w:t>
                  </w:r>
                </w:p>
                <w:p>
                  <w:pPr>
                    <w:spacing w:line="280" w:lineRule="exact"/>
                    <w:jc w:val="left"/>
                    <w:rPr>
                      <w:szCs w:val="21"/>
                    </w:rPr>
                  </w:pPr>
                  <w:r>
                    <w:rPr>
                      <w:rFonts w:hint="eastAsia"/>
                      <w:sz w:val="18"/>
                      <w:szCs w:val="18"/>
                    </w:rPr>
                    <w:t xml:space="preserve">3、每年提供第三方检验证明 </w:t>
                  </w:r>
                </w:p>
              </w:tc>
              <w:tc>
                <w:tcPr>
                  <w:tcW w:w="839" w:type="dxa"/>
                  <w:vMerge w:val="continue"/>
                  <w:tcBorders>
                    <w:left w:val="single" w:color="auto" w:sz="4" w:space="0"/>
                    <w:bottom w:val="single" w:color="auto" w:sz="4" w:space="0"/>
                    <w:right w:val="single" w:color="auto" w:sz="4" w:space="0"/>
                  </w:tcBorders>
                  <w:shd w:val="clear" w:color="auto" w:fill="auto"/>
                </w:tcPr>
                <w:p>
                  <w:pPr>
                    <w:jc w:val="center"/>
                    <w:rPr>
                      <w:szCs w:val="21"/>
                    </w:rPr>
                  </w:pPr>
                </w:p>
              </w:tc>
            </w:tr>
          </w:tbl>
          <w:p>
            <w:pPr>
              <w:pStyle w:val="2"/>
              <w:rPr>
                <w:lang w:val="en-GB"/>
              </w:rPr>
            </w:pPr>
          </w:p>
          <w:tbl>
            <w:tblPr>
              <w:tblStyle w:val="12"/>
              <w:tblW w:w="912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310"/>
              <w:gridCol w:w="2521"/>
              <w:gridCol w:w="240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1"/>
                    <w:rPr>
                      <w:rFonts w:ascii="宋体" w:hAnsi="宋体" w:cs="宋体"/>
                      <w:lang w:eastAsia="zh-CN"/>
                    </w:rPr>
                  </w:pPr>
                  <w:r>
                    <w:rPr>
                      <w:rFonts w:hint="eastAsia" w:ascii="宋体" w:hAnsi="宋体" w:cs="宋体"/>
                      <w:lang w:eastAsia="zh-CN"/>
                    </w:rPr>
                    <w:t>序号</w:t>
                  </w:r>
                </w:p>
              </w:tc>
              <w:tc>
                <w:tcPr>
                  <w:tcW w:w="1058" w:type="dxa"/>
                  <w:shd w:val="clear" w:color="auto" w:fill="auto"/>
                </w:tcPr>
                <w:p>
                  <w:pPr>
                    <w:pStyle w:val="21"/>
                    <w:rPr>
                      <w:rFonts w:ascii="宋体" w:hAnsi="宋体" w:cs="宋体"/>
                      <w:lang w:eastAsia="zh-CN"/>
                    </w:rPr>
                  </w:pPr>
                  <w:r>
                    <w:rPr>
                      <w:rFonts w:hint="eastAsia" w:ascii="宋体" w:hAnsi="宋体" w:cs="宋体"/>
                      <w:lang w:eastAsia="zh-CN"/>
                    </w:rPr>
                    <w:t>过程步骤</w:t>
                  </w:r>
                </w:p>
              </w:tc>
              <w:tc>
                <w:tcPr>
                  <w:tcW w:w="1310" w:type="dxa"/>
                  <w:shd w:val="clear" w:color="auto" w:fill="auto"/>
                </w:tcPr>
                <w:p>
                  <w:pPr>
                    <w:pStyle w:val="21"/>
                    <w:rPr>
                      <w:rFonts w:ascii="宋体" w:hAnsi="宋体" w:cs="宋体"/>
                      <w:lang w:eastAsia="zh-CN"/>
                    </w:rPr>
                  </w:pPr>
                  <w:r>
                    <w:rPr>
                      <w:rFonts w:hint="eastAsia" w:ascii="宋体" w:hAnsi="宋体" w:cs="宋体"/>
                      <w:lang w:eastAsia="zh-CN"/>
                    </w:rPr>
                    <w:t>危害</w:t>
                  </w:r>
                </w:p>
              </w:tc>
              <w:tc>
                <w:tcPr>
                  <w:tcW w:w="2521" w:type="dxa"/>
                  <w:shd w:val="clear" w:color="auto" w:fill="auto"/>
                </w:tcPr>
                <w:p>
                  <w:pPr>
                    <w:pStyle w:val="21"/>
                    <w:rPr>
                      <w:rFonts w:ascii="宋体" w:hAnsi="宋体" w:cs="宋体"/>
                      <w:lang w:eastAsia="zh-CN"/>
                    </w:rPr>
                  </w:pPr>
                  <w:r>
                    <w:rPr>
                      <w:rFonts w:hint="eastAsia" w:ascii="宋体" w:hAnsi="宋体" w:cs="宋体"/>
                      <w:lang w:eastAsia="zh-CN"/>
                    </w:rPr>
                    <w:t xml:space="preserve"> 监控程序</w:t>
                  </w:r>
                </w:p>
              </w:tc>
              <w:tc>
                <w:tcPr>
                  <w:tcW w:w="2401" w:type="dxa"/>
                  <w:shd w:val="clear" w:color="auto" w:fill="auto"/>
                </w:tcPr>
                <w:p>
                  <w:pPr>
                    <w:pStyle w:val="21"/>
                    <w:rPr>
                      <w:rFonts w:ascii="宋体" w:hAnsi="宋体" w:cs="宋体"/>
                      <w:lang w:val="en-US" w:eastAsia="zh-CN"/>
                    </w:rPr>
                  </w:pPr>
                  <w:r>
                    <w:rPr>
                      <w:rFonts w:hint="eastAsia" w:ascii="宋体" w:hAnsi="宋体" w:cs="宋体"/>
                      <w:lang w:val="fr-FR" w:eastAsia="zh-CN"/>
                    </w:rPr>
                    <w:t xml:space="preserve"> </w:t>
                  </w:r>
                  <w:r>
                    <w:rPr>
                      <w:rFonts w:hint="eastAsia" w:ascii="宋体" w:hAnsi="宋体" w:cs="宋体"/>
                      <w:lang w:val="en-US" w:eastAsia="zh-CN"/>
                    </w:rPr>
                    <w:t>CL</w:t>
                  </w:r>
                </w:p>
              </w:tc>
              <w:tc>
                <w:tcPr>
                  <w:tcW w:w="1143" w:type="dxa"/>
                  <w:shd w:val="clear" w:color="auto" w:fill="auto"/>
                </w:tcPr>
                <w:p>
                  <w:pPr>
                    <w:pStyle w:val="21"/>
                    <w:rPr>
                      <w:rFonts w:ascii="宋体" w:hAnsi="宋体" w:cs="宋体"/>
                      <w:lang w:val="fr-FR" w:eastAsia="zh-CN"/>
                    </w:rPr>
                  </w:pPr>
                  <w:r>
                    <w:rPr>
                      <w:rFonts w:hint="eastAsia" w:ascii="宋体" w:hAnsi="宋体" w:cs="宋体"/>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分级（生产车间）</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Cs w:val="24"/>
                    </w:rPr>
                  </w:pPr>
                  <w:r>
                    <w:rPr>
                      <w:rFonts w:hint="eastAsia" w:ascii="宋体" w:hAnsi="宋体" w:cs="宋体"/>
                      <w:color w:val="000000"/>
                      <w:kern w:val="0"/>
                      <w:sz w:val="18"/>
                      <w:szCs w:val="18"/>
                      <w:lang w:bidi="ar"/>
                    </w:rPr>
                    <w:t>金属等异物</w:t>
                  </w:r>
                </w:p>
              </w:tc>
              <w:tc>
                <w:tcPr>
                  <w:tcW w:w="2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sz w:val="18"/>
                      <w:szCs w:val="18"/>
                    </w:rPr>
                  </w:pPr>
                  <w:r>
                    <w:rPr>
                      <w:rFonts w:hint="eastAsia"/>
                      <w:sz w:val="18"/>
                      <w:szCs w:val="18"/>
                    </w:rPr>
                    <w:t>操作员每批监控选粉机设备的转速</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选粉机转速400-1000 转/分钟</w:t>
                  </w:r>
                </w:p>
              </w:tc>
              <w:tc>
                <w:tcPr>
                  <w:tcW w:w="11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color w:val="0000FF"/>
                      <w:sz w:val="18"/>
                      <w:szCs w:val="18"/>
                    </w:rPr>
                  </w:pPr>
                  <w:r>
                    <w:rPr>
                      <w:rFonts w:hint="eastAsia"/>
                      <w:szCs w:val="21"/>
                    </w:rPr>
                    <w:t>《中控检验记录》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CCP2</w:t>
                  </w:r>
                </w:p>
              </w:tc>
              <w:tc>
                <w:tcPr>
                  <w:tcW w:w="1058"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成品检验入库</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widowControl/>
                    <w:jc w:val="left"/>
                  </w:pPr>
                  <w:r>
                    <w:rPr>
                      <w:rFonts w:hint="eastAsia" w:ascii="宋体" w:hAnsi="宋体" w:cs="宋体"/>
                      <w:kern w:val="0"/>
                      <w:sz w:val="18"/>
                      <w:szCs w:val="18"/>
                      <w:lang w:bidi="ar"/>
                    </w:rPr>
                    <w:t>重金属超标</w:t>
                  </w:r>
                </w:p>
                <w:p>
                  <w:pPr>
                    <w:jc w:val="left"/>
                    <w:rPr>
                      <w:rFonts w:ascii="宋体" w:hAnsi="宋体" w:cs="宋体"/>
                      <w:sz w:val="18"/>
                      <w:szCs w:val="18"/>
                    </w:rPr>
                  </w:pPr>
                </w:p>
              </w:tc>
              <w:tc>
                <w:tcPr>
                  <w:tcW w:w="252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Cs/>
                      <w:sz w:val="18"/>
                      <w:szCs w:val="18"/>
                    </w:rPr>
                  </w:pPr>
                  <w:r>
                    <w:rPr>
                      <w:rFonts w:hint="eastAsia" w:ascii="宋体" w:hAnsi="宋体" w:cs="宋体"/>
                      <w:bCs/>
                      <w:sz w:val="18"/>
                      <w:szCs w:val="18"/>
                    </w:rPr>
                    <w:t>检验员每批检测成品</w:t>
                  </w:r>
                  <w:r>
                    <w:rPr>
                      <w:rFonts w:hint="eastAsia" w:ascii="宋体" w:hAnsi="宋体" w:cs="宋体"/>
                      <w:kern w:val="0"/>
                      <w:sz w:val="18"/>
                      <w:szCs w:val="18"/>
                      <w:lang w:bidi="ar"/>
                    </w:rPr>
                    <w:t>铅、砷等指标，</w:t>
                  </w:r>
                </w:p>
              </w:tc>
              <w:tc>
                <w:tcPr>
                  <w:tcW w:w="240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FF"/>
                      <w:sz w:val="18"/>
                      <w:szCs w:val="18"/>
                    </w:rPr>
                  </w:pPr>
                  <w:r>
                    <w:rPr>
                      <w:rFonts w:hint="eastAsia" w:ascii="宋体" w:hAnsi="宋体" w:cs="宋体"/>
                      <w:color w:val="000000"/>
                      <w:kern w:val="0"/>
                      <w:sz w:val="18"/>
                      <w:szCs w:val="18"/>
                      <w:lang w:bidi="ar"/>
                    </w:rPr>
                    <w:t xml:space="preserve">成品中铅、砷等指标符合 </w:t>
                  </w:r>
                  <w:r>
                    <w:rPr>
                      <w:color w:val="000000"/>
                      <w:kern w:val="0"/>
                      <w:sz w:val="18"/>
                      <w:szCs w:val="18"/>
                      <w:lang w:bidi="ar"/>
                    </w:rPr>
                    <w:t xml:space="preserve">GB1886.214- 2016 </w:t>
                  </w:r>
                  <w:r>
                    <w:rPr>
                      <w:rFonts w:hint="eastAsia" w:ascii="宋体" w:hAnsi="宋体" w:cs="宋体"/>
                      <w:color w:val="000000"/>
                      <w:kern w:val="0"/>
                      <w:sz w:val="18"/>
                      <w:szCs w:val="18"/>
                      <w:lang w:bidi="ar"/>
                    </w:rPr>
                    <w:t>标准要求</w:t>
                  </w:r>
                </w:p>
              </w:tc>
              <w:tc>
                <w:tcPr>
                  <w:tcW w:w="11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color w:val="0000FF"/>
                      <w:sz w:val="18"/>
                      <w:szCs w:val="18"/>
                    </w:rPr>
                  </w:pPr>
                  <w:r>
                    <w:rPr>
                      <w:rFonts w:hint="eastAsia" w:ascii="宋体" w:hAnsi="宋体" w:cs="宋体"/>
                      <w:color w:val="0000FF"/>
                      <w:sz w:val="18"/>
                      <w:szCs w:val="18"/>
                    </w:rPr>
                    <w:t>《</w:t>
                  </w:r>
                  <w:r>
                    <w:rPr>
                      <w:rFonts w:hint="eastAsia"/>
                    </w:rPr>
                    <w:t>成品检验记录</w:t>
                  </w:r>
                  <w:r>
                    <w:rPr>
                      <w:rFonts w:hint="eastAsia" w:ascii="宋体" w:hAnsi="宋体" w:cs="宋体"/>
                      <w:color w:val="0000FF"/>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Pr>
                <w:p>
                  <w:pPr>
                    <w:rPr>
                      <w:rFonts w:ascii="宋体" w:hAnsi="宋体" w:cs="宋体"/>
                      <w:color w:val="0000FF"/>
                      <w:sz w:val="18"/>
                      <w:szCs w:val="18"/>
                    </w:rPr>
                  </w:pPr>
                </w:p>
              </w:tc>
              <w:tc>
                <w:tcPr>
                  <w:tcW w:w="1058" w:type="dxa"/>
                </w:tcPr>
                <w:p>
                  <w:pPr>
                    <w:rPr>
                      <w:szCs w:val="21"/>
                    </w:rPr>
                  </w:pPr>
                </w:p>
              </w:tc>
              <w:tc>
                <w:tcPr>
                  <w:tcW w:w="1310" w:type="dxa"/>
                </w:tcPr>
                <w:p>
                  <w:pPr>
                    <w:jc w:val="left"/>
                    <w:rPr>
                      <w:rFonts w:ascii="宋体" w:hAnsi="宋体" w:cs="宋体"/>
                      <w:color w:val="0000FF"/>
                      <w:sz w:val="18"/>
                      <w:szCs w:val="18"/>
                    </w:rPr>
                  </w:pPr>
                </w:p>
              </w:tc>
              <w:tc>
                <w:tcPr>
                  <w:tcW w:w="2521" w:type="dxa"/>
                </w:tcPr>
                <w:p>
                  <w:pPr>
                    <w:jc w:val="left"/>
                    <w:rPr>
                      <w:rFonts w:ascii="宋体" w:hAnsi="宋体" w:cs="宋体"/>
                      <w:bCs/>
                      <w:color w:val="0000FF"/>
                      <w:sz w:val="18"/>
                      <w:szCs w:val="18"/>
                    </w:rPr>
                  </w:pPr>
                </w:p>
              </w:tc>
              <w:tc>
                <w:tcPr>
                  <w:tcW w:w="2401" w:type="dxa"/>
                </w:tcPr>
                <w:p>
                  <w:pPr>
                    <w:spacing w:line="280" w:lineRule="exact"/>
                    <w:jc w:val="left"/>
                    <w:rPr>
                      <w:rFonts w:ascii="宋体" w:hAnsi="宋体" w:cs="宋体"/>
                      <w:color w:val="0000FF"/>
                      <w:sz w:val="18"/>
                      <w:szCs w:val="18"/>
                    </w:rPr>
                  </w:pPr>
                </w:p>
              </w:tc>
              <w:tc>
                <w:tcPr>
                  <w:tcW w:w="1143" w:type="dxa"/>
                </w:tcPr>
                <w:p>
                  <w:pPr>
                    <w:jc w:val="center"/>
                    <w:rPr>
                      <w:rFonts w:ascii="宋体" w:hAnsi="宋体" w:cs="宋体"/>
                      <w:color w:val="0000FF"/>
                      <w:sz w:val="18"/>
                      <w:szCs w:val="18"/>
                    </w:rPr>
                  </w:pPr>
                </w:p>
              </w:tc>
            </w:tr>
          </w:tbl>
          <w:p>
            <w:pPr>
              <w:pStyle w:val="2"/>
              <w:rPr>
                <w:lang w:val="en-GB"/>
              </w:rPr>
            </w:pPr>
          </w:p>
          <w:p>
            <w:pPr>
              <w:rPr>
                <w:rFonts w:asciiTheme="minorEastAsia" w:hAnsiTheme="minorEastAsia" w:eastAsiaTheme="minorEastAsia"/>
                <w:szCs w:val="21"/>
              </w:rPr>
            </w:pP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65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04"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653" w:type="dxa"/>
            <w:shd w:val="clear" w:color="auto" w:fill="auto"/>
          </w:tcPr>
          <w:p>
            <w:r>
              <w:t>OPRP的实施情况：</w:t>
            </w:r>
            <w:r>
              <w:rPr>
                <w:b/>
                <w:bCs/>
              </w:rPr>
              <w:t xml:space="preserve"> </w:t>
            </w:r>
            <w:r>
              <w:rPr>
                <w:rFonts w:hint="eastAsia"/>
                <w:b/>
                <w:bCs/>
              </w:rPr>
              <w:t>（</w:t>
            </w:r>
            <w:r>
              <w:rPr>
                <w:rFonts w:hint="eastAsia"/>
              </w:rPr>
              <w:t>见品质技术部、生产部审核记录</w:t>
            </w:r>
            <w:r>
              <w:rPr>
                <w:rFonts w:hint="eastAsia"/>
                <w:b/>
                <w:bCs/>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1"/>
            </w:pPr>
          </w:p>
          <w:p>
            <w:r>
              <w:t>HACCP的实施情况：</w:t>
            </w:r>
            <w:r>
              <w:rPr>
                <w:rFonts w:hint="eastAsia"/>
              </w:rPr>
              <w:t>（见品质技术部、生产部审核记录）</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tc>
        <w:tc>
          <w:tcPr>
            <w:tcW w:w="1504"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965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制定OPRP计划和（或） 危害控制计划后， 组织对如下信息进行更新：</w:t>
            </w:r>
          </w:p>
          <w:p>
            <w:r>
              <w:rPr/>
              <w:sym w:font="Wingdings" w:char="00FE"/>
            </w:r>
            <w:r>
              <w:rPr>
                <w:rFonts w:hint="eastAsia"/>
              </w:rPr>
              <w:t>审核周期内</w:t>
            </w:r>
            <w:r>
              <w:t>未发生</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危害控制计划</w:t>
                  </w:r>
                </w:p>
              </w:tc>
              <w:tc>
                <w:tcPr>
                  <w:tcW w:w="2300" w:type="dxa"/>
                </w:tcPr>
                <w:p>
                  <w:r>
                    <w:t>——</w:t>
                  </w:r>
                </w:p>
              </w:tc>
              <w:tc>
                <w:tcPr>
                  <w:tcW w:w="4818" w:type="dxa"/>
                </w:tcPr>
                <w:p/>
              </w:tc>
            </w:tr>
          </w:tbl>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65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504" w:type="dxa"/>
            <w:vMerge w:val="restart"/>
            <w:shd w:val="clear" w:color="auto" w:fill="auto"/>
          </w:tcPr>
          <w:p>
            <w:r>
              <w:rPr/>
              <w:sym w:font="Wingdings" w:char="00FE"/>
            </w:r>
            <w:r>
              <w:t>符合</w:t>
            </w:r>
          </w:p>
          <w:p>
            <w:r>
              <w:rPr/>
              <w:sym w:font="Wingdings" w:char="00A8"/>
            </w:r>
            <w:r>
              <w:t>不符合</w:t>
            </w: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Pr>
              <w:pStyle w:val="11"/>
              <w:rPr>
                <w:rFonts w:ascii="Times New Roman" w:hAnsi="Times New Roman"/>
              </w:rPr>
            </w:p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2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组织建立、实施和保持验证活动。</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1"/>
                    <w:ind w:left="0" w:firstLine="0" w:firstLineChars="0"/>
                  </w:pPr>
                  <w:r>
                    <w:rPr>
                      <w:rFonts w:hint="eastAsia" w:ascii="Times New Roman" w:hAnsi="Times New Roman"/>
                      <w:szCs w:val="21"/>
                    </w:rPr>
                    <w:t>每批次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138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1383" w:type="dxa"/>
                </w:tcPr>
                <w:p>
                  <w:pPr>
                    <w:rPr>
                      <w:sz w:val="18"/>
                      <w:szCs w:val="18"/>
                    </w:rPr>
                  </w:pPr>
                  <w:r>
                    <w:rPr>
                      <w:sz w:val="18"/>
                      <w:szCs w:val="18"/>
                    </w:rPr>
                    <w:t>实测结果</w:t>
                  </w:r>
                </w:p>
              </w:tc>
              <w:tc>
                <w:tcPr>
                  <w:tcW w:w="1716"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1383" w:type="dxa"/>
                </w:tcPr>
                <w:p>
                  <w:pPr>
                    <w:rPr>
                      <w:sz w:val="18"/>
                      <w:szCs w:val="18"/>
                    </w:rPr>
                  </w:pPr>
                </w:p>
              </w:tc>
              <w:tc>
                <w:tcPr>
                  <w:tcW w:w="1716" w:type="dxa"/>
                </w:tcPr>
                <w:p>
                  <w:pPr>
                    <w:rPr>
                      <w:sz w:val="18"/>
                      <w:szCs w:val="18"/>
                    </w:rPr>
                  </w:pPr>
                  <w:r>
                    <w:rPr/>
                    <w:sym w:font="Wingdings" w:char="00A8"/>
                  </w:r>
                  <w:r>
                    <w:rPr>
                      <w:sz w:val="18"/>
                      <w:szCs w:val="18"/>
                    </w:rPr>
                    <w:t>合格 □不合格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65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504"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653" w:type="dxa"/>
            <w:shd w:val="clear" w:color="auto" w:fill="auto"/>
          </w:tcPr>
          <w:p>
            <w:r>
              <w:t>食品安全小组对验证结果进行分析，并将其作为食品安全管理体系绩效评估的输入</w:t>
            </w:r>
            <w:r>
              <w:rPr>
                <w:rFonts w:hint="eastAsia"/>
              </w:rPr>
              <w:t>：</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2</w:t>
            </w:r>
            <w:r>
              <w:rPr>
                <w:rFonts w:hint="eastAsia"/>
                <w:b/>
                <w:bCs/>
                <w:szCs w:val="21"/>
                <w:u w:val="single"/>
              </w:rPr>
              <w:t>-</w:t>
            </w:r>
            <w:r>
              <w:rPr>
                <w:b/>
                <w:bCs/>
                <w:szCs w:val="21"/>
                <w:u w:val="single"/>
              </w:rPr>
              <w:t>07</w:t>
            </w:r>
            <w:r>
              <w:rPr>
                <w:rFonts w:hint="eastAsia"/>
                <w:b/>
                <w:bCs/>
                <w:szCs w:val="21"/>
                <w:u w:val="single"/>
              </w:rPr>
              <w:t>-</w:t>
            </w:r>
            <w:r>
              <w:rPr>
                <w:b/>
                <w:bCs/>
                <w:szCs w:val="21"/>
                <w:u w:val="single"/>
              </w:rPr>
              <w:t>01</w:t>
            </w:r>
            <w:r>
              <w:rPr>
                <w:rFonts w:hint="eastAsia"/>
                <w:b/>
                <w:bCs/>
                <w:szCs w:val="21"/>
                <w:u w:val="single"/>
              </w:rPr>
              <w:t>，结论：控制有效</w:t>
            </w:r>
          </w:p>
          <w:p>
            <w:pPr>
              <w:adjustRightInd w:val="0"/>
              <w:snapToGrid w:val="0"/>
              <w:spacing w:line="240" w:lineRule="atLeast"/>
              <w:ind w:firstLine="422" w:firstLineChars="200"/>
              <w:rPr>
                <w:b/>
                <w:bCs/>
                <w:szCs w:val="21"/>
                <w:u w:val="single"/>
              </w:rPr>
            </w:pPr>
            <w:r>
              <w:rPr>
                <w:rFonts w:hint="eastAsia"/>
                <w:b/>
                <w:bCs/>
                <w:szCs w:val="21"/>
                <w:u w:val="single"/>
              </w:rPr>
              <w:t>《危害控制计划确认记录表》，202</w:t>
            </w:r>
            <w:r>
              <w:rPr>
                <w:b/>
                <w:bCs/>
                <w:szCs w:val="21"/>
                <w:u w:val="single"/>
              </w:rPr>
              <w:t>2</w:t>
            </w:r>
            <w:r>
              <w:rPr>
                <w:rFonts w:hint="eastAsia"/>
                <w:b/>
                <w:bCs/>
                <w:szCs w:val="21"/>
                <w:u w:val="single"/>
              </w:rPr>
              <w:t>-</w:t>
            </w:r>
            <w:r>
              <w:rPr>
                <w:b/>
                <w:bCs/>
                <w:szCs w:val="21"/>
                <w:u w:val="single"/>
              </w:rPr>
              <w:t>5</w:t>
            </w:r>
            <w:r>
              <w:rPr>
                <w:rFonts w:hint="eastAsia"/>
                <w:b/>
                <w:bCs/>
                <w:szCs w:val="21"/>
                <w:u w:val="single"/>
              </w:rPr>
              <w:t>-</w:t>
            </w:r>
            <w:r>
              <w:rPr>
                <w:b/>
                <w:bCs/>
                <w:szCs w:val="21"/>
                <w:u w:val="single"/>
              </w:rPr>
              <w:t>10</w:t>
            </w:r>
            <w:r>
              <w:rPr>
                <w:rFonts w:hint="eastAsia"/>
                <w:b/>
                <w:bCs/>
                <w:szCs w:val="21"/>
                <w:u w:val="single"/>
              </w:rPr>
              <w:t>，结论：控制有效</w:t>
            </w:r>
          </w:p>
          <w:p>
            <w:pPr>
              <w:adjustRightInd w:val="0"/>
              <w:snapToGrid w:val="0"/>
              <w:spacing w:line="240" w:lineRule="atLeast"/>
              <w:ind w:firstLine="422" w:firstLineChars="200"/>
            </w:pPr>
            <w:r>
              <w:rPr>
                <w:b/>
                <w:bCs/>
                <w:szCs w:val="21"/>
                <w:u w:val="single"/>
              </w:rPr>
              <w:t>《验证活动结果分析报告》，</w:t>
            </w:r>
            <w:r>
              <w:rPr>
                <w:rFonts w:hint="eastAsia"/>
                <w:b/>
                <w:bCs/>
                <w:szCs w:val="21"/>
                <w:u w:val="single"/>
              </w:rPr>
              <w:t>202</w:t>
            </w:r>
            <w:r>
              <w:rPr>
                <w:b/>
                <w:bCs/>
                <w:szCs w:val="21"/>
                <w:u w:val="single"/>
              </w:rPr>
              <w:t>2</w:t>
            </w:r>
            <w:r>
              <w:rPr>
                <w:rFonts w:hint="eastAsia"/>
                <w:b/>
                <w:bCs/>
                <w:szCs w:val="21"/>
                <w:u w:val="single"/>
              </w:rPr>
              <w:t>-</w:t>
            </w:r>
            <w:r>
              <w:rPr>
                <w:b/>
                <w:bCs/>
                <w:szCs w:val="21"/>
                <w:u w:val="single"/>
              </w:rPr>
              <w:t>8</w:t>
            </w:r>
            <w:r>
              <w:rPr>
                <w:rFonts w:hint="eastAsia"/>
                <w:b/>
                <w:bCs/>
                <w:szCs w:val="21"/>
                <w:u w:val="single"/>
              </w:rPr>
              <w:t>-</w:t>
            </w:r>
            <w:r>
              <w:rPr>
                <w:b/>
                <w:bCs/>
                <w:szCs w:val="21"/>
                <w:u w:val="single"/>
              </w:rPr>
              <w:t>5</w:t>
            </w:r>
            <w:r>
              <w:rPr>
                <w:rFonts w:hint="eastAsia"/>
                <w:b/>
                <w:bCs/>
                <w:szCs w:val="21"/>
                <w:u w:val="single"/>
              </w:rPr>
              <w:t>，结论：控制有效</w:t>
            </w:r>
            <w:r>
              <w:rPr>
                <w:b/>
                <w:bCs/>
                <w:szCs w:val="21"/>
                <w:u w:val="single"/>
              </w:rPr>
              <w:t>。</w:t>
            </w:r>
          </w:p>
        </w:tc>
        <w:tc>
          <w:tcPr>
            <w:tcW w:w="1504"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653" w:type="dxa"/>
          </w:tcPr>
          <w:p>
            <w:r>
              <w:t>如：</w:t>
            </w:r>
            <w:r>
              <w:rPr/>
              <w:sym w:font="Wingdings" w:char="00A8"/>
            </w:r>
            <w:r>
              <w:t>《产品监视和测量控制程序》</w:t>
            </w:r>
            <w:r>
              <w:rPr>
                <w:rFonts w:hint="eastAsia"/>
              </w:rPr>
              <w:t xml:space="preserve"> </w:t>
            </w:r>
            <w:r>
              <w:rPr>
                <w:color w:val="000000"/>
                <w:szCs w:val="21"/>
              </w:rPr>
              <w:t>☑</w:t>
            </w:r>
            <w:r>
              <w:rPr>
                <w:rFonts w:hint="eastAsia"/>
              </w:rPr>
              <w:t>《监视和测量设备控制程序》</w:t>
            </w:r>
          </w:p>
        </w:tc>
        <w:tc>
          <w:tcPr>
            <w:tcW w:w="1504"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27" w:hRule="atLeast"/>
        </w:trPr>
        <w:tc>
          <w:tcPr>
            <w:tcW w:w="2174" w:type="dxa"/>
            <w:vMerge w:val="continue"/>
          </w:tcPr>
          <w:p/>
        </w:tc>
        <w:tc>
          <w:tcPr>
            <w:tcW w:w="936" w:type="dxa"/>
            <w:gridSpan w:val="2"/>
            <w:vMerge w:val="continue"/>
          </w:tcPr>
          <w:p/>
        </w:tc>
        <w:tc>
          <w:tcPr>
            <w:tcW w:w="745" w:type="dxa"/>
          </w:tcPr>
          <w:p>
            <w:r>
              <w:t>运行证据</w:t>
            </w:r>
          </w:p>
        </w:tc>
        <w:tc>
          <w:tcPr>
            <w:tcW w:w="965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04" w:type="dxa"/>
            <w:vMerge w:val="continue"/>
          </w:tc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3E6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1565E"/>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8C7"/>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3B6E"/>
    <w:rsid w:val="002C406C"/>
    <w:rsid w:val="002D51DC"/>
    <w:rsid w:val="002E34E4"/>
    <w:rsid w:val="00305B8F"/>
    <w:rsid w:val="00305EC0"/>
    <w:rsid w:val="00306A3A"/>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3205C"/>
    <w:rsid w:val="004409C2"/>
    <w:rsid w:val="004411C2"/>
    <w:rsid w:val="004422D7"/>
    <w:rsid w:val="00443EC2"/>
    <w:rsid w:val="00450468"/>
    <w:rsid w:val="00451891"/>
    <w:rsid w:val="00455C83"/>
    <w:rsid w:val="00462DA5"/>
    <w:rsid w:val="004672AF"/>
    <w:rsid w:val="004724DC"/>
    <w:rsid w:val="0048201E"/>
    <w:rsid w:val="00484432"/>
    <w:rsid w:val="00490BC4"/>
    <w:rsid w:val="004916C0"/>
    <w:rsid w:val="004A0C98"/>
    <w:rsid w:val="004A1CBE"/>
    <w:rsid w:val="004A2349"/>
    <w:rsid w:val="004A42F9"/>
    <w:rsid w:val="004A4771"/>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3DE9"/>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D72D9"/>
    <w:rsid w:val="006E678B"/>
    <w:rsid w:val="006E7B1D"/>
    <w:rsid w:val="006F60E5"/>
    <w:rsid w:val="006F66B9"/>
    <w:rsid w:val="00721965"/>
    <w:rsid w:val="00734ABD"/>
    <w:rsid w:val="00735A6E"/>
    <w:rsid w:val="007426DD"/>
    <w:rsid w:val="007429F0"/>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87676"/>
    <w:rsid w:val="008973EE"/>
    <w:rsid w:val="008B099F"/>
    <w:rsid w:val="008B3727"/>
    <w:rsid w:val="008B5732"/>
    <w:rsid w:val="008B6A82"/>
    <w:rsid w:val="008B7E81"/>
    <w:rsid w:val="008C4292"/>
    <w:rsid w:val="008C4943"/>
    <w:rsid w:val="008D194B"/>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47777"/>
    <w:rsid w:val="0095158F"/>
    <w:rsid w:val="00971600"/>
    <w:rsid w:val="00983692"/>
    <w:rsid w:val="00984FF0"/>
    <w:rsid w:val="00991504"/>
    <w:rsid w:val="00991932"/>
    <w:rsid w:val="009973B4"/>
    <w:rsid w:val="009A294D"/>
    <w:rsid w:val="009A4344"/>
    <w:rsid w:val="009B40E6"/>
    <w:rsid w:val="009C09D3"/>
    <w:rsid w:val="009C28C1"/>
    <w:rsid w:val="009C2A67"/>
    <w:rsid w:val="009D4C99"/>
    <w:rsid w:val="009E4594"/>
    <w:rsid w:val="009F2810"/>
    <w:rsid w:val="009F2FB3"/>
    <w:rsid w:val="009F7EED"/>
    <w:rsid w:val="00A00A66"/>
    <w:rsid w:val="00A03AB0"/>
    <w:rsid w:val="00A03B2A"/>
    <w:rsid w:val="00A10908"/>
    <w:rsid w:val="00A24D4B"/>
    <w:rsid w:val="00A324D5"/>
    <w:rsid w:val="00A4056D"/>
    <w:rsid w:val="00A40FE6"/>
    <w:rsid w:val="00A42B11"/>
    <w:rsid w:val="00A521F0"/>
    <w:rsid w:val="00A56733"/>
    <w:rsid w:val="00A60541"/>
    <w:rsid w:val="00A74E10"/>
    <w:rsid w:val="00A80636"/>
    <w:rsid w:val="00A856B9"/>
    <w:rsid w:val="00A85E35"/>
    <w:rsid w:val="00A87338"/>
    <w:rsid w:val="00A92316"/>
    <w:rsid w:val="00A92400"/>
    <w:rsid w:val="00AA50DA"/>
    <w:rsid w:val="00AB0E26"/>
    <w:rsid w:val="00AB4939"/>
    <w:rsid w:val="00AB6A85"/>
    <w:rsid w:val="00AC2FE4"/>
    <w:rsid w:val="00AC505A"/>
    <w:rsid w:val="00AC73E8"/>
    <w:rsid w:val="00AC7D83"/>
    <w:rsid w:val="00AD4BDC"/>
    <w:rsid w:val="00AE06F2"/>
    <w:rsid w:val="00AE313E"/>
    <w:rsid w:val="00AE46F3"/>
    <w:rsid w:val="00AF0AAB"/>
    <w:rsid w:val="00AF0CE4"/>
    <w:rsid w:val="00AF265E"/>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20D"/>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84E26"/>
    <w:rsid w:val="00C95618"/>
    <w:rsid w:val="00CB4775"/>
    <w:rsid w:val="00CB5105"/>
    <w:rsid w:val="00CC5FC1"/>
    <w:rsid w:val="00CD31FD"/>
    <w:rsid w:val="00CD44C4"/>
    <w:rsid w:val="00CD6A70"/>
    <w:rsid w:val="00CE315A"/>
    <w:rsid w:val="00CE4CD2"/>
    <w:rsid w:val="00CF10AC"/>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0CD6"/>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37247"/>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B80B81"/>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2031BB"/>
    <w:rsid w:val="21955824"/>
    <w:rsid w:val="21A07B88"/>
    <w:rsid w:val="21A34258"/>
    <w:rsid w:val="21A576DD"/>
    <w:rsid w:val="21B02061"/>
    <w:rsid w:val="21B31BF6"/>
    <w:rsid w:val="21D24208"/>
    <w:rsid w:val="21E11F3F"/>
    <w:rsid w:val="226B2F60"/>
    <w:rsid w:val="22751E27"/>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B602A2"/>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4024F"/>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DA76F3"/>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56422C"/>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5"/>
    <w:qFormat/>
    <w:uiPriority w:val="1"/>
    <w:pPr>
      <w:ind w:left="137"/>
    </w:pPr>
    <w:rPr>
      <w:rFonts w:ascii="宋体" w:hAnsi="宋体"/>
      <w:sz w:val="20"/>
    </w:rPr>
  </w:style>
  <w:style w:type="paragraph" w:styleId="4">
    <w:name w:val="annotation text"/>
    <w:basedOn w:val="1"/>
    <w:link w:val="23"/>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paragraph" w:styleId="10">
    <w:name w:val="annotation subject"/>
    <w:basedOn w:val="4"/>
    <w:next w:val="4"/>
    <w:link w:val="24"/>
    <w:semiHidden/>
    <w:unhideWhenUsed/>
    <w:qFormat/>
    <w:uiPriority w:val="99"/>
    <w:rPr>
      <w:b/>
      <w:bCs/>
    </w:rPr>
  </w:style>
  <w:style w:type="paragraph" w:styleId="11">
    <w:name w:val="Body Text First Indent 2"/>
    <w:basedOn w:val="5"/>
    <w:unhideWhenUsed/>
    <w:qFormat/>
    <w:uiPriority w:val="99"/>
    <w:pPr>
      <w:tabs>
        <w:tab w:val="left" w:pos="540"/>
      </w:tabs>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text|1"/>
    <w:basedOn w:val="1"/>
    <w:qFormat/>
    <w:uiPriority w:val="0"/>
    <w:pPr>
      <w:spacing w:after="80"/>
    </w:pPr>
    <w:rPr>
      <w:rFonts w:ascii="MingLiU" w:hAnsi="MingLiU" w:eastAsia="MingLiU" w:cs="MingLiU"/>
      <w:sz w:val="20"/>
      <w:lang w:val="zh-TW" w:eastAsia="zh-TW" w:bidi="zh-TW"/>
    </w:rPr>
  </w:style>
  <w:style w:type="paragraph" w:customStyle="1" w:styleId="21">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2">
    <w:name w:val="List Paragraph"/>
    <w:basedOn w:val="1"/>
    <w:qFormat/>
    <w:uiPriority w:val="99"/>
    <w:pPr>
      <w:ind w:firstLine="420" w:firstLineChars="200"/>
    </w:pPr>
  </w:style>
  <w:style w:type="character" w:customStyle="1" w:styleId="23">
    <w:name w:val="批注文字 字符"/>
    <w:basedOn w:val="14"/>
    <w:link w:val="4"/>
    <w:semiHidden/>
    <w:qFormat/>
    <w:uiPriority w:val="99"/>
    <w:rPr>
      <w:kern w:val="2"/>
      <w:sz w:val="21"/>
    </w:rPr>
  </w:style>
  <w:style w:type="character" w:customStyle="1" w:styleId="24">
    <w:name w:val="批注主题 字符"/>
    <w:basedOn w:val="23"/>
    <w:link w:val="10"/>
    <w:semiHidden/>
    <w:qFormat/>
    <w:uiPriority w:val="99"/>
    <w:rPr>
      <w:b/>
      <w:bCs/>
      <w:kern w:val="2"/>
      <w:sz w:val="21"/>
    </w:rPr>
  </w:style>
  <w:style w:type="character" w:customStyle="1" w:styleId="25">
    <w:name w:val="正文文本 字符"/>
    <w:basedOn w:val="14"/>
    <w:link w:val="2"/>
    <w:qFormat/>
    <w:uiPriority w:val="1"/>
    <w:rPr>
      <w:rFonts w:ascii="宋体" w:hAnsi="宋体"/>
      <w:kern w:val="2"/>
    </w:rPr>
  </w:style>
  <w:style w:type="paragraph" w:customStyle="1" w:styleId="2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1948</Words>
  <Characters>11107</Characters>
  <Lines>92</Lines>
  <Paragraphs>26</Paragraphs>
  <TotalTime>27</TotalTime>
  <ScaleCrop>false</ScaleCrop>
  <LinksUpToDate>false</LinksUpToDate>
  <CharactersWithSpaces>13029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2021-09-16T04:35:00Z</dcterms:created>
  <dc:creator>微软用户</dc:creator>
  <cp:lastModifiedBy>肖新龙</cp:lastModifiedBy>
  <dcterms:modified xsi:type="dcterms:W3CDTF">2022-08-29T12:51:37Z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2F08663987AC4F319CFEB0CBCA17672C</vt:lpwstr>
  </property>
</Properties>
</file>