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30"/>
        <w:gridCol w:w="1061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7" w:type="dxa"/>
            <w:vMerge w:val="restart"/>
            <w:vAlign w:val="center"/>
          </w:tcPr>
          <w:p>
            <w:pPr>
              <w:spacing w:before="120" w:line="360" w:lineRule="auto"/>
              <w:jc w:val="left"/>
              <w:rPr>
                <w:rFonts w:hint="eastAsia" w:ascii="等线" w:hAnsi="等线" w:eastAsia="等线" w:cs="等线"/>
                <w:sz w:val="21"/>
                <w:szCs w:val="21"/>
              </w:rPr>
            </w:pPr>
            <w:r>
              <w:rPr>
                <w:rFonts w:hint="eastAsia" w:ascii="等线" w:hAnsi="等线" w:eastAsia="等线" w:cs="等线"/>
                <w:sz w:val="21"/>
                <w:szCs w:val="21"/>
              </w:rPr>
              <w:t>过程与动、</w:t>
            </w:r>
          </w:p>
          <w:p>
            <w:pPr>
              <w:spacing w:line="360" w:lineRule="auto"/>
              <w:jc w:val="left"/>
              <w:rPr>
                <w:rFonts w:hint="eastAsia" w:ascii="等线" w:hAnsi="等线" w:eastAsia="等线" w:cs="等线"/>
                <w:sz w:val="21"/>
                <w:szCs w:val="21"/>
              </w:rPr>
            </w:pPr>
            <w:r>
              <w:rPr>
                <w:rFonts w:hint="eastAsia" w:ascii="等线" w:hAnsi="等线" w:eastAsia="等线" w:cs="等线"/>
                <w:sz w:val="21"/>
                <w:szCs w:val="21"/>
              </w:rPr>
              <w:t>抽样计划</w:t>
            </w:r>
          </w:p>
        </w:tc>
        <w:tc>
          <w:tcPr>
            <w:tcW w:w="1246" w:type="dxa"/>
            <w:vMerge w:val="restart"/>
            <w:vAlign w:val="center"/>
          </w:tcPr>
          <w:p>
            <w:pPr>
              <w:spacing w:before="120"/>
              <w:rPr>
                <w:rFonts w:hint="eastAsia" w:ascii="等线" w:hAnsi="等线" w:eastAsia="等线" w:cs="等线"/>
                <w:sz w:val="21"/>
                <w:szCs w:val="21"/>
              </w:rPr>
            </w:pPr>
            <w:r>
              <w:rPr>
                <w:rFonts w:hint="eastAsia" w:ascii="等线" w:hAnsi="等线" w:eastAsia="等线" w:cs="等线"/>
                <w:sz w:val="21"/>
                <w:szCs w:val="21"/>
              </w:rPr>
              <w:t>涉及条款</w:t>
            </w:r>
          </w:p>
        </w:tc>
        <w:tc>
          <w:tcPr>
            <w:tcW w:w="10637"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受审核部门：财务部   </w:t>
            </w:r>
            <w:r>
              <w:rPr>
                <w:rFonts w:hint="eastAsia" w:ascii="等线" w:hAnsi="等线" w:eastAsia="等线" w:cs="等线"/>
                <w:sz w:val="21"/>
                <w:szCs w:val="21"/>
              </w:rPr>
              <w:t>主管领导/陪同人员</w:t>
            </w:r>
            <w:r>
              <w:rPr>
                <w:rFonts w:hint="eastAsia" w:ascii="等线" w:hAnsi="等线" w:eastAsia="等线" w:cs="等线"/>
                <w:sz w:val="21"/>
                <w:szCs w:val="21"/>
                <w:lang w:eastAsia="zh-CN"/>
              </w:rPr>
              <w:t>：</w:t>
            </w:r>
            <w:r>
              <w:rPr>
                <w:rFonts w:hint="eastAsia" w:ascii="等线" w:hAnsi="等线" w:eastAsia="等线" w:cs="等线"/>
                <w:sz w:val="21"/>
                <w:szCs w:val="21"/>
              </w:rPr>
              <w:t>徐小燕</w:t>
            </w:r>
            <w:r>
              <w:rPr>
                <w:rFonts w:hint="eastAsia" w:ascii="等线" w:hAnsi="等线" w:eastAsia="等线" w:cs="等线"/>
                <w:sz w:val="21"/>
                <w:szCs w:val="21"/>
                <w:lang w:val="en-US" w:eastAsia="zh-CN"/>
              </w:rPr>
              <w:t>/王红利</w:t>
            </w:r>
          </w:p>
        </w:tc>
        <w:tc>
          <w:tcPr>
            <w:tcW w:w="1299"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527" w:type="dxa"/>
            <w:vMerge w:val="continue"/>
            <w:vAlign w:val="center"/>
          </w:tcPr>
          <w:p>
            <w:pPr>
              <w:spacing w:line="360" w:lineRule="auto"/>
              <w:rPr>
                <w:rFonts w:hint="eastAsia" w:ascii="等线" w:hAnsi="等线" w:eastAsia="等线" w:cs="等线"/>
                <w:sz w:val="21"/>
                <w:szCs w:val="21"/>
              </w:rPr>
            </w:pPr>
          </w:p>
        </w:tc>
        <w:tc>
          <w:tcPr>
            <w:tcW w:w="1246" w:type="dxa"/>
            <w:vMerge w:val="continue"/>
            <w:vAlign w:val="center"/>
          </w:tcPr>
          <w:p>
            <w:pPr>
              <w:spacing w:before="120"/>
              <w:rPr>
                <w:rFonts w:hint="eastAsia" w:ascii="等线" w:hAnsi="等线" w:eastAsia="等线" w:cs="等线"/>
                <w:sz w:val="21"/>
                <w:szCs w:val="21"/>
              </w:rPr>
            </w:pPr>
          </w:p>
        </w:tc>
        <w:tc>
          <w:tcPr>
            <w:tcW w:w="10637"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 xml:space="preserve"> 林兵 </w:t>
            </w:r>
            <w:r>
              <w:rPr>
                <w:rFonts w:hint="eastAsia" w:ascii="等线" w:hAnsi="等线" w:eastAsia="等线" w:cs="等线"/>
                <w:sz w:val="21"/>
                <w:szCs w:val="21"/>
              </w:rPr>
              <w:t xml:space="preserve">  审核时间：202</w:t>
            </w:r>
            <w:r>
              <w:rPr>
                <w:rFonts w:hint="eastAsia" w:ascii="等线" w:hAnsi="等线" w:eastAsia="等线" w:cs="等线"/>
                <w:sz w:val="21"/>
                <w:szCs w:val="21"/>
                <w:lang w:val="en-US" w:eastAsia="zh-CN"/>
              </w:rPr>
              <w:t>1.12</w:t>
            </w:r>
            <w:r>
              <w:rPr>
                <w:rFonts w:hint="eastAsia" w:ascii="等线" w:hAnsi="等线" w:eastAsia="等线" w:cs="等线"/>
                <w:sz w:val="21"/>
                <w:szCs w:val="21"/>
              </w:rPr>
              <w:t>.</w:t>
            </w:r>
            <w:r>
              <w:rPr>
                <w:rFonts w:hint="eastAsia" w:ascii="等线" w:hAnsi="等线" w:eastAsia="等线" w:cs="等线"/>
                <w:sz w:val="21"/>
                <w:szCs w:val="21"/>
                <w:lang w:val="en-US" w:eastAsia="zh-CN"/>
              </w:rPr>
              <w:t>7 15:30-17:00</w:t>
            </w:r>
          </w:p>
        </w:tc>
        <w:tc>
          <w:tcPr>
            <w:tcW w:w="1299"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vMerge w:val="continue"/>
            <w:vAlign w:val="center"/>
          </w:tcPr>
          <w:p>
            <w:pPr>
              <w:spacing w:line="360" w:lineRule="auto"/>
              <w:rPr>
                <w:rFonts w:hint="eastAsia" w:ascii="等线" w:hAnsi="等线" w:eastAsia="等线" w:cs="等线"/>
                <w:sz w:val="21"/>
                <w:szCs w:val="21"/>
              </w:rPr>
            </w:pPr>
          </w:p>
        </w:tc>
        <w:tc>
          <w:tcPr>
            <w:tcW w:w="1246" w:type="dxa"/>
            <w:vMerge w:val="continue"/>
            <w:vAlign w:val="center"/>
          </w:tcPr>
          <w:p>
            <w:pPr>
              <w:spacing w:before="120"/>
              <w:rPr>
                <w:rFonts w:hint="eastAsia" w:ascii="等线" w:hAnsi="等线" w:eastAsia="等线" w:cs="等线"/>
                <w:sz w:val="21"/>
                <w:szCs w:val="21"/>
              </w:rPr>
            </w:pPr>
          </w:p>
        </w:tc>
        <w:tc>
          <w:tcPr>
            <w:tcW w:w="10637" w:type="dxa"/>
            <w:vAlign w:val="center"/>
          </w:tcPr>
          <w:p>
            <w:pPr>
              <w:spacing w:before="120"/>
              <w:rPr>
                <w:rFonts w:hint="eastAsia" w:ascii="等线" w:hAnsi="等线" w:eastAsia="等线" w:cs="等线"/>
                <w:sz w:val="21"/>
                <w:szCs w:val="21"/>
              </w:rPr>
            </w:pPr>
            <w:r>
              <w:rPr>
                <w:rFonts w:hint="eastAsia" w:ascii="等线" w:hAnsi="等线" w:eastAsia="等线" w:cs="等线"/>
                <w:sz w:val="21"/>
                <w:szCs w:val="21"/>
                <w:lang w:val="en-US" w:eastAsia="zh-CN"/>
              </w:rPr>
              <w:t>EO：</w:t>
            </w:r>
            <w:r>
              <w:rPr>
                <w:rFonts w:hint="eastAsia" w:ascii="等线" w:hAnsi="等线" w:eastAsia="等线" w:cs="等线"/>
                <w:sz w:val="21"/>
                <w:szCs w:val="21"/>
              </w:rPr>
              <w:t>5.3组织的角色、职责和权限、6.1.2环境因素</w:t>
            </w:r>
            <w:r>
              <w:rPr>
                <w:rFonts w:hint="eastAsia" w:ascii="等线" w:hAnsi="等线" w:eastAsia="等线" w:cs="等线"/>
                <w:sz w:val="21"/>
                <w:szCs w:val="21"/>
                <w:lang w:val="en-US" w:eastAsia="zh-CN"/>
              </w:rPr>
              <w:t>/</w:t>
            </w:r>
            <w:r>
              <w:rPr>
                <w:rFonts w:hint="eastAsia" w:ascii="等线" w:hAnsi="等线" w:eastAsia="等线" w:cs="等线"/>
                <w:kern w:val="0"/>
                <w:sz w:val="21"/>
                <w:szCs w:val="21"/>
              </w:rPr>
              <w:t>险源</w:t>
            </w:r>
            <w:r>
              <w:rPr>
                <w:rFonts w:hint="eastAsia" w:ascii="等线" w:hAnsi="等线" w:eastAsia="等线" w:cs="等线"/>
                <w:kern w:val="0"/>
                <w:sz w:val="21"/>
                <w:szCs w:val="21"/>
                <w:lang w:val="en-US" w:eastAsia="zh-CN"/>
              </w:rPr>
              <w:t>辨识</w:t>
            </w:r>
            <w:r>
              <w:rPr>
                <w:rFonts w:hint="eastAsia" w:ascii="等线" w:hAnsi="等线" w:eastAsia="等线" w:cs="等线"/>
                <w:sz w:val="21"/>
                <w:szCs w:val="21"/>
              </w:rPr>
              <w:t>；6.2目标及其达成的策划；7.1资源；8.1运行策划和控制；8.2应急准备和响应</w:t>
            </w:r>
          </w:p>
        </w:tc>
        <w:tc>
          <w:tcPr>
            <w:tcW w:w="1299"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0" w:hRule="atLeast"/>
        </w:trPr>
        <w:tc>
          <w:tcPr>
            <w:tcW w:w="1527" w:type="dxa"/>
            <w:vAlign w:val="top"/>
          </w:tcPr>
          <w:p>
            <w:pPr>
              <w:spacing w:before="12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组织的角色、职责和权限</w:t>
            </w:r>
          </w:p>
        </w:tc>
        <w:tc>
          <w:tcPr>
            <w:tcW w:w="1246" w:type="dxa"/>
            <w:vAlign w:val="top"/>
          </w:tcPr>
          <w:p>
            <w:pPr>
              <w:spacing w:before="12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EO5.3</w:t>
            </w:r>
          </w:p>
        </w:tc>
        <w:tc>
          <w:tcPr>
            <w:tcW w:w="10637" w:type="dxa"/>
            <w:vAlign w:val="center"/>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审核发现财务部主要负责以下工作内容：</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a)负责财务管理，环境和职业健康安全的资金投入（包括人员保险、人员体检、车险投入）和管理。</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b）贯彻实施公司的质量、环境和职业健康安全及企业管理方针、目标、指标和管理</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方案；</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c）对本部门环境因素、危险源进行辨识和评价，制订控制措施；</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d）积极参加公司组织进行的应急演练</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e）完成上级领导安排的临时任务。</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lang w:val="en-US" w:eastAsia="zh-CN"/>
              </w:rPr>
              <w:t>与财务部负责人徐小燕沟通，描述的职责和权限与一体化管理体系的职能分配表基本一致。</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环境因素和险源辨识和职业安全风险评价</w:t>
            </w:r>
          </w:p>
        </w:tc>
        <w:tc>
          <w:tcPr>
            <w:tcW w:w="1246" w:type="dxa"/>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EO6.1.2</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p>
        </w:tc>
        <w:tc>
          <w:tcPr>
            <w:tcW w:w="10637" w:type="dxa"/>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部门负责人徐小燕介绍：财务部根据程序要求，对环境因素、危险源进行了辨识。</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查《环境因素识别评价表》和《重要环境因素清单》，财务部涉及的重要环境因素如下：</w:t>
            </w:r>
          </w:p>
          <w:tbl>
            <w:tblPr>
              <w:tblStyle w:val="12"/>
              <w:tblpPr w:leftFromText="180" w:rightFromText="180" w:vertAnchor="text" w:horzAnchor="page" w:tblpX="533"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707"/>
              <w:gridCol w:w="1910"/>
              <w:gridCol w:w="1200"/>
              <w:gridCol w:w="1708"/>
              <w:gridCol w:w="87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93"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序号</w:t>
                  </w:r>
                </w:p>
              </w:tc>
              <w:tc>
                <w:tcPr>
                  <w:tcW w:w="1707"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环境因素</w:t>
                  </w:r>
                </w:p>
              </w:tc>
              <w:tc>
                <w:tcPr>
                  <w:tcW w:w="191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活动、产品或服务</w:t>
                  </w:r>
                </w:p>
              </w:tc>
              <w:tc>
                <w:tcPr>
                  <w:tcW w:w="120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相关部门</w:t>
                  </w:r>
                </w:p>
              </w:tc>
              <w:tc>
                <w:tcPr>
                  <w:tcW w:w="1708"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环境影响</w:t>
                  </w:r>
                </w:p>
              </w:tc>
              <w:tc>
                <w:tcPr>
                  <w:tcW w:w="872"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时态/状态</w:t>
                  </w:r>
                </w:p>
              </w:tc>
              <w:tc>
                <w:tcPr>
                  <w:tcW w:w="1746"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 xml:space="preserve">处理对策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93"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1</w:t>
                  </w:r>
                </w:p>
              </w:tc>
              <w:tc>
                <w:tcPr>
                  <w:tcW w:w="1707"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危险固废的排放</w:t>
                  </w:r>
                </w:p>
              </w:tc>
              <w:tc>
                <w:tcPr>
                  <w:tcW w:w="191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办公废旧灯管、电池、磁盘等废弃</w:t>
                  </w:r>
                </w:p>
              </w:tc>
              <w:tc>
                <w:tcPr>
                  <w:tcW w:w="120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全公司</w:t>
                  </w:r>
                </w:p>
              </w:tc>
              <w:tc>
                <w:tcPr>
                  <w:tcW w:w="1708"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固废处理</w:t>
                  </w:r>
                </w:p>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污染土壤</w:t>
                  </w:r>
                </w:p>
              </w:tc>
              <w:tc>
                <w:tcPr>
                  <w:tcW w:w="872"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现在/正常</w:t>
                  </w:r>
                </w:p>
              </w:tc>
              <w:tc>
                <w:tcPr>
                  <w:tcW w:w="1746"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①目标、指标及环境管理方案</w:t>
                  </w:r>
                </w:p>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3"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2</w:t>
                  </w:r>
                </w:p>
              </w:tc>
              <w:tc>
                <w:tcPr>
                  <w:tcW w:w="1707"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电消耗</w:t>
                  </w:r>
                </w:p>
              </w:tc>
              <w:tc>
                <w:tcPr>
                  <w:tcW w:w="191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办公用电</w:t>
                  </w:r>
                </w:p>
              </w:tc>
              <w:tc>
                <w:tcPr>
                  <w:tcW w:w="120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全公司</w:t>
                  </w:r>
                </w:p>
              </w:tc>
              <w:tc>
                <w:tcPr>
                  <w:tcW w:w="1708"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资源消耗</w:t>
                  </w:r>
                </w:p>
              </w:tc>
              <w:tc>
                <w:tcPr>
                  <w:tcW w:w="872"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现在/正常</w:t>
                  </w:r>
                </w:p>
              </w:tc>
              <w:tc>
                <w:tcPr>
                  <w:tcW w:w="1746"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①运行控制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93"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3</w:t>
                  </w:r>
                </w:p>
              </w:tc>
              <w:tc>
                <w:tcPr>
                  <w:tcW w:w="1707"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潜在火灾</w:t>
                  </w:r>
                </w:p>
              </w:tc>
              <w:tc>
                <w:tcPr>
                  <w:tcW w:w="191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办公、后勤生活</w:t>
                  </w:r>
                </w:p>
              </w:tc>
              <w:tc>
                <w:tcPr>
                  <w:tcW w:w="120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全公司</w:t>
                  </w:r>
                </w:p>
              </w:tc>
              <w:tc>
                <w:tcPr>
                  <w:tcW w:w="1708"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大气、土壤等综合性污染</w:t>
                  </w:r>
                </w:p>
              </w:tc>
              <w:tc>
                <w:tcPr>
                  <w:tcW w:w="872"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将来/异常</w:t>
                  </w:r>
                </w:p>
              </w:tc>
              <w:tc>
                <w:tcPr>
                  <w:tcW w:w="1746"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①应急方案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3"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4</w:t>
                  </w:r>
                </w:p>
              </w:tc>
              <w:tc>
                <w:tcPr>
                  <w:tcW w:w="1707"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生活垃圾的排放</w:t>
                  </w:r>
                </w:p>
              </w:tc>
              <w:tc>
                <w:tcPr>
                  <w:tcW w:w="191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办公活动</w:t>
                  </w:r>
                </w:p>
              </w:tc>
              <w:tc>
                <w:tcPr>
                  <w:tcW w:w="1200"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全公司</w:t>
                  </w:r>
                </w:p>
              </w:tc>
              <w:tc>
                <w:tcPr>
                  <w:tcW w:w="1708"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大气污染</w:t>
                  </w:r>
                </w:p>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土壤污染</w:t>
                  </w:r>
                </w:p>
              </w:tc>
              <w:tc>
                <w:tcPr>
                  <w:tcW w:w="872"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现在/正常</w:t>
                  </w:r>
                </w:p>
              </w:tc>
              <w:tc>
                <w:tcPr>
                  <w:tcW w:w="1746" w:type="dxa"/>
                  <w:noWrap w:val="0"/>
                  <w:vAlign w:val="center"/>
                </w:tcPr>
                <w:p>
                  <w:pPr>
                    <w:adjustRightInd w:val="0"/>
                    <w:snapToGrid w:val="0"/>
                    <w:spacing w:line="320" w:lineRule="exact"/>
                    <w:ind w:right="105" w:rightChars="50"/>
                    <w:jc w:val="left"/>
                    <w:textAlignment w:val="baseline"/>
                    <w:rPr>
                      <w:rFonts w:hint="eastAsia" w:ascii="等线" w:hAnsi="等线" w:eastAsia="等线" w:cs="等线"/>
                      <w:lang w:val="en-US" w:eastAsia="zh-CN"/>
                    </w:rPr>
                  </w:pPr>
                  <w:r>
                    <w:rPr>
                      <w:rFonts w:hint="eastAsia" w:ascii="等线" w:hAnsi="等线" w:eastAsia="等线" w:cs="等线"/>
                      <w:lang w:val="en-US" w:eastAsia="zh-CN"/>
                    </w:rPr>
                    <w:t>①物业公司处理</w:t>
                  </w:r>
                </w:p>
              </w:tc>
            </w:tr>
          </w:tbl>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查《不可接受风险清单》，财务部</w:t>
            </w:r>
            <w:r>
              <w:rPr>
                <w:rFonts w:hint="eastAsia" w:ascii="等线" w:hAnsi="等线" w:eastAsia="等线" w:cs="等线"/>
                <w:lang w:val="en-US" w:eastAsia="zh-TW"/>
              </w:rPr>
              <w:t>涉及</w:t>
            </w:r>
            <w:r>
              <w:rPr>
                <w:rFonts w:hint="eastAsia" w:ascii="等线" w:hAnsi="等线" w:eastAsia="等线" w:cs="等线"/>
                <w:lang w:val="en-US" w:eastAsia="zh-CN"/>
              </w:rPr>
              <w:t>的</w:t>
            </w:r>
            <w:r>
              <w:rPr>
                <w:rFonts w:hint="eastAsia" w:ascii="等线" w:hAnsi="等线" w:eastAsia="等线" w:cs="等线"/>
                <w:lang w:val="en-US" w:eastAsia="zh-TW"/>
              </w:rPr>
              <w:t>重大危险源</w:t>
            </w:r>
            <w:r>
              <w:rPr>
                <w:rFonts w:hint="eastAsia" w:ascii="等线" w:hAnsi="等线" w:eastAsia="等线" w:cs="等线"/>
                <w:lang w:val="en-US" w:eastAsia="zh-CN"/>
              </w:rPr>
              <w:t>如下</w:t>
            </w:r>
            <w:r>
              <w:rPr>
                <w:rFonts w:hint="eastAsia" w:ascii="等线" w:hAnsi="等线" w:eastAsia="等线" w:cs="等线"/>
                <w:lang w:val="en-US" w:eastAsia="zh-TW"/>
              </w:rPr>
              <w:t>：</w:t>
            </w:r>
          </w:p>
          <w:tbl>
            <w:tblPr>
              <w:tblStyle w:val="12"/>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7"/>
              <w:gridCol w:w="1009"/>
              <w:gridCol w:w="3333"/>
              <w:gridCol w:w="1807"/>
              <w:gridCol w:w="326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29"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序号</w:t>
                  </w:r>
                </w:p>
              </w:tc>
              <w:tc>
                <w:tcPr>
                  <w:tcW w:w="10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活动点</w:t>
                  </w:r>
                </w:p>
              </w:tc>
              <w:tc>
                <w:tcPr>
                  <w:tcW w:w="334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潜在的危险因素</w:t>
                  </w:r>
                </w:p>
              </w:tc>
              <w:tc>
                <w:tcPr>
                  <w:tcW w:w="18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可能导致的结果</w:t>
                  </w:r>
                </w:p>
              </w:tc>
              <w:tc>
                <w:tcPr>
                  <w:tcW w:w="3269"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729" w:type="dxa"/>
                  <w:noWrap w:val="0"/>
                  <w:vAlign w:val="center"/>
                </w:tcPr>
                <w:p>
                  <w:pPr>
                    <w:ind w:firstLine="420" w:firstLineChars="20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1</w:t>
                  </w:r>
                </w:p>
              </w:tc>
              <w:tc>
                <w:tcPr>
                  <w:tcW w:w="1010" w:type="dxa"/>
                  <w:noWrap w:val="0"/>
                  <w:vAlign w:val="center"/>
                </w:tcPr>
                <w:p>
                  <w:pPr>
                    <w:jc w:val="both"/>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办公区</w:t>
                  </w:r>
                </w:p>
              </w:tc>
              <w:tc>
                <w:tcPr>
                  <w:tcW w:w="334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触电（私拉电线、设备漏电、违章作业等）</w:t>
                  </w:r>
                </w:p>
              </w:tc>
              <w:tc>
                <w:tcPr>
                  <w:tcW w:w="18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触电伤亡</w:t>
                  </w:r>
                </w:p>
              </w:tc>
              <w:tc>
                <w:tcPr>
                  <w:tcW w:w="3269"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spacing w:val="20"/>
                      <w:sz w:val="21"/>
                      <w:szCs w:val="21"/>
                    </w:rPr>
                    <w:t>①</w:t>
                  </w:r>
                  <w:r>
                    <w:rPr>
                      <w:rFonts w:hint="eastAsia" w:ascii="等线" w:hAnsi="等线" w:eastAsia="等线" w:cs="等线"/>
                      <w:sz w:val="21"/>
                      <w:szCs w:val="21"/>
                    </w:rPr>
                    <w:t>建立目标和管理方案</w:t>
                  </w:r>
                  <w:r>
                    <w:rPr>
                      <w:rFonts w:hint="eastAsia" w:ascii="等线" w:hAnsi="等线" w:eastAsia="等线" w:cs="等线"/>
                      <w:spacing w:val="20"/>
                      <w:sz w:val="21"/>
                      <w:szCs w:val="21"/>
                    </w:rPr>
                    <w:t>②</w:t>
                  </w:r>
                  <w:r>
                    <w:rPr>
                      <w:rFonts w:hint="eastAsia" w:ascii="等线" w:hAnsi="等线" w:eastAsia="等线" w:cs="等线"/>
                      <w:sz w:val="21"/>
                      <w:szCs w:val="21"/>
                    </w:rPr>
                    <w:t>制订应急预案</w:t>
                  </w:r>
                  <w:r>
                    <w:rPr>
                      <w:rFonts w:hint="eastAsia" w:ascii="等线" w:hAnsi="等线" w:eastAsia="等线" w:cs="等线"/>
                      <w:spacing w:val="20"/>
                      <w:sz w:val="21"/>
                      <w:szCs w:val="21"/>
                    </w:rPr>
                    <w:t>③</w:t>
                  </w:r>
                  <w:r>
                    <w:rPr>
                      <w:rFonts w:hint="eastAsia" w:ascii="等线" w:hAnsi="等线" w:eastAsia="等线" w:cs="等线"/>
                      <w:sz w:val="21"/>
                      <w:szCs w:val="21"/>
                    </w:rPr>
                    <w:t>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729" w:type="dxa"/>
                  <w:noWrap w:val="0"/>
                  <w:vAlign w:val="center"/>
                </w:tcPr>
                <w:p>
                  <w:pPr>
                    <w:ind w:firstLine="420" w:firstLineChars="20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2</w:t>
                  </w:r>
                </w:p>
              </w:tc>
              <w:tc>
                <w:tcPr>
                  <w:tcW w:w="10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办公区</w:t>
                  </w:r>
                </w:p>
              </w:tc>
              <w:tc>
                <w:tcPr>
                  <w:tcW w:w="334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潜在火灾事故（电线老化；易燃处吸烟、动火等）</w:t>
                  </w:r>
                </w:p>
              </w:tc>
              <w:tc>
                <w:tcPr>
                  <w:tcW w:w="18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火灾伤亡</w:t>
                  </w:r>
                </w:p>
              </w:tc>
              <w:tc>
                <w:tcPr>
                  <w:tcW w:w="3269"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spacing w:val="20"/>
                      <w:sz w:val="21"/>
                      <w:szCs w:val="21"/>
                    </w:rPr>
                    <w:t>①</w:t>
                  </w:r>
                  <w:r>
                    <w:rPr>
                      <w:rFonts w:hint="eastAsia" w:ascii="等线" w:hAnsi="等线" w:eastAsia="等线" w:cs="等线"/>
                      <w:sz w:val="21"/>
                      <w:szCs w:val="21"/>
                    </w:rPr>
                    <w:t>建立目标和管理方案</w:t>
                  </w:r>
                  <w:r>
                    <w:rPr>
                      <w:rFonts w:hint="eastAsia" w:ascii="等线" w:hAnsi="等线" w:eastAsia="等线" w:cs="等线"/>
                      <w:spacing w:val="20"/>
                      <w:sz w:val="21"/>
                      <w:szCs w:val="21"/>
                    </w:rPr>
                    <w:t>②</w:t>
                  </w:r>
                  <w:r>
                    <w:rPr>
                      <w:rFonts w:hint="eastAsia" w:ascii="等线" w:hAnsi="等线" w:eastAsia="等线" w:cs="等线"/>
                      <w:sz w:val="21"/>
                      <w:szCs w:val="21"/>
                    </w:rPr>
                    <w:t>制订应急预案</w:t>
                  </w:r>
                  <w:r>
                    <w:rPr>
                      <w:rFonts w:hint="eastAsia" w:ascii="等线" w:hAnsi="等线" w:eastAsia="等线" w:cs="等线"/>
                      <w:spacing w:val="20"/>
                      <w:sz w:val="21"/>
                      <w:szCs w:val="21"/>
                    </w:rPr>
                    <w:t>③</w:t>
                  </w:r>
                  <w:r>
                    <w:rPr>
                      <w:rFonts w:hint="eastAsia" w:ascii="等线" w:hAnsi="等线" w:eastAsia="等线" w:cs="等线"/>
                      <w:sz w:val="21"/>
                      <w:szCs w:val="21"/>
                    </w:rPr>
                    <w:t>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729" w:type="dxa"/>
                  <w:noWrap w:val="0"/>
                  <w:vAlign w:val="center"/>
                </w:tcPr>
                <w:p>
                  <w:pPr>
                    <w:ind w:firstLine="420" w:firstLineChars="200"/>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3</w:t>
                  </w:r>
                </w:p>
              </w:tc>
              <w:tc>
                <w:tcPr>
                  <w:tcW w:w="10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办公区</w:t>
                  </w:r>
                </w:p>
              </w:tc>
              <w:tc>
                <w:tcPr>
                  <w:tcW w:w="334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交通事故</w:t>
                  </w:r>
                </w:p>
              </w:tc>
              <w:tc>
                <w:tcPr>
                  <w:tcW w:w="181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意外伤亡</w:t>
                  </w:r>
                </w:p>
              </w:tc>
              <w:tc>
                <w:tcPr>
                  <w:tcW w:w="3269"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spacing w:val="20"/>
                      <w:sz w:val="21"/>
                      <w:szCs w:val="21"/>
                    </w:rPr>
                    <w:t>①</w:t>
                  </w:r>
                  <w:r>
                    <w:rPr>
                      <w:rFonts w:hint="eastAsia" w:ascii="等线" w:hAnsi="等线" w:eastAsia="等线" w:cs="等线"/>
                      <w:sz w:val="21"/>
                      <w:szCs w:val="21"/>
                    </w:rPr>
                    <w:t>建立目标和管理方案</w:t>
                  </w:r>
                </w:p>
              </w:tc>
            </w:tr>
          </w:tbl>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TW"/>
              </w:rPr>
              <w:t>对于</w:t>
            </w:r>
            <w:r>
              <w:rPr>
                <w:rFonts w:hint="eastAsia" w:ascii="等线" w:hAnsi="等线" w:eastAsia="等线" w:cs="等线"/>
                <w:lang w:val="en-US" w:eastAsia="zh-CN"/>
              </w:rPr>
              <w:t>环境因素、重要环境因素及危险源、不可接受风险等通过运行控制、管理方案、应急准备与响应进行控制。</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财务部环境因素、危险源的识别、评价和控制基本符合标准要求。</w:t>
            </w:r>
          </w:p>
        </w:tc>
        <w:tc>
          <w:tcPr>
            <w:tcW w:w="129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tcPr>
          <w:p>
            <w:pPr>
              <w:spacing w:line="360" w:lineRule="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目标及其达成的策划</w:t>
            </w:r>
          </w:p>
        </w:tc>
        <w:tc>
          <w:tcPr>
            <w:tcW w:w="1246" w:type="dxa"/>
          </w:tcPr>
          <w:p>
            <w:pPr>
              <w:spacing w:line="360" w:lineRule="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EO6.2</w:t>
            </w:r>
          </w:p>
        </w:tc>
        <w:tc>
          <w:tcPr>
            <w:tcW w:w="10637" w:type="dxa"/>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财务部涉及的管理目标如下：</w:t>
            </w:r>
          </w:p>
          <w:p>
            <w:pPr>
              <w:adjustRightInd w:val="0"/>
              <w:snapToGrid w:val="0"/>
              <w:spacing w:line="320" w:lineRule="exact"/>
              <w:ind w:right="105" w:rightChars="50" w:firstLine="420" w:firstLineChars="200"/>
              <w:textAlignment w:val="baseline"/>
              <w:rPr>
                <w:rFonts w:hint="eastAsia" w:ascii="楷体" w:hAnsi="楷体" w:eastAsia="楷体"/>
                <w:color w:val="0070C0"/>
                <w:sz w:val="24"/>
                <w:szCs w:val="24"/>
                <w:lang w:eastAsia="zh-CN"/>
              </w:rPr>
            </w:pPr>
            <w:r>
              <w:rPr>
                <w:rFonts w:hint="eastAsia" w:ascii="等线" w:hAnsi="等线" w:eastAsia="等线" w:cs="等线"/>
              </w:rPr>
              <w:drawing>
                <wp:anchor distT="0" distB="0" distL="114300" distR="114300" simplePos="0" relativeHeight="251660288" behindDoc="0" locked="0" layoutInCell="1" allowOverlap="1">
                  <wp:simplePos x="0" y="0"/>
                  <wp:positionH relativeFrom="column">
                    <wp:posOffset>243840</wp:posOffset>
                  </wp:positionH>
                  <wp:positionV relativeFrom="paragraph">
                    <wp:posOffset>50800</wp:posOffset>
                  </wp:positionV>
                  <wp:extent cx="5652135" cy="1797685"/>
                  <wp:effectExtent l="0" t="0" r="12065" b="571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52135" cy="1797685"/>
                          </a:xfrm>
                          <a:prstGeom prst="rect">
                            <a:avLst/>
                          </a:prstGeom>
                          <a:noFill/>
                          <a:ln>
                            <a:noFill/>
                          </a:ln>
                        </pic:spPr>
                      </pic:pic>
                    </a:graphicData>
                  </a:graphic>
                </wp:anchor>
              </w:drawing>
            </w:r>
            <w:r>
              <w:rPr>
                <w:rFonts w:hint="eastAsia" w:ascii="等线" w:hAnsi="等线" w:eastAsia="等线" w:cs="等线"/>
                <w:lang w:val="en-US" w:eastAsia="zh-CN"/>
              </w:rPr>
              <w:t>部门目标与分解基本合理，均有相应的统计方法、管理方案和监视频率，责任部门和责任人明确，基本满足控制要求。</w:t>
            </w:r>
          </w:p>
        </w:tc>
        <w:tc>
          <w:tcPr>
            <w:tcW w:w="1299" w:type="dxa"/>
          </w:tcPr>
          <w:p>
            <w:pPr>
              <w:spacing w:line="360" w:lineRule="auto"/>
              <w:rPr>
                <w:rFonts w:hint="eastAsia"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trPr>
        <w:tc>
          <w:tcPr>
            <w:tcW w:w="1527" w:type="dxa"/>
            <w:vAlign w:val="top"/>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资源</w:t>
            </w:r>
          </w:p>
        </w:tc>
        <w:tc>
          <w:tcPr>
            <w:tcW w:w="1246" w:type="dxa"/>
            <w:vAlign w:val="top"/>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EO7.1</w:t>
            </w:r>
          </w:p>
        </w:tc>
        <w:tc>
          <w:tcPr>
            <w:tcW w:w="10637" w:type="dxa"/>
            <w:vAlign w:val="top"/>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询问财务部负责人徐小燕了解到，管理层对资源的配备比较重视，组织为了实施质量、环境和职业健康安全管理体系，并持续改进其有效性、增强顾客满意度和体系正常运行提供了充足的资金及必要的资源，为提高员工质量意识组织了的培训，目前的资源基本满足策划需求。</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现场审核发现，人力资源、设备和工作环境等基本可满足资质范围内的活动需求。抽查组织2021年度财务审计报告发现，组织的现金流充足，管理、销售等费用投入合理，能够满足资源需求。</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27"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运行控制</w:t>
            </w:r>
          </w:p>
        </w:tc>
        <w:tc>
          <w:tcPr>
            <w:tcW w:w="1246"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EO8.1</w:t>
            </w:r>
          </w:p>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p>
        </w:tc>
        <w:tc>
          <w:tcPr>
            <w:tcW w:w="10637" w:type="dxa"/>
            <w:vAlign w:val="top"/>
          </w:tcPr>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组织根据活动内容，策划了与财务部相关的 等重要准则。</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财务部涉及的过程主要包括财务支持等活动。</w:t>
            </w:r>
          </w:p>
          <w:p>
            <w:pPr>
              <w:adjustRightInd w:val="0"/>
              <w:snapToGrid w:val="0"/>
              <w:spacing w:line="320" w:lineRule="exact"/>
              <w:ind w:right="105" w:rightChars="50" w:firstLine="420" w:firstLineChars="200"/>
              <w:textAlignment w:val="baseline"/>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提供环境安全相关资金投入使用记录：组织体系运行至今，在物业使用、水电使用、劳保、垃圾处理等投入费用共计</w:t>
            </w:r>
            <w:r>
              <w:rPr>
                <w:rFonts w:hint="eastAsia" w:ascii="等线" w:hAnsi="等线" w:eastAsia="等线" w:cs="等线"/>
                <w:color w:val="FF0000"/>
                <w:sz w:val="21"/>
                <w:szCs w:val="21"/>
                <w:lang w:val="en-US" w:eastAsia="zh-CN"/>
              </w:rPr>
              <w:t>10</w:t>
            </w:r>
            <w:r>
              <w:rPr>
                <w:rFonts w:hint="eastAsia" w:ascii="等线" w:hAnsi="等线" w:eastAsia="等线" w:cs="等线"/>
                <w:color w:val="auto"/>
                <w:sz w:val="21"/>
                <w:szCs w:val="21"/>
                <w:lang w:val="en-US" w:eastAsia="zh-CN"/>
              </w:rPr>
              <w:t>万元。</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财务部负责人陈少亚介绍，组织领导有提供基本的资源包括场所、人力、物力、设备设施等，如办公场所等；到目前为止，组织采购活动策划未发生变更，问其有关要求，基本了解。</w:t>
            </w:r>
          </w:p>
          <w:p>
            <w:pPr>
              <w:spacing w:line="280" w:lineRule="exact"/>
              <w:ind w:firstLine="420" w:firstLineChars="200"/>
              <w:rPr>
                <w:rFonts w:hint="eastAsia" w:ascii="等线" w:hAnsi="等线" w:eastAsia="等线" w:cs="等线"/>
                <w:color w:val="0070C0"/>
                <w:sz w:val="21"/>
                <w:szCs w:val="21"/>
              </w:rPr>
            </w:pPr>
            <w:r>
              <w:rPr>
                <w:rFonts w:hint="eastAsia" w:ascii="等线" w:hAnsi="等线" w:eastAsia="等线" w:cs="等线"/>
                <w:sz w:val="21"/>
                <w:szCs w:val="21"/>
                <w:lang w:val="en-US" w:eastAsia="zh-CN"/>
              </w:rPr>
              <w:t>财务部涉及的环境和职业健康安全运行策划和控制内容主要见行政部EO8.1记录</w:t>
            </w:r>
            <w:r>
              <w:rPr>
                <w:rFonts w:hint="eastAsia" w:ascii="等线" w:hAnsi="等线" w:eastAsia="等线" w:cs="等线"/>
                <w:sz w:val="21"/>
                <w:szCs w:val="21"/>
                <w:lang w:val="en-US" w:eastAsia="zh-TW"/>
              </w:rPr>
              <w:t>。</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tcPr>
          <w:p>
            <w:pPr>
              <w:adjustRightInd w:val="0"/>
              <w:snapToGrid w:val="0"/>
              <w:spacing w:line="320" w:lineRule="exact"/>
              <w:ind w:right="105" w:rightChars="50"/>
              <w:textAlignment w:val="baseline"/>
              <w:rPr>
                <w:rFonts w:hint="eastAsia" w:ascii="宋体" w:hAnsi="宋体" w:eastAsia="宋体" w:cs="宋体"/>
                <w:lang w:val="en-US" w:eastAsia="zh-CN"/>
              </w:rPr>
            </w:pPr>
            <w:r>
              <w:rPr>
                <w:rFonts w:hint="eastAsia" w:ascii="宋体" w:hAnsi="宋体" w:eastAsia="宋体" w:cs="宋体"/>
                <w:lang w:val="en-US" w:eastAsia="zh-CN"/>
              </w:rPr>
              <w:t>应急准备和相应</w:t>
            </w:r>
          </w:p>
        </w:tc>
        <w:tc>
          <w:tcPr>
            <w:tcW w:w="1246" w:type="dxa"/>
          </w:tcPr>
          <w:p>
            <w:pPr>
              <w:adjustRightInd w:val="0"/>
              <w:snapToGrid w:val="0"/>
              <w:spacing w:line="320" w:lineRule="exact"/>
              <w:ind w:right="105" w:rightChars="50"/>
              <w:textAlignment w:val="baseline"/>
              <w:rPr>
                <w:rFonts w:hint="eastAsia" w:ascii="宋体" w:hAnsi="宋体" w:eastAsia="宋体" w:cs="宋体"/>
                <w:lang w:val="en-US" w:eastAsia="zh-CN"/>
              </w:rPr>
            </w:pPr>
            <w:r>
              <w:rPr>
                <w:rFonts w:hint="eastAsia" w:ascii="宋体" w:hAnsi="宋体" w:eastAsia="宋体" w:cs="宋体"/>
                <w:lang w:val="en-US" w:eastAsia="zh-CN"/>
              </w:rPr>
              <w:t>EO8.2</w:t>
            </w:r>
          </w:p>
        </w:tc>
        <w:tc>
          <w:tcPr>
            <w:tcW w:w="10637" w:type="dxa"/>
          </w:tcPr>
          <w:p>
            <w:pPr>
              <w:spacing w:line="280" w:lineRule="exact"/>
              <w:ind w:firstLine="420" w:firstLineChars="200"/>
              <w:rPr>
                <w:rFonts w:hint="eastAsia"/>
                <w:lang w:val="en-US" w:eastAsia="zh-CN"/>
              </w:rPr>
            </w:pPr>
            <w:r>
              <w:rPr>
                <w:rFonts w:hint="eastAsia"/>
                <w:lang w:val="en-US" w:eastAsia="zh-CN"/>
              </w:rPr>
              <w:t>财务部按照策划的《应急准备和响应程序》、《应急预案》等，明确了相应的运行准则。</w:t>
            </w:r>
          </w:p>
          <w:p>
            <w:pPr>
              <w:spacing w:line="280" w:lineRule="exact"/>
              <w:ind w:firstLine="420" w:firstLineChars="200"/>
              <w:rPr>
                <w:rFonts w:hint="default"/>
                <w:lang w:val="en-US" w:eastAsia="zh-CN"/>
              </w:rPr>
            </w:pPr>
            <w:r>
              <w:rPr>
                <w:rFonts w:hint="eastAsia"/>
                <w:lang w:val="en-US" w:eastAsia="zh-CN"/>
              </w:rPr>
              <w:t>财务部负责人徐小燕介绍，财务部按照公司统一要求，办公过程中加强用电安全，防止触电事故和火灾事故的发生，配合行政部等组织部门员工参与应急演练。</w:t>
            </w:r>
          </w:p>
          <w:p>
            <w:pPr>
              <w:spacing w:line="280" w:lineRule="exact"/>
              <w:ind w:firstLine="420" w:firstLineChars="200"/>
              <w:rPr>
                <w:rFonts w:hint="eastAsia"/>
                <w:lang w:val="en-US" w:eastAsia="zh-CN"/>
              </w:rPr>
            </w:pPr>
            <w:r>
              <w:rPr>
                <w:rFonts w:hint="eastAsia"/>
                <w:lang w:val="en-US" w:eastAsia="zh-CN"/>
              </w:rPr>
              <w:t>查</w:t>
            </w:r>
            <w:r>
              <w:rPr>
                <w:rFonts w:hint="eastAsia"/>
                <w:color w:val="auto"/>
                <w:lang w:val="en-US" w:eastAsia="zh-CN"/>
              </w:rPr>
              <w:t>2021年8月23</w:t>
            </w:r>
            <w:r>
              <w:rPr>
                <w:rFonts w:hint="eastAsia"/>
                <w:lang w:val="en-US" w:eastAsia="zh-CN"/>
              </w:rPr>
              <w:t>日部门人员均参加了行政部组织的消防演练。</w:t>
            </w:r>
          </w:p>
          <w:p>
            <w:pPr>
              <w:spacing w:line="280" w:lineRule="exact"/>
              <w:ind w:firstLine="420" w:firstLineChars="200"/>
              <w:jc w:val="both"/>
              <w:rPr>
                <w:rFonts w:hint="eastAsia" w:ascii="楷体" w:hAnsi="楷体" w:eastAsia="楷体"/>
                <w:color w:val="0070C0"/>
                <w:sz w:val="24"/>
                <w:szCs w:val="24"/>
              </w:rPr>
            </w:pPr>
            <w:r>
              <w:rPr>
                <w:rFonts w:hint="eastAsia"/>
                <w:lang w:val="en-US" w:eastAsia="zh-CN"/>
              </w:rPr>
              <w:t>自体系运行以来，未出现紧急情况。</w:t>
            </w:r>
            <w:r>
              <w:rPr>
                <w:rFonts w:hint="eastAsia" w:ascii="楷体" w:hAnsi="楷体" w:eastAsia="楷体"/>
                <w:color w:val="0070C0"/>
                <w:sz w:val="24"/>
                <w:szCs w:val="24"/>
              </w:rPr>
              <w:t xml:space="preserve">  </w:t>
            </w:r>
          </w:p>
        </w:tc>
        <w:tc>
          <w:tcPr>
            <w:tcW w:w="1299" w:type="dxa"/>
          </w:tcPr>
          <w:p>
            <w:pPr>
              <w:spacing w:line="360" w:lineRule="auto"/>
              <w:rPr>
                <w:rFonts w:ascii="楷体" w:hAnsi="楷体" w:eastAsia="楷体"/>
                <w:sz w:val="24"/>
                <w:szCs w:val="24"/>
              </w:rPr>
            </w:pPr>
          </w:p>
        </w:tc>
      </w:tr>
    </w:tbl>
    <w:p>
      <w:pPr>
        <w:rPr>
          <w:rFonts w:ascii="楷体" w:hAnsi="楷体" w:eastAsia="楷体"/>
          <w:sz w:val="21"/>
          <w:szCs w:val="21"/>
        </w:rPr>
      </w:pPr>
      <w:r>
        <w:rPr>
          <w:rFonts w:hint="eastAsia" w:ascii="楷体" w:hAnsi="楷体" w:eastAsia="楷体"/>
          <w:sz w:val="21"/>
          <w:szCs w:val="21"/>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9"/>
      <w:pBdr>
        <w:bottom w:val="none" w:color="auto" w:sz="0" w:space="1"/>
      </w:pBdr>
      <w:spacing w:line="320" w:lineRule="exact"/>
      <w:jc w:val="left"/>
    </w:pPr>
    <w:r>
      <w:rPr>
        <w:rStyle w:val="19"/>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7740260"/>
    <w:rsid w:val="08D544C6"/>
    <w:rsid w:val="0A20155D"/>
    <w:rsid w:val="0AF30CFB"/>
    <w:rsid w:val="0C1F434B"/>
    <w:rsid w:val="108219C2"/>
    <w:rsid w:val="1424311D"/>
    <w:rsid w:val="15C47E54"/>
    <w:rsid w:val="177A78DA"/>
    <w:rsid w:val="18CD4DA9"/>
    <w:rsid w:val="191B60B6"/>
    <w:rsid w:val="1B4F31D6"/>
    <w:rsid w:val="21CA7F84"/>
    <w:rsid w:val="22CA6849"/>
    <w:rsid w:val="24A4118C"/>
    <w:rsid w:val="27D52B4D"/>
    <w:rsid w:val="29713633"/>
    <w:rsid w:val="2ABD1646"/>
    <w:rsid w:val="2B0855E6"/>
    <w:rsid w:val="2CCA0279"/>
    <w:rsid w:val="300E679C"/>
    <w:rsid w:val="36D7376E"/>
    <w:rsid w:val="3A9C7D28"/>
    <w:rsid w:val="3BF502B5"/>
    <w:rsid w:val="3C4D65D7"/>
    <w:rsid w:val="3F185CE9"/>
    <w:rsid w:val="40785FF9"/>
    <w:rsid w:val="41782604"/>
    <w:rsid w:val="435F39B3"/>
    <w:rsid w:val="45316955"/>
    <w:rsid w:val="462C3E28"/>
    <w:rsid w:val="4698439E"/>
    <w:rsid w:val="4D051B4B"/>
    <w:rsid w:val="4FF0324F"/>
    <w:rsid w:val="52020902"/>
    <w:rsid w:val="54D34DFF"/>
    <w:rsid w:val="56287884"/>
    <w:rsid w:val="57FD29A8"/>
    <w:rsid w:val="58355F38"/>
    <w:rsid w:val="5A0615E4"/>
    <w:rsid w:val="5D1547F0"/>
    <w:rsid w:val="5EA12B9A"/>
    <w:rsid w:val="60BF2853"/>
    <w:rsid w:val="60FC244C"/>
    <w:rsid w:val="611150E3"/>
    <w:rsid w:val="63310C18"/>
    <w:rsid w:val="655E664E"/>
    <w:rsid w:val="664C1468"/>
    <w:rsid w:val="66BE0674"/>
    <w:rsid w:val="671B5AC7"/>
    <w:rsid w:val="69B95B43"/>
    <w:rsid w:val="6CAC7D0C"/>
    <w:rsid w:val="6DCE5641"/>
    <w:rsid w:val="6E663F30"/>
    <w:rsid w:val="734B6D59"/>
    <w:rsid w:val="7356229F"/>
    <w:rsid w:val="76F01929"/>
    <w:rsid w:val="772E5D8D"/>
    <w:rsid w:val="77E5442D"/>
    <w:rsid w:val="795629CA"/>
    <w:rsid w:val="7AD84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3"/>
    <w:unhideWhenUsed/>
    <w:qFormat/>
    <w:uiPriority w:val="99"/>
    <w:pPr>
      <w:spacing w:line="420" w:lineRule="exact"/>
    </w:pPr>
    <w:rPr>
      <w:sz w:val="24"/>
    </w:rPr>
  </w:style>
  <w:style w:type="paragraph" w:styleId="5">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6">
    <w:name w:val="Plain Text"/>
    <w:basedOn w:val="1"/>
    <w:link w:val="24"/>
    <w:qFormat/>
    <w:uiPriority w:val="0"/>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paragraph" w:styleId="11">
    <w:name w:val="Body Text First Indent 2"/>
    <w:basedOn w:val="5"/>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9"/>
    <w:qFormat/>
    <w:uiPriority w:val="0"/>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fontstyle01"/>
    <w:basedOn w:val="14"/>
    <w:qFormat/>
    <w:uiPriority w:val="0"/>
    <w:rPr>
      <w:rFonts w:hint="eastAsia" w:ascii="宋体" w:hAnsi="宋体" w:eastAsia="宋体"/>
      <w:color w:val="000000"/>
      <w:sz w:val="24"/>
      <w:szCs w:val="24"/>
    </w:rPr>
  </w:style>
  <w:style w:type="character" w:customStyle="1" w:styleId="21">
    <w:name w:val="fontstyle21"/>
    <w:basedOn w:val="14"/>
    <w:qFormat/>
    <w:uiPriority w:val="0"/>
    <w:rPr>
      <w:rFonts w:hint="default" w:ascii="Times New Roman" w:hAnsi="Times New Roman" w:cs="Times New Roman"/>
      <w:color w:val="000000"/>
      <w:sz w:val="24"/>
      <w:szCs w:val="24"/>
    </w:rPr>
  </w:style>
  <w:style w:type="character" w:customStyle="1" w:styleId="22">
    <w:name w:val="标题 2 Char"/>
    <w:basedOn w:val="14"/>
    <w:link w:val="2"/>
    <w:qFormat/>
    <w:uiPriority w:val="9"/>
    <w:rPr>
      <w:rFonts w:asciiTheme="majorHAnsi" w:hAnsiTheme="majorHAnsi" w:eastAsiaTheme="majorEastAsia" w:cstheme="majorBidi"/>
      <w:b/>
      <w:bCs/>
      <w:kern w:val="2"/>
      <w:sz w:val="32"/>
      <w:szCs w:val="32"/>
    </w:rPr>
  </w:style>
  <w:style w:type="character" w:customStyle="1" w:styleId="23">
    <w:name w:val="正文文本 Char"/>
    <w:basedOn w:val="14"/>
    <w:link w:val="4"/>
    <w:qFormat/>
    <w:uiPriority w:val="99"/>
    <w:rPr>
      <w:rFonts w:ascii="Times New Roman" w:hAnsi="Times New Roman" w:eastAsia="宋体" w:cs="Times New Roman"/>
      <w:kern w:val="2"/>
      <w:sz w:val="24"/>
    </w:rPr>
  </w:style>
  <w:style w:type="character" w:customStyle="1" w:styleId="24">
    <w:name w:val="纯文本 Char"/>
    <w:basedOn w:val="14"/>
    <w:link w:val="6"/>
    <w:qFormat/>
    <w:uiPriority w:val="0"/>
    <w:rPr>
      <w:rFonts w:ascii="宋体" w:hAnsi="Courier New" w:eastAsia="宋体" w:cs="Times New Roman"/>
      <w:kern w:val="2"/>
      <w:sz w:val="21"/>
    </w:rPr>
  </w:style>
  <w:style w:type="character" w:customStyle="1" w:styleId="25">
    <w:name w:val="标题 Char"/>
    <w:basedOn w:val="14"/>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 w:type="paragraph" w:customStyle="1" w:styleId="27">
    <w:name w:val="东方正文"/>
    <w:basedOn w:val="1"/>
    <w:qFormat/>
    <w:uiPriority w:val="0"/>
    <w:pPr>
      <w:spacing w:line="400" w:lineRule="exact"/>
      <w:ind w:left="284" w:right="284"/>
    </w:pPr>
    <w:rPr>
      <w:sz w:val="24"/>
    </w:rPr>
  </w:style>
  <w:style w:type="paragraph" w:customStyle="1" w:styleId="2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1538</Words>
  <Characters>1610</Characters>
  <Lines>53</Lines>
  <Paragraphs>15</Paragraphs>
  <TotalTime>0</TotalTime>
  <ScaleCrop>false</ScaleCrop>
  <LinksUpToDate>false</LinksUpToDate>
  <CharactersWithSpaces>1623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2022-08-17T03:03:08Z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613C0CE86BAF4367A012EA383E43C68D</vt:lpwstr>
  </property>
</Properties>
</file>