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55"/>
        <w:gridCol w:w="116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jc w:val="center"/>
              <w:rPr>
                <w:rFonts w:hint="eastAsia" w:ascii="等线" w:hAnsi="等线" w:eastAsia="等线" w:cs="等线"/>
                <w:sz w:val="21"/>
                <w:szCs w:val="21"/>
              </w:rPr>
            </w:pPr>
            <w:r>
              <w:rPr>
                <w:rFonts w:hint="eastAsia" w:ascii="等线" w:hAnsi="等线" w:eastAsia="等线" w:cs="等线"/>
                <w:sz w:val="21"/>
                <w:szCs w:val="21"/>
              </w:rPr>
              <w:t>过程与活动、</w:t>
            </w:r>
          </w:p>
          <w:p>
            <w:pPr>
              <w:jc w:val="center"/>
              <w:rPr>
                <w:rFonts w:hint="eastAsia" w:ascii="等线" w:hAnsi="等线" w:eastAsia="等线" w:cs="等线"/>
                <w:sz w:val="21"/>
                <w:szCs w:val="21"/>
              </w:rPr>
            </w:pPr>
            <w:r>
              <w:rPr>
                <w:rFonts w:hint="eastAsia" w:ascii="等线" w:hAnsi="等线" w:eastAsia="等线" w:cs="等线"/>
                <w:sz w:val="21"/>
                <w:szCs w:val="21"/>
              </w:rPr>
              <w:t>抽样计划</w:t>
            </w:r>
          </w:p>
        </w:tc>
        <w:tc>
          <w:tcPr>
            <w:tcW w:w="955" w:type="dxa"/>
            <w:vMerge w:val="restart"/>
            <w:vAlign w:val="center"/>
          </w:tcPr>
          <w:p>
            <w:pPr>
              <w:rPr>
                <w:rFonts w:hint="eastAsia" w:ascii="等线" w:hAnsi="等线" w:eastAsia="等线" w:cs="等线"/>
                <w:sz w:val="21"/>
                <w:szCs w:val="21"/>
              </w:rPr>
            </w:pPr>
            <w:r>
              <w:rPr>
                <w:rFonts w:hint="eastAsia" w:ascii="等线" w:hAnsi="等线" w:eastAsia="等线" w:cs="等线"/>
                <w:sz w:val="21"/>
                <w:szCs w:val="21"/>
              </w:rPr>
              <w:t>涉及</w:t>
            </w:r>
          </w:p>
          <w:p>
            <w:pPr>
              <w:rPr>
                <w:rFonts w:hint="eastAsia" w:ascii="等线" w:hAnsi="等线" w:eastAsia="等线" w:cs="等线"/>
                <w:sz w:val="21"/>
                <w:szCs w:val="21"/>
              </w:rPr>
            </w:pPr>
            <w:r>
              <w:rPr>
                <w:rFonts w:hint="eastAsia" w:ascii="等线" w:hAnsi="等线" w:eastAsia="等线" w:cs="等线"/>
                <w:sz w:val="21"/>
                <w:szCs w:val="21"/>
              </w:rPr>
              <w:t>条款</w:t>
            </w:r>
          </w:p>
        </w:tc>
        <w:tc>
          <w:tcPr>
            <w:tcW w:w="11661" w:type="dxa"/>
            <w:vAlign w:val="center"/>
          </w:tcPr>
          <w:p>
            <w:pPr>
              <w:rPr>
                <w:rFonts w:hint="default" w:ascii="等线" w:hAnsi="等线" w:eastAsia="等线" w:cs="等线"/>
                <w:sz w:val="21"/>
                <w:szCs w:val="21"/>
                <w:lang w:val="en-US" w:eastAsia="zh-CN"/>
              </w:rPr>
            </w:pPr>
            <w:r>
              <w:rPr>
                <w:rFonts w:hint="eastAsia" w:ascii="等线" w:hAnsi="等线" w:eastAsia="等线" w:cs="等线"/>
                <w:sz w:val="21"/>
                <w:szCs w:val="21"/>
              </w:rPr>
              <w:t>受审核部门：管理</w:t>
            </w:r>
            <w:r>
              <w:rPr>
                <w:rFonts w:hint="eastAsia" w:ascii="等线" w:hAnsi="等线" w:eastAsia="等线" w:cs="等线"/>
                <w:sz w:val="21"/>
                <w:szCs w:val="21"/>
                <w:lang w:val="en-US" w:eastAsia="zh-CN"/>
              </w:rPr>
              <w:t>层</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 xml:space="preserve">            </w:t>
            </w:r>
            <w:r>
              <w:rPr>
                <w:rFonts w:hint="eastAsia" w:ascii="等线" w:hAnsi="等线" w:eastAsia="等线" w:cs="等线"/>
                <w:sz w:val="21"/>
                <w:szCs w:val="21"/>
              </w:rPr>
              <w:t>主管领导/陪同人员</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潘治强/刘朦朦</w:t>
            </w:r>
          </w:p>
        </w:tc>
        <w:tc>
          <w:tcPr>
            <w:tcW w:w="851" w:type="dxa"/>
            <w:vMerge w:val="restart"/>
            <w:vAlign w:val="center"/>
          </w:tcPr>
          <w:p>
            <w:pPr>
              <w:rPr>
                <w:rFonts w:ascii="华文楷体" w:hAnsi="华文楷体" w:eastAsia="华文楷体"/>
                <w:sz w:val="24"/>
                <w:szCs w:val="24"/>
              </w:rPr>
            </w:pPr>
            <w:r>
              <w:rPr>
                <w:rFonts w:hint="eastAsia" w:ascii="华文楷体" w:hAnsi="华文楷体" w:eastAsia="华文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rPr>
                <w:rFonts w:hint="eastAsia" w:ascii="等线" w:hAnsi="等线" w:eastAsia="等线" w:cs="等线"/>
                <w:sz w:val="21"/>
                <w:szCs w:val="21"/>
              </w:rPr>
            </w:pPr>
          </w:p>
        </w:tc>
        <w:tc>
          <w:tcPr>
            <w:tcW w:w="955" w:type="dxa"/>
            <w:vMerge w:val="continue"/>
            <w:vAlign w:val="center"/>
          </w:tcPr>
          <w:p>
            <w:pPr>
              <w:rPr>
                <w:rFonts w:hint="eastAsia" w:ascii="等线" w:hAnsi="等线" w:eastAsia="等线" w:cs="等线"/>
                <w:sz w:val="21"/>
                <w:szCs w:val="21"/>
              </w:rPr>
            </w:pPr>
          </w:p>
        </w:tc>
        <w:tc>
          <w:tcPr>
            <w:tcW w:w="11661" w:type="dxa"/>
            <w:vAlign w:val="center"/>
          </w:tcPr>
          <w:p>
            <w:pPr>
              <w:spacing w:before="120"/>
              <w:rPr>
                <w:rFonts w:hint="default" w:ascii="等线" w:hAnsi="等线" w:eastAsia="等线" w:cs="等线"/>
                <w:sz w:val="21"/>
                <w:szCs w:val="21"/>
                <w:lang w:val="en-US" w:eastAsia="zh-CN"/>
              </w:rPr>
            </w:pPr>
            <w:r>
              <w:rPr>
                <w:rFonts w:hint="eastAsia" w:ascii="等线" w:hAnsi="等线" w:eastAsia="等线" w:cs="等线"/>
                <w:sz w:val="21"/>
                <w:szCs w:val="21"/>
              </w:rPr>
              <w:t>审核员：</w:t>
            </w:r>
            <w:r>
              <w:rPr>
                <w:rFonts w:hint="eastAsia" w:ascii="等线" w:hAnsi="等线" w:eastAsia="等线" w:cs="等线"/>
                <w:sz w:val="21"/>
                <w:szCs w:val="21"/>
                <w:lang w:val="en-US" w:eastAsia="zh-CN"/>
              </w:rPr>
              <w:t xml:space="preserve">张磊                    </w:t>
            </w:r>
            <w:r>
              <w:rPr>
                <w:rFonts w:hint="eastAsia" w:ascii="等线" w:hAnsi="等线" w:eastAsia="等线" w:cs="等线"/>
                <w:sz w:val="21"/>
                <w:szCs w:val="21"/>
              </w:rPr>
              <w:t>审核时间：</w:t>
            </w:r>
            <w:r>
              <w:rPr>
                <w:rFonts w:hint="eastAsia" w:ascii="等线" w:hAnsi="等线" w:eastAsia="等线" w:cs="等线"/>
                <w:sz w:val="21"/>
                <w:szCs w:val="21"/>
                <w:lang w:val="en-US" w:eastAsia="zh-CN"/>
              </w:rPr>
              <w:t>2022.8.15</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242" w:type="dxa"/>
            <w:vMerge w:val="continue"/>
            <w:vAlign w:val="center"/>
          </w:tcPr>
          <w:p>
            <w:pPr>
              <w:rPr>
                <w:rFonts w:hint="eastAsia" w:ascii="等线" w:hAnsi="等线" w:eastAsia="等线" w:cs="等线"/>
                <w:color w:val="FF0000"/>
                <w:sz w:val="21"/>
                <w:szCs w:val="21"/>
              </w:rPr>
            </w:pPr>
          </w:p>
        </w:tc>
        <w:tc>
          <w:tcPr>
            <w:tcW w:w="955" w:type="dxa"/>
            <w:vMerge w:val="continue"/>
            <w:vAlign w:val="center"/>
          </w:tcPr>
          <w:p>
            <w:pPr>
              <w:rPr>
                <w:rFonts w:hint="eastAsia" w:ascii="等线" w:hAnsi="等线" w:eastAsia="等线" w:cs="等线"/>
                <w:color w:val="FF0000"/>
                <w:sz w:val="21"/>
                <w:szCs w:val="21"/>
              </w:rPr>
            </w:pPr>
          </w:p>
        </w:tc>
        <w:tc>
          <w:tcPr>
            <w:tcW w:w="11661" w:type="dxa"/>
            <w:vAlign w:val="center"/>
          </w:tcPr>
          <w:p>
            <w:pPr>
              <w:adjustRightInd w:val="0"/>
              <w:snapToGrid w:val="0"/>
              <w:ind w:right="105" w:rightChars="50"/>
              <w:textAlignment w:val="baseline"/>
              <w:rPr>
                <w:rFonts w:hint="eastAsia" w:ascii="等线" w:hAnsi="等线" w:eastAsia="等线" w:cs="等线"/>
                <w:spacing w:val="-6"/>
                <w:sz w:val="21"/>
                <w:szCs w:val="21"/>
              </w:rPr>
            </w:pPr>
            <w:r>
              <w:rPr>
                <w:rFonts w:hint="eastAsia" w:ascii="等线" w:hAnsi="等线" w:eastAsia="等线" w:cs="等线"/>
                <w:spacing w:val="-6"/>
                <w:sz w:val="21"/>
                <w:szCs w:val="21"/>
              </w:rPr>
              <w:t>QEO</w:t>
            </w:r>
            <w:r>
              <w:rPr>
                <w:rFonts w:hint="eastAsia" w:ascii="等线" w:hAnsi="等线" w:eastAsia="等线" w:cs="等线"/>
                <w:spacing w:val="-6"/>
                <w:sz w:val="21"/>
                <w:szCs w:val="21"/>
                <w:lang w:eastAsia="zh-CN"/>
              </w:rPr>
              <w:t>：</w:t>
            </w:r>
            <w:r>
              <w:rPr>
                <w:rFonts w:hint="eastAsia" w:ascii="等线" w:hAnsi="等线" w:eastAsia="等线" w:cs="等线"/>
                <w:spacing w:val="-6"/>
                <w:sz w:val="21"/>
                <w:szCs w:val="21"/>
              </w:rPr>
              <w:t>4.1理解组织及其环境、4.2理解相关方的需求和期望、4.3 确定管理体系的范围、4.4质量/环境/</w:t>
            </w:r>
            <w:r>
              <w:rPr>
                <w:rFonts w:hint="eastAsia" w:ascii="等线" w:hAnsi="等线" w:eastAsia="等线" w:cs="等线"/>
                <w:sz w:val="21"/>
                <w:szCs w:val="21"/>
              </w:rPr>
              <w:t>职业健康</w:t>
            </w:r>
            <w:r>
              <w:rPr>
                <w:rFonts w:hint="eastAsia" w:ascii="等线" w:hAnsi="等线" w:eastAsia="等线" w:cs="等线"/>
                <w:spacing w:val="-6"/>
                <w:sz w:val="21"/>
                <w:szCs w:val="21"/>
              </w:rPr>
              <w:t>安全管理体系及其过程、5.1领导作用和承诺、5.2质量/环境/</w:t>
            </w:r>
            <w:r>
              <w:rPr>
                <w:rFonts w:hint="eastAsia" w:ascii="等线" w:hAnsi="等线" w:eastAsia="等线" w:cs="等线"/>
                <w:sz w:val="21"/>
                <w:szCs w:val="21"/>
              </w:rPr>
              <w:t>职业健康</w:t>
            </w:r>
            <w:r>
              <w:rPr>
                <w:rFonts w:hint="eastAsia" w:ascii="等线" w:hAnsi="等线" w:eastAsia="等线" w:cs="等线"/>
                <w:spacing w:val="-6"/>
                <w:sz w:val="21"/>
                <w:szCs w:val="21"/>
              </w:rPr>
              <w:t>安全方针、5.3组织的岗位、职责和权限、5.4协商与参与</w:t>
            </w:r>
            <w:r>
              <w:rPr>
                <w:rFonts w:hint="eastAsia" w:ascii="等线" w:hAnsi="等线" w:eastAsia="等线" w:cs="等线"/>
                <w:spacing w:val="-6"/>
                <w:sz w:val="21"/>
                <w:szCs w:val="21"/>
                <w:lang w:eastAsia="zh-CN"/>
              </w:rPr>
              <w:t>（</w:t>
            </w:r>
            <w:r>
              <w:rPr>
                <w:rFonts w:hint="eastAsia" w:ascii="等线" w:hAnsi="等线" w:eastAsia="等线" w:cs="等线"/>
                <w:spacing w:val="-6"/>
                <w:sz w:val="21"/>
                <w:szCs w:val="21"/>
                <w:lang w:val="en-US" w:eastAsia="zh-CN"/>
              </w:rPr>
              <w:t>O</w:t>
            </w:r>
            <w:r>
              <w:rPr>
                <w:rFonts w:hint="eastAsia" w:ascii="等线" w:hAnsi="等线" w:eastAsia="等线" w:cs="等线"/>
                <w:spacing w:val="-6"/>
                <w:sz w:val="21"/>
                <w:szCs w:val="21"/>
                <w:lang w:eastAsia="zh-CN"/>
              </w:rPr>
              <w:t>）</w:t>
            </w:r>
            <w:r>
              <w:rPr>
                <w:rFonts w:hint="eastAsia" w:ascii="等线" w:hAnsi="等线" w:eastAsia="等线" w:cs="等线"/>
                <w:spacing w:val="-6"/>
                <w:sz w:val="21"/>
                <w:szCs w:val="21"/>
              </w:rPr>
              <w:t>、6.1应对风险和机遇的措施</w:t>
            </w:r>
            <w:r>
              <w:rPr>
                <w:rFonts w:hint="eastAsia" w:ascii="等线" w:hAnsi="等线" w:eastAsia="等线" w:cs="等线"/>
                <w:spacing w:val="-6"/>
                <w:sz w:val="21"/>
                <w:szCs w:val="21"/>
                <w:lang w:val="en-US" w:eastAsia="zh-CN"/>
              </w:rPr>
              <w:t>策划（EO6.1.1、6.1.4）</w:t>
            </w:r>
            <w:r>
              <w:rPr>
                <w:rFonts w:hint="eastAsia" w:ascii="等线" w:hAnsi="等线" w:eastAsia="等线" w:cs="等线"/>
                <w:spacing w:val="-6"/>
                <w:sz w:val="21"/>
                <w:szCs w:val="21"/>
              </w:rPr>
              <w:t>、6.2质量/环境/</w:t>
            </w:r>
            <w:r>
              <w:rPr>
                <w:rFonts w:hint="eastAsia" w:ascii="等线" w:hAnsi="等线" w:eastAsia="等线" w:cs="等线"/>
                <w:sz w:val="21"/>
                <w:szCs w:val="21"/>
              </w:rPr>
              <w:t>职业健康</w:t>
            </w:r>
            <w:r>
              <w:rPr>
                <w:rFonts w:hint="eastAsia" w:ascii="等线" w:hAnsi="等线" w:eastAsia="等线" w:cs="等线"/>
                <w:spacing w:val="-6"/>
                <w:sz w:val="21"/>
                <w:szCs w:val="21"/>
              </w:rPr>
              <w:t>安全目标及其实现的策划、Q6.3变更的策划、7.1.1（EO7.1）资源总则、7.4沟通/信息交流、9.3管理评审、10.1改进</w:t>
            </w:r>
            <w:r>
              <w:rPr>
                <w:rFonts w:hint="eastAsia" w:ascii="等线" w:hAnsi="等线" w:eastAsia="等线" w:cs="等线"/>
                <w:spacing w:val="-6"/>
                <w:sz w:val="21"/>
                <w:szCs w:val="21"/>
                <w:lang w:val="en-US" w:eastAsia="zh-CN"/>
              </w:rPr>
              <w:t>总则</w:t>
            </w:r>
            <w:r>
              <w:rPr>
                <w:rFonts w:hint="eastAsia" w:ascii="等线" w:hAnsi="等线" w:eastAsia="等线" w:cs="等线"/>
                <w:spacing w:val="-6"/>
                <w:sz w:val="21"/>
                <w:szCs w:val="21"/>
              </w:rPr>
              <w:t>、10.3持续改进</w:t>
            </w:r>
          </w:p>
          <w:p>
            <w:pPr>
              <w:adjustRightInd w:val="0"/>
              <w:snapToGrid w:val="0"/>
              <w:ind w:right="105" w:rightChars="50"/>
              <w:textAlignment w:val="baseline"/>
              <w:rPr>
                <w:rFonts w:hint="eastAsia" w:ascii="等线" w:hAnsi="等线" w:eastAsia="等线" w:cs="等线"/>
                <w:color w:val="FF0000"/>
                <w:spacing w:val="-6"/>
                <w:sz w:val="21"/>
                <w:szCs w:val="21"/>
              </w:rPr>
            </w:pPr>
            <w:r>
              <w:rPr>
                <w:rFonts w:hint="eastAsia" w:ascii="等线" w:hAnsi="等线" w:eastAsia="等线" w:cs="等线"/>
                <w:spacing w:val="-6"/>
                <w:sz w:val="21"/>
                <w:szCs w:val="21"/>
              </w:rPr>
              <w:t>验证企业相关资质证明的有效性；国家/地方监督抽查情况；相关方投诉及处理情况；</w:t>
            </w:r>
            <w:r>
              <w:rPr>
                <w:rFonts w:hint="eastAsia" w:ascii="等线" w:hAnsi="等线" w:eastAsia="等线" w:cs="等线"/>
                <w:spacing w:val="-6"/>
                <w:sz w:val="21"/>
                <w:szCs w:val="21"/>
                <w:lang w:val="en-US" w:eastAsia="zh-CN"/>
              </w:rPr>
              <w:t>监</w:t>
            </w:r>
            <w:r>
              <w:rPr>
                <w:rFonts w:hint="eastAsia" w:ascii="等线" w:hAnsi="等线" w:eastAsia="等线" w:cs="等线"/>
                <w:spacing w:val="-6"/>
                <w:sz w:val="21"/>
                <w:szCs w:val="21"/>
              </w:rPr>
              <w:t>一阶段问题验证</w:t>
            </w:r>
            <w:r>
              <w:rPr>
                <w:rFonts w:hint="eastAsia" w:ascii="等线" w:hAnsi="等线" w:eastAsia="等线" w:cs="等线"/>
                <w:spacing w:val="-6"/>
                <w:sz w:val="21"/>
                <w:szCs w:val="21"/>
                <w:lang w:eastAsia="zh-CN"/>
              </w:rPr>
              <w:t>；</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1242"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理解组织及其环境总要求</w:t>
            </w:r>
          </w:p>
          <w:p>
            <w:pPr>
              <w:spacing w:line="280" w:lineRule="exact"/>
              <w:rPr>
                <w:rFonts w:hint="eastAsia" w:ascii="等线" w:hAnsi="等线" w:eastAsia="等线" w:cs="等线"/>
                <w:b/>
                <w:sz w:val="21"/>
                <w:szCs w:val="21"/>
              </w:rPr>
            </w:pPr>
          </w:p>
        </w:tc>
        <w:tc>
          <w:tcPr>
            <w:tcW w:w="955"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QEO4.1</w:t>
            </w:r>
          </w:p>
          <w:p>
            <w:pPr>
              <w:spacing w:line="280" w:lineRule="exact"/>
              <w:rPr>
                <w:rFonts w:hint="eastAsia" w:ascii="等线" w:hAnsi="等线" w:eastAsia="等线" w:cs="等线"/>
                <w:b/>
                <w:sz w:val="21"/>
                <w:szCs w:val="21"/>
              </w:rPr>
            </w:pPr>
          </w:p>
        </w:tc>
        <w:tc>
          <w:tcPr>
            <w:tcW w:w="11661" w:type="dxa"/>
            <w:vAlign w:val="center"/>
          </w:tcPr>
          <w:p>
            <w:pPr>
              <w:spacing w:line="280" w:lineRule="exact"/>
              <w:ind w:firstLine="420" w:firstLineChars="200"/>
              <w:rPr>
                <w:rFonts w:hint="eastAsia" w:ascii="等线" w:hAnsi="等线" w:eastAsia="等线" w:cs="等线"/>
                <w:sz w:val="21"/>
                <w:szCs w:val="21"/>
                <w:lang w:eastAsia="zh-CN"/>
              </w:rPr>
            </w:pPr>
            <w:r>
              <w:rPr>
                <w:rFonts w:hint="eastAsia" w:ascii="等线" w:hAnsi="等线" w:eastAsia="等线" w:cs="等线"/>
                <w:sz w:val="21"/>
                <w:szCs w:val="21"/>
                <w:lang w:val="en-US" w:eastAsia="zh-CN"/>
              </w:rPr>
              <w:t>组织2011</w:t>
            </w:r>
            <w:r>
              <w:rPr>
                <w:rFonts w:hint="eastAsia" w:ascii="等线" w:hAnsi="等线" w:eastAsia="等线" w:cs="等线"/>
                <w:sz w:val="21"/>
                <w:szCs w:val="21"/>
              </w:rPr>
              <w:t>年</w:t>
            </w:r>
            <w:r>
              <w:rPr>
                <w:rFonts w:hint="eastAsia" w:ascii="等线" w:hAnsi="等线" w:eastAsia="等线" w:cs="等线"/>
                <w:sz w:val="21"/>
                <w:szCs w:val="21"/>
                <w:lang w:val="en-US" w:eastAsia="zh-CN"/>
              </w:rPr>
              <w:t>03</w:t>
            </w:r>
            <w:r>
              <w:rPr>
                <w:rFonts w:hint="eastAsia" w:ascii="等线" w:hAnsi="等线" w:eastAsia="等线" w:cs="等线"/>
                <w:sz w:val="21"/>
                <w:szCs w:val="21"/>
              </w:rPr>
              <w:t>月</w:t>
            </w:r>
            <w:r>
              <w:rPr>
                <w:rFonts w:hint="eastAsia" w:ascii="等线" w:hAnsi="等线" w:eastAsia="等线" w:cs="等线"/>
                <w:sz w:val="21"/>
                <w:szCs w:val="21"/>
                <w:lang w:val="en-US" w:eastAsia="zh-CN"/>
              </w:rPr>
              <w:t>01日</w:t>
            </w:r>
            <w:r>
              <w:rPr>
                <w:rFonts w:hint="eastAsia" w:ascii="等线" w:hAnsi="等线" w:eastAsia="等线" w:cs="等线"/>
                <w:sz w:val="21"/>
                <w:szCs w:val="21"/>
              </w:rPr>
              <w:t>注册</w:t>
            </w:r>
            <w:r>
              <w:rPr>
                <w:rFonts w:hint="eastAsia" w:ascii="等线" w:hAnsi="等线" w:eastAsia="等线" w:cs="等线"/>
                <w:sz w:val="21"/>
                <w:szCs w:val="21"/>
                <w:lang w:eastAsia="zh-CN"/>
              </w:rPr>
              <w:t>；</w:t>
            </w:r>
            <w:r>
              <w:rPr>
                <w:rFonts w:hint="eastAsia" w:ascii="等线" w:hAnsi="等线" w:eastAsia="等线" w:cs="等线"/>
                <w:sz w:val="21"/>
                <w:szCs w:val="21"/>
              </w:rPr>
              <w:t>法人：</w:t>
            </w:r>
            <w:r>
              <w:rPr>
                <w:rFonts w:hint="eastAsia" w:ascii="等线" w:hAnsi="等线" w:eastAsia="等线" w:cs="等线"/>
                <w:sz w:val="21"/>
                <w:szCs w:val="21"/>
                <w:lang w:val="en-US" w:eastAsia="zh-CN"/>
              </w:rPr>
              <w:t>潘祺</w:t>
            </w:r>
            <w:r>
              <w:rPr>
                <w:rFonts w:hint="eastAsia" w:ascii="等线" w:hAnsi="等线" w:eastAsia="等线" w:cs="等线"/>
                <w:sz w:val="21"/>
                <w:szCs w:val="21"/>
                <w:lang w:eastAsia="zh-CN"/>
              </w:rPr>
              <w:t>；</w:t>
            </w:r>
            <w:r>
              <w:rPr>
                <w:rFonts w:hint="eastAsia" w:ascii="等线" w:hAnsi="等线" w:eastAsia="等线" w:cs="等线"/>
                <w:sz w:val="21"/>
                <w:szCs w:val="21"/>
              </w:rPr>
              <w:t>总经理</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潘治强</w:t>
            </w:r>
            <w:r>
              <w:rPr>
                <w:rFonts w:hint="eastAsia" w:ascii="等线" w:hAnsi="等线" w:eastAsia="等线" w:cs="等线"/>
                <w:sz w:val="21"/>
                <w:szCs w:val="21"/>
                <w:lang w:eastAsia="zh-CN"/>
              </w:rPr>
              <w:t>；</w:t>
            </w:r>
          </w:p>
          <w:p>
            <w:pPr>
              <w:keepNext w:val="0"/>
              <w:keepLines w:val="0"/>
              <w:widowControl/>
              <w:suppressLineNumbers w:val="0"/>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rPr>
              <w:t>注册地址</w:t>
            </w:r>
            <w:r>
              <w:rPr>
                <w:rFonts w:hint="eastAsia" w:ascii="等线" w:hAnsi="等线" w:eastAsia="等线" w:cs="等线"/>
                <w:sz w:val="21"/>
                <w:szCs w:val="21"/>
                <w:lang w:val="en-US" w:eastAsia="zh-CN"/>
              </w:rPr>
              <w:t>：苏州市吴中区横泾接到新齐路以东、泾南路以北；</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生产经营地址：苏州市吴中区横泾接到新齐路以东、泾南路以北；</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经核实，营业执照有效，见附件。</w:t>
            </w:r>
          </w:p>
          <w:p>
            <w:pPr>
              <w:spacing w:line="280" w:lineRule="exact"/>
              <w:ind w:firstLine="420" w:firstLineChars="200"/>
              <w:rPr>
                <w:rFonts w:hint="eastAsia" w:ascii="等线" w:hAnsi="等线" w:eastAsia="等线" w:cs="等线"/>
                <w:b/>
                <w:color w:val="FF0000"/>
                <w:sz w:val="21"/>
                <w:szCs w:val="21"/>
              </w:rPr>
            </w:pPr>
            <w:r>
              <w:rPr>
                <w:rFonts w:hint="eastAsia" w:ascii="等线" w:hAnsi="等线" w:eastAsia="等线" w:cs="等线"/>
                <w:sz w:val="21"/>
                <w:szCs w:val="21"/>
                <w:lang w:val="en-US" w:eastAsia="zh-CN"/>
              </w:rPr>
              <w:t>潘祺介绍：组织确定了与管理目标和战略方向相关并影响实现管理体系预期结果的各种内部因素（如企业文化等）和外部因素（如国际、国家、地区和当地的各种法律法规、技术、竞争、文化和社会因素等）。这些因素包括了需要考虑的正面和负面因素或条件。组织根据销售人员从市场、客户、网络等搜集到的信息并结合自身业务运作情况进行分析，通过分析对这些内部和外部因素的相关信息进行监视和评审以确保其充分和适宜。</w:t>
            </w:r>
          </w:p>
        </w:tc>
        <w:tc>
          <w:tcPr>
            <w:tcW w:w="851" w:type="dxa"/>
          </w:tcPr>
          <w:p>
            <w:pPr>
              <w:rPr>
                <w:rFonts w:hint="eastAsia"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42"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理解相关方的需求和期望</w:t>
            </w:r>
          </w:p>
        </w:tc>
        <w:tc>
          <w:tcPr>
            <w:tcW w:w="955"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QEO4.2</w:t>
            </w:r>
          </w:p>
          <w:p>
            <w:p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审核发现，组织考虑了以下相关方：①员工②股东③体系认证机构④顾客⑤供方和合作伙伴⑥政府监管部门⑦社区等。组织对这些相关方及其要求的相关信息进行监视和评审，以便于理解和持续满足相关方的需求和期望。</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目前顾客的主要需求期望是：提供顾客满意的产品和服务。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242"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确定管理体系的范围</w:t>
            </w:r>
          </w:p>
          <w:p>
            <w:pPr>
              <w:spacing w:line="280" w:lineRule="exact"/>
              <w:rPr>
                <w:rFonts w:hint="eastAsia" w:ascii="等线" w:hAnsi="等线" w:eastAsia="等线" w:cs="等线"/>
                <w:sz w:val="21"/>
                <w:szCs w:val="21"/>
                <w:lang w:val="en-US" w:eastAsia="zh-CN"/>
              </w:rPr>
            </w:pPr>
          </w:p>
        </w:tc>
        <w:tc>
          <w:tcPr>
            <w:tcW w:w="955"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QEO 4.3</w:t>
            </w:r>
          </w:p>
          <w:p>
            <w:pPr>
              <w:spacing w:line="280" w:lineRule="exact"/>
              <w:rPr>
                <w:rFonts w:hint="eastAsia" w:ascii="等线" w:hAnsi="等线" w:eastAsia="等线" w:cs="等线"/>
                <w:sz w:val="21"/>
                <w:szCs w:val="21"/>
                <w:lang w:val="en-US" w:eastAsia="zh-CN"/>
              </w:rPr>
            </w:pPr>
          </w:p>
        </w:tc>
        <w:tc>
          <w:tcPr>
            <w:tcW w:w="11661" w:type="dxa"/>
            <w:vAlign w:val="center"/>
          </w:tcPr>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经现场核实确认，组织管理体系范围为：</w:t>
            </w:r>
          </w:p>
          <w:p>
            <w:pPr>
              <w:spacing w:line="280" w:lineRule="exact"/>
              <w:ind w:firstLine="420" w:firstLineChars="200"/>
              <w:rPr>
                <w:rFonts w:hint="eastAsia" w:ascii="等线" w:hAnsi="等线" w:eastAsia="等线" w:cs="等线"/>
                <w:sz w:val="21"/>
                <w:szCs w:val="21"/>
              </w:rPr>
            </w:pPr>
            <w:bookmarkStart w:id="0" w:name="审核范围"/>
            <w:r>
              <w:rPr>
                <w:rFonts w:hint="eastAsia" w:ascii="等线" w:hAnsi="等线" w:eastAsia="等线" w:cs="等线"/>
                <w:sz w:val="21"/>
                <w:szCs w:val="21"/>
              </w:rPr>
              <w:t>Q：预包装食品（米、面、粮油、冷冻肉），初级农产品（蔬菜、畜禽肉类、蛋类）的销售。</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E：预包装食品（米、面、粮油、冷冻肉），初级农产品（蔬菜、畜禽肉类、蛋类）的销售及相关环境管理活动。</w:t>
            </w:r>
          </w:p>
          <w:p>
            <w:pPr>
              <w:spacing w:line="280" w:lineRule="exact"/>
              <w:ind w:left="420" w:leftChars="200" w:firstLine="0" w:firstLineChars="0"/>
              <w:rPr>
                <w:rFonts w:hint="default" w:ascii="等线" w:hAnsi="等线" w:eastAsia="等线" w:cs="等线"/>
                <w:sz w:val="21"/>
                <w:szCs w:val="21"/>
                <w:lang w:val="en-US" w:eastAsia="zh-CN"/>
              </w:rPr>
            </w:pPr>
            <w:r>
              <w:rPr>
                <w:rFonts w:hint="eastAsia" w:ascii="等线" w:hAnsi="等线" w:eastAsia="等线" w:cs="等线"/>
                <w:sz w:val="21"/>
                <w:szCs w:val="21"/>
              </w:rPr>
              <w:t>O：预包装食品（米、面、粮油、冷冻肉），初级农产品（蔬菜、畜禽肉类、蛋类）的销售及相关职业健康安全管理活动。管理活动</w:t>
            </w:r>
            <w:bookmarkEnd w:id="0"/>
            <w:r>
              <w:rPr>
                <w:rFonts w:hint="eastAsia" w:ascii="等线" w:hAnsi="等线" w:eastAsia="等线" w:cs="等线"/>
                <w:sz w:val="21"/>
                <w:szCs w:val="21"/>
                <w:lang w:val="en-US" w:eastAsia="zh-CN"/>
              </w:rPr>
              <w:t>不适用条款：8.3</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外包过程：无。</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42" w:type="dxa"/>
          </w:tcPr>
          <w:p>
            <w:pPr>
              <w:rPr>
                <w:rFonts w:hint="eastAsia" w:ascii="等线" w:hAnsi="等线" w:eastAsia="等线" w:cs="等线"/>
                <w:sz w:val="21"/>
                <w:szCs w:val="21"/>
              </w:rPr>
            </w:pPr>
            <w:r>
              <w:rPr>
                <w:rFonts w:hint="eastAsia" w:ascii="等线" w:hAnsi="等线" w:eastAsia="等线" w:cs="等线"/>
                <w:sz w:val="21"/>
                <w:szCs w:val="21"/>
              </w:rPr>
              <w:t>管理体系及其过程</w:t>
            </w:r>
          </w:p>
          <w:p>
            <w:pPr>
              <w:ind w:firstLine="420" w:firstLineChars="200"/>
              <w:rPr>
                <w:rFonts w:hint="eastAsia" w:ascii="等线" w:hAnsi="等线" w:eastAsia="等线" w:cs="等线"/>
                <w:sz w:val="21"/>
                <w:szCs w:val="21"/>
              </w:rPr>
            </w:pPr>
          </w:p>
        </w:tc>
        <w:tc>
          <w:tcPr>
            <w:tcW w:w="955" w:type="dxa"/>
          </w:tcPr>
          <w:p>
            <w:pPr>
              <w:rPr>
                <w:rFonts w:hint="eastAsia" w:ascii="等线" w:hAnsi="等线" w:eastAsia="等线" w:cs="等线"/>
                <w:sz w:val="21"/>
                <w:szCs w:val="21"/>
              </w:rPr>
            </w:pPr>
            <w:r>
              <w:rPr>
                <w:rFonts w:hint="eastAsia" w:ascii="等线" w:hAnsi="等线" w:eastAsia="等线" w:cs="等线"/>
                <w:sz w:val="21"/>
                <w:szCs w:val="21"/>
              </w:rPr>
              <w:t>QEO4.4</w:t>
            </w:r>
          </w:p>
          <w:p>
            <w:pPr>
              <w:ind w:firstLine="420" w:firstLineChars="200"/>
              <w:rPr>
                <w:rFonts w:hint="eastAsia" w:ascii="等线" w:hAnsi="等线" w:eastAsia="等线" w:cs="等线"/>
                <w:sz w:val="21"/>
                <w:szCs w:val="21"/>
              </w:rPr>
            </w:pPr>
          </w:p>
        </w:tc>
        <w:tc>
          <w:tcPr>
            <w:tcW w:w="11661" w:type="dxa"/>
            <w:vAlign w:val="center"/>
          </w:tcPr>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现场审核发现：</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1.组织设置了管理层、管理部、采购部、销售部、物流部、财务部等部门，职责和权限分配基本合理。</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2.组织的Q涉及的核心过程主要包括1）销售流程：客户订单--采购--验收--配送--顾客签收--售后服务  </w:t>
            </w:r>
          </w:p>
          <w:p>
            <w:pPr>
              <w:spacing w:line="280" w:lineRule="exact"/>
              <w:ind w:firstLine="3780" w:firstLineChars="18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2）配送流程：下单—装货—运输——下货——顾客签收</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E和O的主要过程包括：①环境因素</w:t>
            </w:r>
            <w:r>
              <w:rPr>
                <w:rFonts w:hint="eastAsia" w:ascii="等线" w:hAnsi="等线" w:eastAsia="等线" w:cs="等线"/>
                <w:color w:val="000000"/>
                <w:sz w:val="21"/>
                <w:szCs w:val="21"/>
                <w:lang w:val="en-US" w:eastAsia="zh-CN"/>
              </w:rPr>
              <w:t>的识别、评价和控制；②危险源的识别、评价和控制；③应急准备和响应等，组织的过程识别基本完整，输入输出基本充分，程序设计符合控制要求，相互关系清晰，基本符合策划要求。</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3.组织管理体系在运行、保持过程中，通过监视、测量等方式以完成评价和改进需求，满足策划要求。</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4.组织通过QEO6.1的要求应对风险和机遇，具体见QEO6.1记录。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领导作用与承诺总则</w:t>
            </w: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Q5.1.1</w:t>
            </w:r>
          </w:p>
          <w:p>
            <w:pPr>
              <w:numPr>
                <w:ilvl w:val="0"/>
                <w:numId w:val="0"/>
              </w:numPr>
              <w:spacing w:line="280" w:lineRule="exact"/>
              <w:rPr>
                <w:rFonts w:hint="eastAsia" w:ascii="等线" w:hAnsi="等线" w:eastAsia="等线" w:cs="等线"/>
                <w:sz w:val="21"/>
                <w:szCs w:val="21"/>
                <w:lang w:val="en-US" w:eastAsia="zh-CN"/>
              </w:rPr>
            </w:pPr>
          </w:p>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EO5.1</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组织管理层处了解到，最高管理者通过以下方式证实其领导作用和承诺：</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1）对管理体系的有效性负责；</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2）建立QEO管理方针和目标，并确保与组织的环境相适应，与战略方向保持一致以； </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3）确保管理体系要求融入组织的采购、销售等业务过程；</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4）促进使用过程方法和机遇风险的思维；</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5）确保管理体系所需资源能被获得；</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6）建立良好的沟通机制，杜绝因沟通影响管理体系运行有效性；</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7）确保管理体系实现其预期的结果；</w:t>
            </w:r>
          </w:p>
          <w:p>
            <w:pPr>
              <w:numPr>
                <w:ilvl w:val="0"/>
                <w:numId w:val="0"/>
              </w:numPr>
              <w:spacing w:line="280" w:lineRule="exact"/>
              <w:ind w:firstLine="420" w:firstLineChars="200"/>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8）促使员工积极参与，指导和支持他们为公司管理体系的有效性作出贡献；</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9）推动改进和创新；</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10）做好管理岗位的任命，以支持其他管理者在其负责领域证实其领导作用；</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11）保护员工不因揭发组织的违法行为而遭受报复；</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12）引导建立企业安全文化；</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13）促进和落实协商和参与机制的建立与保持，支持员工代表，并在有条件的情况下成立健康安全委员会。</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内容基本与标准要求一致，满足要求。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以顾客为关注焦点</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Q5.1.2</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企业总经理等管理层通过以下方面实现证实其以顾客为关注焦点的领导作用和承诺：</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a) 确定、理解并持续满足顾客要求以及适用的法律法规要求；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b) 确定和应对能够影响产品、产品符合性以及增强顾客满意能力的风险和机遇；</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c) 始终致力于增强顾客满意。</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顾客满意的监视和评审记录详见供销部Q9.1.2条款。</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方针</w:t>
            </w:r>
          </w:p>
          <w:p>
            <w:pPr>
              <w:numPr>
                <w:ilvl w:val="0"/>
                <w:numId w:val="0"/>
              </w:numPr>
              <w:spacing w:line="280" w:lineRule="exact"/>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QEO5.2</w:t>
            </w: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组织的QEO方针内容如下：</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b/>
                <w:bCs/>
                <w:sz w:val="21"/>
                <w:szCs w:val="21"/>
                <w:lang w:val="en-US" w:eastAsia="zh-CN"/>
              </w:rPr>
              <w:t>从源头把关，全过程预防，有效沟通，保护环境、预防第一、诚信守法、安全第一、持续改进、永续经营</w:t>
            </w:r>
            <w:r>
              <w:rPr>
                <w:rFonts w:hint="eastAsia" w:ascii="等线" w:hAnsi="等线" w:eastAsia="等线" w:cs="等线"/>
                <w:sz w:val="21"/>
                <w:szCs w:val="21"/>
                <w:lang w:val="en-US" w:eastAsia="zh-CN"/>
              </w:rPr>
              <w:t>。</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组织以质量、环境、职业健康安全标准为基础，结合实际特制定管理方针，与组织的经营宗旨基本一致，能为制定目标提供框架，基本符合标准的要求。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管理层对方针内涵的理解较深刻，并通过会议、文件等手段保证管理方针为全体员工理解并落实到工作中，相关方也可通过组织获取相应的管理方针。</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组织的岗位、职责和权限</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QEO5.3</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通过管理手册的《组织结构图》和《职能分配表》以及条款5.3组织的岗位、职责和权限，界定各部门的主要职责和接口关系。公司对管理层和各职能部门都明确了各自的工作职责和权限，公司设置：总经理、管代、管理部、供销部、采购部、物流部、财务部。制定了各部门、岗位人员职责、权限并形成了文件分配了质量、环境、职业健康安全管理体系的职能，在公司的管理手册中可以查见。</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经查，管理手册及员工岗位职责权限，对总经理及各部门的工作职责、权限作了规定和描述。</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基本符合标准要求。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上述文件通过发放的形成传达到相关部门和人员。查相关制度包括质量、环境、职业健康安全管理制度等，基本明确了各级人员的质量、环境、职业健康安全管理职责等。确认公司目前人力资源、基础设施、加工人员、财力、信息等资源均能保证。公司办公室、会议室、库房，均配备了灭火器等消防安全设备，能保证公司正常办公。主要设施设备：冷藏库、打印机、复印机、运输车、冷藏车、电动叉车相关设备等，满足办公、生产需求。公司财务能保证质量、环境、职业健康安全工作的开展，确保相关资金及时投入。</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经查，总经理负责7项职责，管代10项职责，其职责和权限清晰。</w:t>
            </w:r>
          </w:p>
          <w:p>
            <w:pPr>
              <w:numPr>
                <w:ilvl w:val="0"/>
                <w:numId w:val="0"/>
              </w:num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基本能满足体系运行的要求。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Pr>
          <w:p>
            <w:pPr>
              <w:numPr>
                <w:ilvl w:val="0"/>
                <w:numId w:val="0"/>
              </w:numPr>
              <w:spacing w:line="280" w:lineRule="exact"/>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应对风险和机遇的措施策划</w:t>
            </w:r>
          </w:p>
          <w:p>
            <w:pPr>
              <w:numPr>
                <w:ilvl w:val="0"/>
                <w:numId w:val="0"/>
              </w:numPr>
              <w:spacing w:line="280" w:lineRule="exact"/>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Q6.1</w:t>
            </w:r>
          </w:p>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E06.1.1</w:t>
            </w:r>
          </w:p>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EO6.1.4</w:t>
            </w:r>
          </w:p>
          <w:p>
            <w:pPr>
              <w:numPr>
                <w:ilvl w:val="0"/>
                <w:numId w:val="0"/>
              </w:numPr>
              <w:spacing w:line="280" w:lineRule="exact"/>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在策划管理体系时考虑了风险和机遇以及相应的应对措施，制定了《风险和机遇管制程序》，明确了风险和机遇事件的识别方法/途径、评估方式、制定主要风险和机遇事件的应对措施的要求、评价这些措施有效性的方法。</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确定了组织需应对的风险和机遇，策划并实施了应对风险和机遇的措施来控制风险。采用SWOT分析，识别公司质量、环境、职业健康安全管理中的优势和劣势，以及风险和机遇，制定应对风险和机遇的措施计划，组织实施计划，并对效果进行评价。</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提供：《风险机会识别措施评价表》</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如：管理层及相关员工对食品环保安全卫生要求，环境、职业健康安全管理体系不熟悉；随着食品安全意识增强，社会对物流部服务环保要求越来越高；缺乏设备全面维护保养，设备总效率低；设备老化存在隐患，配备不到位。环保和职业健康设施，如消防设备、抽风设施、固体垃圾装置不到位。</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通过采取措施得以控制，目前实施情况均较好。</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考虑了目前可能的企业发展扩大市场竞争的机遇，通过招投标的方式以获取公司更多的业务量。通过寻求机遇，策划并实施了应对风险和机遇的措施来控制风险。组织在确定这些风险和机遇时，考虑了员工岗位技能、生产能力、人员环境意识、市场需求等内外部因素及合同方（顾客）的相关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组织优势：充足的财政来源；良好的企业形象；技术力量；规模经济；产品质量；市场份额；成本优势；</w:t>
            </w:r>
          </w:p>
          <w:p>
            <w:pPr>
              <w:pStyle w:val="2"/>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组织劣势：物流部业是一个技术含量相对较低的行业，但是它需要严格的管理才能赢得消费者的信赖，对于大多数食堂来说大部分存在着内部管理松散，服务人员文化程度较低。</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经查，公司制定的应对措施基本有效。</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目标及其实现的策划</w:t>
            </w:r>
          </w:p>
        </w:tc>
        <w:tc>
          <w:tcPr>
            <w:tcW w:w="955" w:type="dxa"/>
            <w:vAlign w:val="center"/>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QEO：6.2</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根据实际制定了质量、环境、职业健康安全目标，在相关职能、层次和过程上建立目标考虑了适用的要求，均可测量，与方针基本一致，并以公告、会议形式传达、培训和内部沟通等形式进行了传达。其中质量目标与产品和服务的符合性以及增强顾客满意有关。</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组织的的质量、环境和职业健康安全目标如下：</w:t>
            </w:r>
          </w:p>
          <w:p>
            <w:pPr>
              <w:pStyle w:val="2"/>
              <w:rPr>
                <w:rFonts w:hint="default"/>
                <w:lang w:val="en-US" w:eastAsia="zh-CN"/>
              </w:rPr>
            </w:pPr>
            <w:r>
              <w:rPr>
                <w:rFonts w:hint="eastAsia" w:ascii="等线" w:hAnsi="等线" w:eastAsia="等线" w:cs="等线"/>
                <w:sz w:val="21"/>
                <w:szCs w:val="21"/>
                <w:lang w:val="en-US" w:eastAsia="zh-CN"/>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numPr>
                      <w:ilvl w:val="0"/>
                      <w:numId w:val="0"/>
                    </w:numPr>
                    <w:spacing w:line="280" w:lineRule="exact"/>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目标</w:t>
                  </w:r>
                </w:p>
              </w:tc>
              <w:tc>
                <w:tcPr>
                  <w:tcW w:w="3136" w:type="dxa"/>
                  <w:shd w:val="clear" w:color="auto" w:fill="auto"/>
                  <w:vAlign w:val="center"/>
                </w:tcPr>
                <w:p>
                  <w:pPr>
                    <w:numPr>
                      <w:ilvl w:val="0"/>
                      <w:numId w:val="0"/>
                    </w:numPr>
                    <w:spacing w:line="280" w:lineRule="exact"/>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控制参数</w:t>
                  </w:r>
                </w:p>
              </w:tc>
              <w:tc>
                <w:tcPr>
                  <w:tcW w:w="1350" w:type="dxa"/>
                  <w:shd w:val="clear" w:color="auto" w:fill="auto"/>
                  <w:vAlign w:val="center"/>
                </w:tcPr>
                <w:p>
                  <w:pPr>
                    <w:numPr>
                      <w:ilvl w:val="0"/>
                      <w:numId w:val="0"/>
                    </w:numPr>
                    <w:spacing w:line="280" w:lineRule="exact"/>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责任部门</w:t>
                  </w:r>
                </w:p>
              </w:tc>
              <w:tc>
                <w:tcPr>
                  <w:tcW w:w="1774" w:type="dxa"/>
                  <w:shd w:val="clear" w:color="auto" w:fill="auto"/>
                  <w:vAlign w:val="center"/>
                </w:tcPr>
                <w:p>
                  <w:pPr>
                    <w:numPr>
                      <w:ilvl w:val="0"/>
                      <w:numId w:val="0"/>
                    </w:numPr>
                    <w:spacing w:line="280" w:lineRule="exact"/>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numPr>
                      <w:ilvl w:val="0"/>
                      <w:numId w:val="0"/>
                    </w:numPr>
                    <w:spacing w:line="280" w:lineRule="exact"/>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食品安全投诉率</w:t>
                  </w:r>
                </w:p>
              </w:tc>
              <w:tc>
                <w:tcPr>
                  <w:tcW w:w="3136"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低于1%</w:t>
                  </w:r>
                </w:p>
              </w:tc>
              <w:tc>
                <w:tcPr>
                  <w:tcW w:w="1350" w:type="dxa"/>
                  <w:shd w:val="clear" w:color="auto" w:fill="auto"/>
                  <w:vAlign w:val="center"/>
                </w:tcPr>
                <w:p>
                  <w:pPr>
                    <w:numPr>
                      <w:ilvl w:val="0"/>
                      <w:numId w:val="0"/>
                    </w:numPr>
                    <w:spacing w:line="280" w:lineRule="exact"/>
                    <w:ind w:left="0" w:leftChars="0"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numPr>
                      <w:ilvl w:val="0"/>
                      <w:numId w:val="0"/>
                    </w:numPr>
                    <w:spacing w:line="280" w:lineRule="exact"/>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产品验收合格率</w:t>
                  </w:r>
                </w:p>
              </w:tc>
              <w:tc>
                <w:tcPr>
                  <w:tcW w:w="3136"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100 %</w:t>
                  </w:r>
                </w:p>
              </w:tc>
              <w:tc>
                <w:tcPr>
                  <w:tcW w:w="1350" w:type="dxa"/>
                  <w:shd w:val="clear" w:color="auto" w:fill="auto"/>
                  <w:vAlign w:val="center"/>
                </w:tcPr>
                <w:p>
                  <w:pPr>
                    <w:numPr>
                      <w:ilvl w:val="0"/>
                      <w:numId w:val="0"/>
                    </w:numPr>
                    <w:spacing w:line="280" w:lineRule="exact"/>
                    <w:ind w:left="0" w:leftChars="0"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numPr>
                      <w:ilvl w:val="0"/>
                      <w:numId w:val="0"/>
                    </w:numPr>
                    <w:spacing w:line="280" w:lineRule="exact"/>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顾客满意度</w:t>
                  </w:r>
                </w:p>
              </w:tc>
              <w:tc>
                <w:tcPr>
                  <w:tcW w:w="3136"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≥90%</w:t>
                  </w:r>
                </w:p>
              </w:tc>
              <w:tc>
                <w:tcPr>
                  <w:tcW w:w="1350" w:type="dxa"/>
                  <w:shd w:val="clear" w:color="auto" w:fill="auto"/>
                  <w:vAlign w:val="center"/>
                </w:tcPr>
                <w:p>
                  <w:pPr>
                    <w:numPr>
                      <w:ilvl w:val="0"/>
                      <w:numId w:val="0"/>
                    </w:numPr>
                    <w:spacing w:line="280" w:lineRule="exact"/>
                    <w:ind w:left="0" w:leftChars="0"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numPr>
                      <w:ilvl w:val="0"/>
                      <w:numId w:val="0"/>
                    </w:numPr>
                    <w:spacing w:line="280" w:lineRule="exact"/>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重大食品安全事故为</w:t>
                  </w:r>
                </w:p>
              </w:tc>
              <w:tc>
                <w:tcPr>
                  <w:tcW w:w="3136"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c>
                <w:tcPr>
                  <w:tcW w:w="1350" w:type="dxa"/>
                  <w:shd w:val="clear" w:color="auto" w:fill="auto"/>
                  <w:vAlign w:val="center"/>
                </w:tcPr>
                <w:p>
                  <w:pPr>
                    <w:numPr>
                      <w:ilvl w:val="0"/>
                      <w:numId w:val="0"/>
                    </w:numPr>
                    <w:spacing w:line="280" w:lineRule="exact"/>
                    <w:ind w:left="0" w:leftChars="0"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交通意外事故</w:t>
                  </w:r>
                </w:p>
              </w:tc>
              <w:tc>
                <w:tcPr>
                  <w:tcW w:w="3136" w:type="dxa"/>
                  <w:shd w:val="clear" w:color="auto" w:fill="auto"/>
                  <w:vAlign w:val="center"/>
                </w:tcPr>
                <w:p>
                  <w:pPr>
                    <w:numPr>
                      <w:ilvl w:val="0"/>
                      <w:numId w:val="0"/>
                    </w:numPr>
                    <w:spacing w:line="280" w:lineRule="exact"/>
                    <w:ind w:firstLine="420" w:firstLineChars="20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0</w:t>
                  </w:r>
                </w:p>
              </w:tc>
              <w:tc>
                <w:tcPr>
                  <w:tcW w:w="1350" w:type="dxa"/>
                  <w:shd w:val="clear" w:color="auto" w:fill="auto"/>
                  <w:vAlign w:val="center"/>
                </w:tcPr>
                <w:p>
                  <w:pPr>
                    <w:numPr>
                      <w:ilvl w:val="0"/>
                      <w:numId w:val="0"/>
                    </w:numPr>
                    <w:spacing w:line="280" w:lineRule="exact"/>
                    <w:ind w:left="0" w:leftChars="0" w:firstLine="420" w:firstLineChars="20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91"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火灾事故</w:t>
                  </w:r>
                </w:p>
              </w:tc>
              <w:tc>
                <w:tcPr>
                  <w:tcW w:w="3136" w:type="dxa"/>
                  <w:shd w:val="clear" w:color="auto" w:fill="auto"/>
                  <w:vAlign w:val="center"/>
                </w:tcPr>
                <w:p>
                  <w:pPr>
                    <w:numPr>
                      <w:ilvl w:val="0"/>
                      <w:numId w:val="0"/>
                    </w:numPr>
                    <w:spacing w:line="280" w:lineRule="exact"/>
                    <w:ind w:firstLine="420" w:firstLineChars="20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0</w:t>
                  </w:r>
                </w:p>
              </w:tc>
              <w:tc>
                <w:tcPr>
                  <w:tcW w:w="1350" w:type="dxa"/>
                  <w:shd w:val="clear" w:color="auto" w:fill="auto"/>
                  <w:vAlign w:val="center"/>
                </w:tcPr>
                <w:p>
                  <w:pPr>
                    <w:numPr>
                      <w:ilvl w:val="0"/>
                      <w:numId w:val="0"/>
                    </w:numPr>
                    <w:spacing w:line="280" w:lineRule="exact"/>
                    <w:ind w:left="0" w:leftChars="0"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numPr>
                      <w:ilvl w:val="0"/>
                      <w:numId w:val="0"/>
                    </w:numPr>
                    <w:spacing w:line="280" w:lineRule="exact"/>
                    <w:ind w:firstLine="420" w:firstLineChars="20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触电</w:t>
                  </w:r>
                </w:p>
              </w:tc>
              <w:tc>
                <w:tcPr>
                  <w:tcW w:w="3136"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c>
                <w:tcPr>
                  <w:tcW w:w="1350" w:type="dxa"/>
                  <w:shd w:val="clear" w:color="auto" w:fill="auto"/>
                  <w:vAlign w:val="center"/>
                </w:tcPr>
                <w:p>
                  <w:pPr>
                    <w:numPr>
                      <w:ilvl w:val="0"/>
                      <w:numId w:val="0"/>
                    </w:numPr>
                    <w:spacing w:line="280" w:lineRule="exact"/>
                    <w:ind w:left="0" w:leftChars="0"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numPr>
                      <w:ilvl w:val="0"/>
                      <w:numId w:val="0"/>
                    </w:numPr>
                    <w:spacing w:line="280" w:lineRule="exact"/>
                    <w:ind w:firstLine="420" w:firstLineChars="20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冻伤事故</w:t>
                  </w:r>
                </w:p>
              </w:tc>
              <w:tc>
                <w:tcPr>
                  <w:tcW w:w="3136"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c>
                <w:tcPr>
                  <w:tcW w:w="1350" w:type="dxa"/>
                  <w:shd w:val="clear" w:color="auto" w:fill="auto"/>
                  <w:vAlign w:val="center"/>
                </w:tcPr>
                <w:p>
                  <w:pPr>
                    <w:numPr>
                      <w:ilvl w:val="0"/>
                      <w:numId w:val="0"/>
                    </w:numPr>
                    <w:spacing w:line="280" w:lineRule="exact"/>
                    <w:ind w:left="0" w:leftChars="0"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numPr>
                      <w:ilvl w:val="0"/>
                      <w:numId w:val="0"/>
                    </w:numPr>
                    <w:spacing w:line="280" w:lineRule="exact"/>
                    <w:jc w:val="center"/>
                    <w:rPr>
                      <w:rFonts w:hint="default" w:ascii="等线" w:hAnsi="等线" w:eastAsia="等线" w:cs="等线"/>
                      <w:sz w:val="21"/>
                      <w:szCs w:val="21"/>
                      <w:lang w:val="en-US" w:eastAsia="zh-CN"/>
                    </w:rPr>
                  </w:pPr>
                  <w:r>
                    <w:rPr>
                      <w:rFonts w:hint="default" w:ascii="等线" w:hAnsi="等线" w:eastAsia="等线" w:cs="等线"/>
                      <w:sz w:val="21"/>
                      <w:szCs w:val="21"/>
                      <w:lang w:val="en-US" w:eastAsia="zh-CN"/>
                    </w:rPr>
                    <w:t>废弃物垃圾处理率</w:t>
                  </w:r>
                </w:p>
              </w:tc>
              <w:tc>
                <w:tcPr>
                  <w:tcW w:w="3136" w:type="dxa"/>
                  <w:shd w:val="clear" w:color="auto" w:fill="auto"/>
                  <w:vAlign w:val="center"/>
                </w:tcPr>
                <w:p>
                  <w:pPr>
                    <w:numPr>
                      <w:ilvl w:val="0"/>
                      <w:numId w:val="0"/>
                    </w:numPr>
                    <w:spacing w:line="280" w:lineRule="exact"/>
                    <w:ind w:firstLine="420" w:firstLineChars="20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100</w:t>
                  </w:r>
                </w:p>
              </w:tc>
              <w:tc>
                <w:tcPr>
                  <w:tcW w:w="1350" w:type="dxa"/>
                  <w:shd w:val="clear" w:color="auto" w:fill="auto"/>
                  <w:vAlign w:val="center"/>
                </w:tcPr>
                <w:p>
                  <w:pPr>
                    <w:numPr>
                      <w:ilvl w:val="0"/>
                      <w:numId w:val="0"/>
                    </w:numPr>
                    <w:spacing w:line="280" w:lineRule="exact"/>
                    <w:ind w:left="0" w:leftChars="0"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numPr>
                      <w:ilvl w:val="0"/>
                      <w:numId w:val="0"/>
                    </w:numPr>
                    <w:spacing w:line="280" w:lineRule="exact"/>
                    <w:jc w:val="center"/>
                    <w:rPr>
                      <w:rFonts w:hint="default" w:ascii="等线" w:hAnsi="等线" w:eastAsia="等线" w:cs="等线"/>
                      <w:sz w:val="21"/>
                      <w:szCs w:val="21"/>
                      <w:lang w:val="en-US" w:eastAsia="zh-CN"/>
                    </w:rPr>
                  </w:pPr>
                  <w:r>
                    <w:rPr>
                      <w:rFonts w:hint="default" w:ascii="等线" w:hAnsi="等线" w:eastAsia="等线" w:cs="等线"/>
                      <w:sz w:val="21"/>
                      <w:szCs w:val="21"/>
                      <w:lang w:val="en-US" w:eastAsia="zh-CN"/>
                    </w:rPr>
                    <w:t>消防环保职业健康防护设施到位</w:t>
                  </w:r>
                </w:p>
              </w:tc>
              <w:tc>
                <w:tcPr>
                  <w:tcW w:w="3136" w:type="dxa"/>
                  <w:shd w:val="clear" w:color="auto" w:fill="auto"/>
                  <w:vAlign w:val="center"/>
                </w:tcPr>
                <w:p>
                  <w:pPr>
                    <w:numPr>
                      <w:ilvl w:val="0"/>
                      <w:numId w:val="0"/>
                    </w:numPr>
                    <w:spacing w:line="280" w:lineRule="exact"/>
                    <w:ind w:firstLine="420" w:firstLineChars="20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配备充分</w:t>
                  </w:r>
                </w:p>
              </w:tc>
              <w:tc>
                <w:tcPr>
                  <w:tcW w:w="1350" w:type="dxa"/>
                  <w:shd w:val="clear" w:color="auto" w:fill="auto"/>
                  <w:vAlign w:val="center"/>
                </w:tcPr>
                <w:p>
                  <w:pPr>
                    <w:numPr>
                      <w:ilvl w:val="0"/>
                      <w:numId w:val="0"/>
                    </w:numPr>
                    <w:spacing w:line="280" w:lineRule="exact"/>
                    <w:ind w:left="0" w:leftChars="0"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满足要求</w:t>
                  </w:r>
                </w:p>
              </w:tc>
            </w:tr>
          </w:tbl>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组织对质量、环境、职业健康安全目标、指标在相关职能层次上予以分解，基本能够满足要求，具体见各部门6.2目标监视记录。</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查见《食品安全目标分解考核表》、《职业健康和环境目标、指标管理方案考评记录》，均有相应的监视和评审记录，符合控制要求。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42" w:type="dxa"/>
          </w:tcPr>
          <w:p>
            <w:pPr>
              <w:spacing w:line="280" w:lineRule="exact"/>
              <w:jc w:val="left"/>
              <w:rPr>
                <w:rFonts w:hint="eastAsia" w:ascii="等线" w:hAnsi="等线" w:eastAsia="等线" w:cs="等线"/>
                <w:sz w:val="21"/>
                <w:szCs w:val="21"/>
              </w:rPr>
            </w:pPr>
            <w:r>
              <w:rPr>
                <w:rFonts w:hint="eastAsia" w:ascii="等线" w:hAnsi="等线" w:eastAsia="等线" w:cs="等线"/>
                <w:sz w:val="21"/>
                <w:szCs w:val="21"/>
              </w:rPr>
              <w:t>变更的策划</w:t>
            </w:r>
          </w:p>
          <w:p>
            <w:pPr>
              <w:spacing w:line="280" w:lineRule="exact"/>
              <w:rPr>
                <w:rFonts w:hint="eastAsia" w:ascii="等线" w:hAnsi="等线" w:eastAsia="等线" w:cs="等线"/>
                <w:sz w:val="21"/>
                <w:szCs w:val="21"/>
              </w:rPr>
            </w:pPr>
          </w:p>
        </w:tc>
        <w:tc>
          <w:tcPr>
            <w:tcW w:w="955"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Q6.3</w:t>
            </w:r>
          </w:p>
          <w:p>
            <w:pPr>
              <w:spacing w:line="280" w:lineRule="exact"/>
              <w:rPr>
                <w:rFonts w:hint="eastAsia" w:ascii="等线" w:hAnsi="等线" w:eastAsia="等线" w:cs="等线"/>
                <w:sz w:val="21"/>
                <w:szCs w:val="21"/>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经审核了解到，组织确定了需要对管理体系进行变更时应考虑以下内容：a）变更目的及其潜在后果；b）管理体系的完整性；c）资源的可获得性；d）责任和权限的分配与再分配。</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组织近一年来，暂无对管理体系的变更。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资源总则</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Q7.1.1</w:t>
            </w:r>
          </w:p>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EO7.1</w:t>
            </w: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公司的各项资源基本充分，包括：人力资源、基础设施、工作环境、技术、信息和组织知识等。 </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加工配送区：1500平方米其中包含：（冷冻库：500平方米、 常温仓库：1000平方米）、办公室：200平方米；</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提供了设备台帐，主要生产设备：常温运输车、冷冻运输车、电动叉车、冷冻库、常温库等；</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主要检测设备为农残检测仪、地磅等；</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公司目前工作人员共计26人，其中管理人员7人。 </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现场审核发现，组织配备了必要的人力资源、基础设施（如办公设施、仓库等），提供了基本的工作和销售环境、监视测量资源和必要的知识等，基本能够满足管理体系保持和改进的需求。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沟通</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QEO7.4</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组织编制了《信息交流管理程序》，规定了职责、流程，覆盖了质量、环境、职业健康安全管理体系相关的内部沟通和外部沟通的方法和要求，包括：沟通什么；何时沟通；与谁沟通；如何沟通；由谁负责内容。</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组织内外部沟通具体体现在内部工作会议、质量、环境、职业健康安全例会、员工的培训、宣传栏等，与外部的沟通具体体现在与环保、安监部门及顾客和供方的合同签订、满意度调查、合规性问题处理等方面。</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现场查阅：内部交流记录如方针、目标完成情况、内审和管理评审报告、不符合信息等；外部交流如通过采购、销售合同等与相关方就产品质量等相关要求进行沟通。</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管理评审</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QEO9.3</w:t>
            </w: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组织编制了《管理评审控制程序》，规定了评审时间、评审内容、计划安排、实施和报告的编制要求，内容基本完整，符合策划要求。</w:t>
            </w:r>
          </w:p>
          <w:p>
            <w:pPr>
              <w:numPr>
                <w:ilvl w:val="0"/>
                <w:numId w:val="0"/>
              </w:num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查见：2022年5月31日管理评审资料</w:t>
            </w:r>
            <w:bookmarkStart w:id="2" w:name="_GoBack"/>
            <w:bookmarkEnd w:id="2"/>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1.管理评审计划：包括评审依据、评审目的、评审内容等，除评审依据有待进一步确认外，内容基本完整，符合标准要求。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2.评审会议记录：内容包括时间、地点、主持人、记录人、参与人员和会议内容等，除未见参与人员手签外，基本满足记录控制要求。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3.管理评审报告：主要内容包括输入、输出和结论，输入内容基本完整，其中输出改进建议管理评审改进的问题如下：</w:t>
            </w:r>
          </w:p>
          <w:p>
            <w:pPr>
              <w:numPr>
                <w:ilvl w:val="0"/>
                <w:numId w:val="0"/>
              </w:numPr>
              <w:spacing w:line="280" w:lineRule="exact"/>
              <w:ind w:firstLine="420" w:firstLineChars="200"/>
              <w:rPr>
                <w:rFonts w:hint="eastAsia" w:ascii="等线" w:hAnsi="等线" w:eastAsia="等线" w:cs="等线"/>
                <w:sz w:val="21"/>
                <w:szCs w:val="21"/>
                <w:lang w:val="en-US" w:eastAsia="zh-CN"/>
              </w:rPr>
            </w:pPr>
            <w:bookmarkStart w:id="1" w:name="OLE_LINK1"/>
            <w:r>
              <w:rPr>
                <w:rFonts w:hint="eastAsia" w:ascii="等线" w:hAnsi="等线" w:eastAsia="等线" w:cs="等线"/>
                <w:sz w:val="21"/>
                <w:szCs w:val="21"/>
                <w:lang w:val="en-US" w:eastAsia="zh-CN"/>
              </w:rPr>
              <w:t>① 对办公区消防安全的配套设施配置要提高，提升消防演习的质量</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fldChar w:fldCharType="begin"/>
            </w:r>
            <w:r>
              <w:rPr>
                <w:rFonts w:hint="eastAsia" w:ascii="等线" w:hAnsi="等线" w:eastAsia="等线" w:cs="等线"/>
                <w:sz w:val="21"/>
                <w:szCs w:val="21"/>
                <w:lang w:val="en-US" w:eastAsia="zh-CN"/>
              </w:rPr>
              <w:instrText xml:space="preserve"> = 2 \* GB3 \* MERGEFORMAT </w:instrText>
            </w:r>
            <w:r>
              <w:rPr>
                <w:rFonts w:hint="eastAsia" w:ascii="等线" w:hAnsi="等线" w:eastAsia="等线" w:cs="等线"/>
                <w:sz w:val="21"/>
                <w:szCs w:val="21"/>
                <w:lang w:val="en-US" w:eastAsia="zh-CN"/>
              </w:rPr>
              <w:fldChar w:fldCharType="separate"/>
            </w:r>
            <w:r>
              <w:rPr>
                <w:rFonts w:hint="eastAsia" w:ascii="等线" w:hAnsi="等线" w:eastAsia="等线" w:cs="等线"/>
                <w:sz w:val="21"/>
                <w:szCs w:val="21"/>
                <w:lang w:val="en-US" w:eastAsia="zh-CN"/>
              </w:rPr>
              <w:t>②</w:t>
            </w:r>
            <w:r>
              <w:rPr>
                <w:rFonts w:hint="eastAsia" w:ascii="等线" w:hAnsi="等线" w:eastAsia="等线" w:cs="等线"/>
                <w:sz w:val="21"/>
                <w:szCs w:val="21"/>
                <w:lang w:val="en-US" w:eastAsia="zh-CN"/>
              </w:rPr>
              <w:fldChar w:fldCharType="end"/>
            </w:r>
            <w:r>
              <w:rPr>
                <w:rFonts w:hint="eastAsia" w:ascii="等线" w:hAnsi="等线" w:eastAsia="等线" w:cs="等线"/>
                <w:sz w:val="21"/>
                <w:szCs w:val="21"/>
                <w:lang w:val="en-US" w:eastAsia="zh-CN"/>
              </w:rPr>
              <w:t xml:space="preserve"> 加大市场开拓力度，保障平台交易规模达标</w:t>
            </w:r>
            <w:bookmarkEnd w:id="1"/>
            <w:r>
              <w:rPr>
                <w:rFonts w:hint="eastAsia" w:ascii="等线" w:hAnsi="等线" w:eastAsia="等线" w:cs="等线"/>
                <w:sz w:val="21"/>
                <w:szCs w:val="21"/>
                <w:lang w:val="en-US" w:eastAsia="zh-CN"/>
              </w:rPr>
              <w:t>；结论如下：QEO基本有效、充分和适宜，执行以上改进建议，加大QEO改进力度，以确保QEO整体绩效的提高。</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③ 加强配送环节的卫生安全记录的规范管理。责任部门：物流部、质检部</w:t>
            </w:r>
          </w:p>
          <w:p>
            <w:pPr>
              <w:numPr>
                <w:ilvl w:val="0"/>
                <w:numId w:val="0"/>
              </w:num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4.《QEO体系体系改进计划》：计划针对管理评审报告中的改进建议，实施改进内容，落实责任人和完成期限，并进行有效性评价，基本满足后续落实要求。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42" w:type="dxa"/>
          </w:tcPr>
          <w:p>
            <w:pPr>
              <w:numPr>
                <w:ilvl w:val="0"/>
                <w:numId w:val="0"/>
              </w:numPr>
              <w:spacing w:line="280" w:lineRule="exact"/>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改进及其持续性</w:t>
            </w: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QEO10.1/10.3</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综合全部审核证据发现，组织通过目标监视、内部审核、管理评审、不合格和纠正措施等各项活动落实改进要求，相关管理活动包括绩效和有效性监视等得到有效开展，改进的要求基本得到满足。  </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具体改进见各部门10.2条款记录。</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组织确定并选择改进机会，采取必要措施，满足顾客要求和增强顾客满意。</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包括：</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a) 改进产品或服务，以满足要求并关注未来的需求和期望；</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b) 纠正或减少不利影响；</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c) 改进管理体系绩效和有效性。</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对以下方面所需的监视、测量、分析和改进过程进行策划和实施：</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1.证实产品销售满足规定的要求；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2.确保管理体系的符合性；</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3.持续改进管理体系的有效性。</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根据不同过程、不同产品和不同要求，采取不同的方法进行监视、测量和分析。</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公司利用管理方针、目标、内审和外审、数据分析、纠正和预防措施以及管理评审，识别任何改进的机会，持续改进管理体系的适宜性、充分性和有效性。详见相关条款审核记录。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人数</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组织现有员工26人，与申报管理体系人数基本一致。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事故</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组织管理体系自运行以来，未发生质量、环境、职业健康安全事故。</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顾客投诉</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管理体系运行期间，组织有收到顾客的质量反馈记录，具体见供销部Q8.7，无投诉记录。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上级主管单位监督抽查</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近一年无上级主管部门对公司的在质量、环境、职业健康安全监督抽查</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遵纪守法情况</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目前组织经营过程中没有发生违反质量、环境和职业健康安全相关法律法规及其他要求的情况</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2" w:type="dxa"/>
          </w:tcPr>
          <w:p>
            <w:pPr>
              <w:numPr>
                <w:ilvl w:val="0"/>
                <w:numId w:val="0"/>
              </w:numPr>
              <w:spacing w:line="280" w:lineRule="exact"/>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监一阶段问题确认</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监一提出问题已整改，未再发生</w:t>
            </w:r>
          </w:p>
        </w:tc>
        <w:tc>
          <w:tcPr>
            <w:tcW w:w="851" w:type="dxa"/>
          </w:tcPr>
          <w:p>
            <w:pPr>
              <w:rPr>
                <w:color w:val="FF0000"/>
              </w:rPr>
            </w:pPr>
          </w:p>
        </w:tc>
      </w:tr>
    </w:tbl>
    <w:p>
      <w:pPr>
        <w:pStyle w:val="7"/>
      </w:pPr>
    </w:p>
    <w:p>
      <w:pPr>
        <w:pStyle w:val="7"/>
      </w:pPr>
    </w:p>
    <w:p>
      <w:pPr>
        <w:pStyle w:val="7"/>
      </w:pPr>
    </w:p>
    <w:p>
      <w:pPr>
        <w:pStyle w:val="7"/>
      </w:pPr>
    </w:p>
    <w:p>
      <w:pPr>
        <w:spacing w:line="480" w:lineRule="exact"/>
        <w:jc w:val="center"/>
        <w:rPr>
          <w:rFonts w:hint="eastAsia" w:asciiTheme="minorEastAsia" w:hAnsiTheme="minorEastAsia" w:eastAsiaTheme="minorEastAsia"/>
          <w:b/>
          <w:bCs/>
          <w:sz w:val="44"/>
          <w:szCs w:val="44"/>
        </w:rPr>
      </w:pPr>
    </w:p>
    <w:p>
      <w:pPr>
        <w:spacing w:line="48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过程与活动、</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抽样计划</w:t>
            </w:r>
          </w:p>
        </w:tc>
        <w:tc>
          <w:tcPr>
            <w:tcW w:w="960" w:type="dxa"/>
            <w:vMerge w:val="restart"/>
            <w:vAlign w:val="center"/>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涉及</w:t>
            </w:r>
          </w:p>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条款</w:t>
            </w:r>
          </w:p>
        </w:tc>
        <w:tc>
          <w:tcPr>
            <w:tcW w:w="10455"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受审核部门及区域：职业健康安全事务代表  孙志豪   陪同人员：刘朦朦</w:t>
            </w:r>
          </w:p>
        </w:tc>
        <w:tc>
          <w:tcPr>
            <w:tcW w:w="1134"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60" w:type="dxa"/>
            <w:vMerge w:val="continue"/>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0455" w:type="dxa"/>
            <w:vAlign w:val="center"/>
          </w:tcPr>
          <w:p>
            <w:pPr>
              <w:numPr>
                <w:ilvl w:val="0"/>
                <w:numId w:val="0"/>
              </w:num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审核员：张磊    审核时间：2022.8.15</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Merge w:val="continue"/>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60" w:type="dxa"/>
            <w:vMerge w:val="continue"/>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0455"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涉及标准条款：O：5.3/5.4/7.4</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职责权限</w:t>
            </w: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60"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O5.3</w:t>
            </w: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0455"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查该组织通过员工选举推举孙志豪为职业健康安全事务代表。</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职业健康安全事务代表的职责主要包括:</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1.参与公司职业健康安全方针、目标和管理方案的制定</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2.参与危险源的辨识、风险评价和控制措施的确定；</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3.参与适用于公司的职业健康安全法律法规和其它要求的识别与更新；</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4.代表员工就公司职业健康安全事项和公司最高管理层进行协商和沟通；</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5、参加事件的调查等。</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经询问，员工代表基本了解其职责情况，满足协商和参与机制的要求。</w:t>
            </w:r>
          </w:p>
        </w:tc>
        <w:tc>
          <w:tcPr>
            <w:tcW w:w="1134" w:type="dxa"/>
          </w:tcPr>
          <w:p>
            <w:pPr>
              <w:rPr>
                <w:rFonts w:hint="eastAsia" w:ascii="楷体" w:hAnsi="楷体" w:eastAsia="楷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160" w:type="dxa"/>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协商和沟通</w:t>
            </w:r>
          </w:p>
        </w:tc>
        <w:tc>
          <w:tcPr>
            <w:tcW w:w="960"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05.4、7.4</w:t>
            </w:r>
          </w:p>
        </w:tc>
        <w:tc>
          <w:tcPr>
            <w:tcW w:w="10455"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公司编制了《信息交流、沟通、参与和协商程序》，明确了内部外部信息交流的内容及职责，包含产品质量、重大危险源、重要环境因素、管理方针、应急控制等的交流规定，基本符合。</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经与员工代表：孙志豪 交流，体系运行中，通过信息联络单、口头、电话、办公会议、生产现场协调会等方式进行内部沟通，通过宣贯培训让员工充分认识到质量、环境、职业健康全体系的要求。对外部相关方（供方、合同方、顾客、上级、社区、进入厂区人员等）进行信息的交流方式：通过文件传真、接收通知、现场交流、合同协议、上网、施加影响等方式沟通协商，目前主要是接收上级通知；与供方通过合同就采购产品的环境方面的要求进行沟通；同时将本公司的环境及职业健康安全方面的要求以及法律法规通告相关方。</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员工代表的机制已建立运行，基本有效。</w:t>
            </w:r>
          </w:p>
        </w:tc>
        <w:tc>
          <w:tcPr>
            <w:tcW w:w="1134" w:type="dxa"/>
          </w:tcPr>
          <w:p>
            <w:pPr>
              <w:rPr>
                <w:rFonts w:ascii="楷体" w:hAnsi="楷体" w:eastAsia="楷体"/>
                <w:color w:val="FF0000"/>
                <w:sz w:val="24"/>
                <w:szCs w:val="24"/>
              </w:rPr>
            </w:pPr>
          </w:p>
        </w:tc>
      </w:tr>
    </w:tbl>
    <w:p>
      <w:pPr>
        <w:pStyle w:val="7"/>
        <w:rPr>
          <w:rFonts w:ascii="楷体" w:hAnsi="楷体" w:eastAsia="楷体"/>
          <w:color w:val="FF0000"/>
          <w:sz w:val="24"/>
          <w:szCs w:val="24"/>
        </w:rPr>
      </w:pPr>
    </w:p>
    <w:p>
      <w:pPr>
        <w:pStyle w:val="7"/>
        <w:rPr>
          <w:rFonts w:hint="default" w:ascii="楷体" w:hAnsi="楷体" w:eastAsia="楷体"/>
          <w:sz w:val="24"/>
          <w:szCs w:val="24"/>
          <w:lang w:val="en-US" w:eastAsia="zh-CN"/>
        </w:rPr>
      </w:pPr>
      <w:r>
        <w:rPr>
          <w:rFonts w:hint="eastAsia" w:ascii="楷体" w:hAnsi="楷体" w:eastAsia="楷体"/>
          <w:sz w:val="24"/>
          <w:szCs w:val="24"/>
        </w:rPr>
        <w:t>说明：不符合标注N</w:t>
      </w:r>
      <w:r>
        <w:rPr>
          <w:rFonts w:hint="eastAsia" w:ascii="楷体" w:hAnsi="楷体" w:eastAsia="楷体"/>
          <w:sz w:val="24"/>
          <w:szCs w:val="24"/>
          <w:lang w:eastAsia="zh-CN"/>
        </w:rPr>
        <w:t>，</w:t>
      </w:r>
      <w:r>
        <w:rPr>
          <w:rFonts w:hint="eastAsia" w:ascii="楷体" w:hAnsi="楷体" w:eastAsia="楷体"/>
          <w:sz w:val="24"/>
          <w:szCs w:val="24"/>
          <w:lang w:val="en-US" w:eastAsia="zh-CN"/>
        </w:rPr>
        <w:t>QEO记录已由组长进行整合。</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8"/>
      <w:pBdr>
        <w:bottom w:val="none" w:color="auto" w:sz="0" w:space="1"/>
      </w:pBdr>
      <w:spacing w:line="320" w:lineRule="exact"/>
      <w:jc w:val="left"/>
    </w:pPr>
    <w:r>
      <w:rPr>
        <w:rStyle w:val="14"/>
        <w:rFonts w:hint="default"/>
        <w:w w:val="90"/>
        <w:sz w:val="20"/>
      </w:rPr>
      <w:t xml:space="preserve"> </w:t>
    </w:r>
    <w:r>
      <w:rPr>
        <w:rStyle w:val="14"/>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9973B4"/>
    <w:rsid w:val="000043CB"/>
    <w:rsid w:val="00020F5A"/>
    <w:rsid w:val="000237F6"/>
    <w:rsid w:val="000258CD"/>
    <w:rsid w:val="0003373A"/>
    <w:rsid w:val="0005083C"/>
    <w:rsid w:val="000515B6"/>
    <w:rsid w:val="00054136"/>
    <w:rsid w:val="00057B91"/>
    <w:rsid w:val="0006102E"/>
    <w:rsid w:val="000710E4"/>
    <w:rsid w:val="000A1CA7"/>
    <w:rsid w:val="00110343"/>
    <w:rsid w:val="0012572F"/>
    <w:rsid w:val="00153691"/>
    <w:rsid w:val="00171A84"/>
    <w:rsid w:val="00183AB3"/>
    <w:rsid w:val="001A2D7F"/>
    <w:rsid w:val="00202B7C"/>
    <w:rsid w:val="0021156B"/>
    <w:rsid w:val="00221A32"/>
    <w:rsid w:val="00232E13"/>
    <w:rsid w:val="00240E2A"/>
    <w:rsid w:val="00245592"/>
    <w:rsid w:val="00253156"/>
    <w:rsid w:val="00317036"/>
    <w:rsid w:val="00337922"/>
    <w:rsid w:val="00340867"/>
    <w:rsid w:val="00341E11"/>
    <w:rsid w:val="00380837"/>
    <w:rsid w:val="003A198A"/>
    <w:rsid w:val="003C492E"/>
    <w:rsid w:val="003C588D"/>
    <w:rsid w:val="003D60E6"/>
    <w:rsid w:val="003F66D4"/>
    <w:rsid w:val="003F775B"/>
    <w:rsid w:val="00410914"/>
    <w:rsid w:val="004344A7"/>
    <w:rsid w:val="004378F3"/>
    <w:rsid w:val="00467CAB"/>
    <w:rsid w:val="004822F1"/>
    <w:rsid w:val="004B37F2"/>
    <w:rsid w:val="004D29D2"/>
    <w:rsid w:val="00517A1F"/>
    <w:rsid w:val="00532D38"/>
    <w:rsid w:val="00536930"/>
    <w:rsid w:val="0055558C"/>
    <w:rsid w:val="00564E53"/>
    <w:rsid w:val="005775A4"/>
    <w:rsid w:val="00595758"/>
    <w:rsid w:val="005D1743"/>
    <w:rsid w:val="005E67E9"/>
    <w:rsid w:val="005F3497"/>
    <w:rsid w:val="006056EA"/>
    <w:rsid w:val="00611ADE"/>
    <w:rsid w:val="0063797B"/>
    <w:rsid w:val="00643FD1"/>
    <w:rsid w:val="00644FE2"/>
    <w:rsid w:val="006570CF"/>
    <w:rsid w:val="0067640C"/>
    <w:rsid w:val="006811DA"/>
    <w:rsid w:val="006878FE"/>
    <w:rsid w:val="006A653A"/>
    <w:rsid w:val="006D7128"/>
    <w:rsid w:val="006E678B"/>
    <w:rsid w:val="00711024"/>
    <w:rsid w:val="0072280D"/>
    <w:rsid w:val="00727331"/>
    <w:rsid w:val="00735A80"/>
    <w:rsid w:val="007757F3"/>
    <w:rsid w:val="007E2BC3"/>
    <w:rsid w:val="007E4532"/>
    <w:rsid w:val="007E6AEB"/>
    <w:rsid w:val="008070EF"/>
    <w:rsid w:val="00887DAC"/>
    <w:rsid w:val="008902D5"/>
    <w:rsid w:val="008973EE"/>
    <w:rsid w:val="008D1417"/>
    <w:rsid w:val="0091039B"/>
    <w:rsid w:val="009203F9"/>
    <w:rsid w:val="00944B05"/>
    <w:rsid w:val="00945B4E"/>
    <w:rsid w:val="00971600"/>
    <w:rsid w:val="0099193A"/>
    <w:rsid w:val="009973B4"/>
    <w:rsid w:val="009C28C1"/>
    <w:rsid w:val="009C4F3D"/>
    <w:rsid w:val="009D0A76"/>
    <w:rsid w:val="009D28A3"/>
    <w:rsid w:val="009F7EED"/>
    <w:rsid w:val="00A26D39"/>
    <w:rsid w:val="00AB5D2F"/>
    <w:rsid w:val="00AF0AAB"/>
    <w:rsid w:val="00B14E98"/>
    <w:rsid w:val="00B32CBD"/>
    <w:rsid w:val="00B43D9F"/>
    <w:rsid w:val="00BA4C9C"/>
    <w:rsid w:val="00BE3113"/>
    <w:rsid w:val="00BE4C7C"/>
    <w:rsid w:val="00BF597E"/>
    <w:rsid w:val="00C01B6A"/>
    <w:rsid w:val="00C06CF5"/>
    <w:rsid w:val="00C15701"/>
    <w:rsid w:val="00C24584"/>
    <w:rsid w:val="00C34C6F"/>
    <w:rsid w:val="00C4072B"/>
    <w:rsid w:val="00C51A36"/>
    <w:rsid w:val="00C55228"/>
    <w:rsid w:val="00C66BF4"/>
    <w:rsid w:val="00C82DBB"/>
    <w:rsid w:val="00C85786"/>
    <w:rsid w:val="00CC18F0"/>
    <w:rsid w:val="00CD77B7"/>
    <w:rsid w:val="00CE315A"/>
    <w:rsid w:val="00D06F59"/>
    <w:rsid w:val="00D07DC3"/>
    <w:rsid w:val="00D26766"/>
    <w:rsid w:val="00D8388C"/>
    <w:rsid w:val="00D95366"/>
    <w:rsid w:val="00DC665C"/>
    <w:rsid w:val="00E04C1E"/>
    <w:rsid w:val="00E15AC5"/>
    <w:rsid w:val="00E22A1C"/>
    <w:rsid w:val="00E24B1E"/>
    <w:rsid w:val="00E55C79"/>
    <w:rsid w:val="00E611ED"/>
    <w:rsid w:val="00E67C82"/>
    <w:rsid w:val="00EB0164"/>
    <w:rsid w:val="00ED0F62"/>
    <w:rsid w:val="00EF2D1B"/>
    <w:rsid w:val="00F16DE8"/>
    <w:rsid w:val="00F2272E"/>
    <w:rsid w:val="00FB38B0"/>
    <w:rsid w:val="00FC2F86"/>
    <w:rsid w:val="00FD3466"/>
    <w:rsid w:val="011E7A06"/>
    <w:rsid w:val="06380A36"/>
    <w:rsid w:val="063C25A1"/>
    <w:rsid w:val="07A4486E"/>
    <w:rsid w:val="087F1978"/>
    <w:rsid w:val="0A5C1D75"/>
    <w:rsid w:val="0B1F7084"/>
    <w:rsid w:val="0B772A1C"/>
    <w:rsid w:val="0C160E49"/>
    <w:rsid w:val="0C2B0239"/>
    <w:rsid w:val="0CD619C5"/>
    <w:rsid w:val="0D3737A0"/>
    <w:rsid w:val="0E4D3F08"/>
    <w:rsid w:val="108219C2"/>
    <w:rsid w:val="112A2839"/>
    <w:rsid w:val="14F85F8E"/>
    <w:rsid w:val="162E7E37"/>
    <w:rsid w:val="16353C00"/>
    <w:rsid w:val="19122D9F"/>
    <w:rsid w:val="1BD34DBF"/>
    <w:rsid w:val="1C0F41E1"/>
    <w:rsid w:val="1D2A7848"/>
    <w:rsid w:val="1E5B1377"/>
    <w:rsid w:val="1EC70B1E"/>
    <w:rsid w:val="1F8D1CC6"/>
    <w:rsid w:val="1FC921BB"/>
    <w:rsid w:val="201024D2"/>
    <w:rsid w:val="20787CB3"/>
    <w:rsid w:val="21C5052E"/>
    <w:rsid w:val="233E7D73"/>
    <w:rsid w:val="245E76FD"/>
    <w:rsid w:val="249B49DE"/>
    <w:rsid w:val="27156060"/>
    <w:rsid w:val="291E06B3"/>
    <w:rsid w:val="29636C1E"/>
    <w:rsid w:val="2A4E3856"/>
    <w:rsid w:val="2C9D6971"/>
    <w:rsid w:val="2D22001E"/>
    <w:rsid w:val="2DDF2977"/>
    <w:rsid w:val="2DEE0C03"/>
    <w:rsid w:val="2E460035"/>
    <w:rsid w:val="2FF02762"/>
    <w:rsid w:val="2FF1178F"/>
    <w:rsid w:val="30487B20"/>
    <w:rsid w:val="310660E1"/>
    <w:rsid w:val="32700042"/>
    <w:rsid w:val="3309674B"/>
    <w:rsid w:val="33500512"/>
    <w:rsid w:val="33E52369"/>
    <w:rsid w:val="34DF59E3"/>
    <w:rsid w:val="35251994"/>
    <w:rsid w:val="370D2AA4"/>
    <w:rsid w:val="389A53B4"/>
    <w:rsid w:val="394F0285"/>
    <w:rsid w:val="3ABB3ABC"/>
    <w:rsid w:val="3CEE3266"/>
    <w:rsid w:val="3E7B0894"/>
    <w:rsid w:val="3F8A0269"/>
    <w:rsid w:val="41266FCC"/>
    <w:rsid w:val="42622B53"/>
    <w:rsid w:val="428B4B01"/>
    <w:rsid w:val="43394378"/>
    <w:rsid w:val="451C407E"/>
    <w:rsid w:val="45287C97"/>
    <w:rsid w:val="477B65CF"/>
    <w:rsid w:val="4A251A07"/>
    <w:rsid w:val="4B9F4176"/>
    <w:rsid w:val="4F4626F3"/>
    <w:rsid w:val="4F541FFE"/>
    <w:rsid w:val="4F5902F9"/>
    <w:rsid w:val="4F9B39AA"/>
    <w:rsid w:val="506C2B19"/>
    <w:rsid w:val="50777BEB"/>
    <w:rsid w:val="5498048B"/>
    <w:rsid w:val="55A14F6F"/>
    <w:rsid w:val="57223928"/>
    <w:rsid w:val="57572313"/>
    <w:rsid w:val="58373ECD"/>
    <w:rsid w:val="5D211DB5"/>
    <w:rsid w:val="5D252FC1"/>
    <w:rsid w:val="5EA12B9A"/>
    <w:rsid w:val="5FBA1AA4"/>
    <w:rsid w:val="5FC9520A"/>
    <w:rsid w:val="6181075C"/>
    <w:rsid w:val="619D4BEE"/>
    <w:rsid w:val="61D125C8"/>
    <w:rsid w:val="62A80882"/>
    <w:rsid w:val="63691DC0"/>
    <w:rsid w:val="63EC06B9"/>
    <w:rsid w:val="643B4F0D"/>
    <w:rsid w:val="65510D5D"/>
    <w:rsid w:val="66C96E18"/>
    <w:rsid w:val="67366F9E"/>
    <w:rsid w:val="677D5E3A"/>
    <w:rsid w:val="6AD3765D"/>
    <w:rsid w:val="6CDF2E3F"/>
    <w:rsid w:val="6DF51A8E"/>
    <w:rsid w:val="6E7F4B8D"/>
    <w:rsid w:val="731E2CB7"/>
    <w:rsid w:val="794F33AE"/>
    <w:rsid w:val="7BEE7B80"/>
    <w:rsid w:val="7D315490"/>
    <w:rsid w:val="7DDA5D59"/>
    <w:rsid w:val="7EFC4B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spacing w:line="400" w:lineRule="atLeast"/>
      <w:jc w:val="center"/>
      <w:outlineLvl w:val="1"/>
    </w:pPr>
    <w:rPr>
      <w:spacing w:val="8"/>
      <w:sz w:val="36"/>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Plain Text"/>
    <w:basedOn w:val="1"/>
    <w:qFormat/>
    <w:uiPriority w:val="0"/>
    <w:rPr>
      <w:rFonts w:ascii="宋体" w:hAnsi="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 w:type="paragraph" w:styleId="16">
    <w:name w:val="List Paragraph"/>
    <w:basedOn w:val="1"/>
    <w:unhideWhenUsed/>
    <w:qFormat/>
    <w:uiPriority w:val="99"/>
    <w:pPr>
      <w:ind w:firstLine="420" w:firstLineChars="200"/>
    </w:p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121"/>
    <w:basedOn w:val="10"/>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C30B4-3874-4EAB-907F-C95F63792998}">
  <ds:schemaRefs/>
</ds:datastoreItem>
</file>

<file path=docProps/app.xml><?xml version="1.0" encoding="utf-8"?>
<Properties xmlns="http://schemas.openxmlformats.org/officeDocument/2006/extended-properties" xmlns:vt="http://schemas.openxmlformats.org/officeDocument/2006/docPropsVTypes">
  <Template>Normal.dotm</Template>
  <Pages>7</Pages>
  <Words>5804</Words>
  <Characters>6088</Characters>
  <Lines>118</Lines>
  <Paragraphs>33</Paragraphs>
  <TotalTime>4</TotalTime>
  <ScaleCrop>false</ScaleCrop>
  <LinksUpToDate>false</LinksUpToDate>
  <CharactersWithSpaces>6152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2020-07-27T02:13:00Z</dcterms:created>
  <dc:creator>微软用户</dc:creator>
  <cp:lastModifiedBy>春华秋实</cp:lastModifiedBy>
  <dcterms:modified xsi:type="dcterms:W3CDTF">2022-08-15T08:59:54Z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F90B8605125C46DFBD1ADA302EAA73A7</vt:lpwstr>
  </property>
</Properties>
</file>