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0976-2021-Q-2022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250"/>
        <w:gridCol w:w="891"/>
        <w:gridCol w:w="899"/>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邢台市鼎讯通信工程有限公司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Q:ISC-Q-2021-1761,E:,O: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91130503067044518M</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xml:space="preserve">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E勾选"/>
            <w:r>
              <w:rPr>
                <w:rFonts w:hint="eastAsia"/>
                <w:sz w:val="22"/>
                <w:szCs w:val="22"/>
              </w:rPr>
              <w:t>■</w:t>
            </w:r>
            <w:bookmarkEnd w:id="5"/>
            <w:r>
              <w:rPr>
                <w:rFonts w:hint="eastAsia"/>
                <w:sz w:val="22"/>
                <w:szCs w:val="22"/>
              </w:rPr>
              <w:t xml:space="preserve"> GB/T 24001-2016 idt ISO 14001:2015标准；</w:t>
            </w:r>
          </w:p>
          <w:p>
            <w:pPr>
              <w:snapToGrid w:val="0"/>
              <w:spacing w:line="0" w:lineRule="atLeast"/>
              <w:jc w:val="left"/>
              <w:rPr>
                <w:sz w:val="22"/>
                <w:szCs w:val="22"/>
              </w:rPr>
            </w:pPr>
            <w:bookmarkStart w:id="6" w:name="S勾选"/>
            <w:r>
              <w:rPr>
                <w:rFonts w:hint="eastAsia"/>
                <w:sz w:val="22"/>
                <w:szCs w:val="22"/>
              </w:rPr>
              <w:t>■</w:t>
            </w:r>
            <w:bookmarkEnd w:id="6"/>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7" w:name="体系人数"/>
            <w:r>
              <w:rPr>
                <w:sz w:val="22"/>
                <w:szCs w:val="22"/>
              </w:rPr>
              <w:t>Q:25,E:25,O:25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8" w:name="初审"/>
            <w:r>
              <w:rPr>
                <w:rFonts w:hint="eastAsia"/>
                <w:b/>
                <w:color w:val="000000" w:themeColor="text1"/>
                <w:spacing w:val="-2"/>
                <w:sz w:val="21"/>
                <w:szCs w:val="21"/>
              </w:rPr>
              <w:t>□</w:t>
            </w:r>
            <w:bookmarkEnd w:id="8"/>
            <w:r>
              <w:rPr>
                <w:rFonts w:hint="eastAsia"/>
                <w:b/>
                <w:color w:val="000000" w:themeColor="text1"/>
                <w:spacing w:val="-2"/>
                <w:sz w:val="21"/>
                <w:szCs w:val="21"/>
              </w:rPr>
              <w:t>初次认证□监督审核</w:t>
            </w:r>
            <w:bookmarkStart w:id="9" w:name="再认证勾选"/>
            <w:r>
              <w:rPr>
                <w:rFonts w:hint="eastAsia"/>
                <w:b/>
                <w:color w:val="000000" w:themeColor="text1"/>
                <w:spacing w:val="-2"/>
                <w:sz w:val="21"/>
                <w:szCs w:val="21"/>
              </w:rPr>
              <w:t>■</w:t>
            </w:r>
            <w:bookmarkEnd w:id="9"/>
            <w:r>
              <w:rPr>
                <w:rFonts w:hint="eastAsia"/>
                <w:b/>
                <w:color w:val="000000" w:themeColor="text1"/>
                <w:spacing w:val="-2"/>
                <w:sz w:val="21"/>
                <w:szCs w:val="21"/>
                <w:lang w:val="en-US" w:eastAsia="zh-CN"/>
              </w:rPr>
              <w:t>EO</w:t>
            </w:r>
            <w:r>
              <w:rPr>
                <w:rFonts w:hint="eastAsia"/>
                <w:b/>
                <w:color w:val="000000" w:themeColor="text1"/>
                <w:spacing w:val="-2"/>
                <w:sz w:val="21"/>
                <w:szCs w:val="21"/>
              </w:rPr>
              <w:t>再认证</w:t>
            </w:r>
            <w:bookmarkStart w:id="10" w:name="特殊审核勾选"/>
            <w:r>
              <w:rPr>
                <w:rFonts w:hint="eastAsia"/>
                <w:b/>
                <w:color w:val="000000" w:themeColor="text1"/>
                <w:spacing w:val="-2"/>
                <w:sz w:val="21"/>
                <w:szCs w:val="21"/>
              </w:rPr>
              <w:t>□</w:t>
            </w:r>
            <w:bookmarkEnd w:id="10"/>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250" w:type="dxa"/>
          </w:tcPr>
          <w:p>
            <w:pPr>
              <w:snapToGrid w:val="0"/>
              <w:spacing w:line="0" w:lineRule="atLeast"/>
              <w:jc w:val="left"/>
              <w:rPr>
                <w:sz w:val="22"/>
                <w:szCs w:val="22"/>
              </w:rPr>
            </w:pPr>
            <w:r>
              <w:rPr>
                <w:rFonts w:hint="eastAsia"/>
                <w:sz w:val="22"/>
                <w:szCs w:val="22"/>
                <w:lang w:val="en-GB"/>
              </w:rPr>
              <w:t>中文公司名称及地址</w:t>
            </w:r>
          </w:p>
        </w:tc>
        <w:tc>
          <w:tcPr>
            <w:tcW w:w="5136"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250" w:type="dxa"/>
          </w:tcPr>
          <w:p>
            <w:pPr>
              <w:snapToGrid w:val="0"/>
              <w:spacing w:line="0" w:lineRule="atLeast"/>
              <w:jc w:val="left"/>
              <w:rPr>
                <w:sz w:val="22"/>
                <w:szCs w:val="22"/>
                <w:lang w:val="en-GB"/>
              </w:rPr>
            </w:pPr>
            <w:bookmarkStart w:id="11" w:name="组织名称Add1"/>
            <w:r>
              <w:rPr>
                <w:rFonts w:hint="eastAsia"/>
                <w:sz w:val="22"/>
                <w:szCs w:val="22"/>
              </w:rPr>
              <w:t>邢台市鼎讯通信工程有限公司</w:t>
            </w:r>
            <w:bookmarkEnd w:id="11"/>
          </w:p>
        </w:tc>
        <w:tc>
          <w:tcPr>
            <w:tcW w:w="5136" w:type="dxa"/>
            <w:gridSpan w:val="4"/>
            <w:vMerge w:val="restart"/>
          </w:tcPr>
          <w:p>
            <w:pPr>
              <w:snapToGrid w:val="0"/>
              <w:spacing w:line="0" w:lineRule="atLeast"/>
              <w:jc w:val="left"/>
              <w:rPr>
                <w:sz w:val="22"/>
                <w:szCs w:val="22"/>
              </w:rPr>
            </w:pPr>
            <w:bookmarkStart w:id="12" w:name="审核范围"/>
            <w:r>
              <w:rPr>
                <w:sz w:val="22"/>
                <w:szCs w:val="22"/>
              </w:rPr>
              <w:t>E：通信业务网络、电信支撑网络、电信基础网络系统集成所涉及场所的相关环境管理活动</w:t>
            </w:r>
          </w:p>
          <w:p>
            <w:pPr>
              <w:snapToGrid w:val="0"/>
              <w:spacing w:line="0" w:lineRule="atLeast"/>
              <w:jc w:val="left"/>
              <w:rPr>
                <w:sz w:val="22"/>
                <w:szCs w:val="22"/>
              </w:rPr>
            </w:pPr>
            <w:r>
              <w:rPr>
                <w:sz w:val="22"/>
                <w:szCs w:val="22"/>
              </w:rPr>
              <w:t>O：通信业务网络、电信支撑网络、电信基础网络系统集成所涉及场所的相关职业健康安全管理活动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250" w:type="dxa"/>
          </w:tcPr>
          <w:p>
            <w:pPr>
              <w:snapToGrid w:val="0"/>
              <w:spacing w:line="0" w:lineRule="atLeast"/>
              <w:jc w:val="left"/>
              <w:rPr>
                <w:sz w:val="22"/>
                <w:szCs w:val="22"/>
              </w:rPr>
            </w:pPr>
            <w:bookmarkStart w:id="13" w:name="注册地址"/>
            <w:r>
              <w:rPr>
                <w:rFonts w:hint="eastAsia"/>
                <w:sz w:val="22"/>
                <w:szCs w:val="22"/>
                <w:lang w:val="en-GB"/>
              </w:rPr>
              <w:t>河北省邢台市信都区锦鼎广场2号楼8层807室</w:t>
            </w:r>
            <w:bookmarkEnd w:id="13"/>
          </w:p>
        </w:tc>
        <w:tc>
          <w:tcPr>
            <w:tcW w:w="513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250" w:type="dxa"/>
          </w:tcPr>
          <w:p>
            <w:pPr>
              <w:snapToGrid w:val="0"/>
              <w:spacing w:line="0" w:lineRule="atLeast"/>
              <w:jc w:val="left"/>
              <w:rPr>
                <w:sz w:val="22"/>
                <w:szCs w:val="22"/>
              </w:rPr>
            </w:pPr>
            <w:bookmarkStart w:id="14" w:name="办公地址"/>
            <w:r>
              <w:rPr>
                <w:rFonts w:hint="eastAsia"/>
                <w:sz w:val="22"/>
                <w:szCs w:val="22"/>
                <w:lang w:val="en-GB"/>
              </w:rPr>
              <w:t>河北省邢台市信都区郭守敬北路386号</w:t>
            </w:r>
            <w:bookmarkEnd w:id="14"/>
          </w:p>
        </w:tc>
        <w:tc>
          <w:tcPr>
            <w:tcW w:w="5136"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250"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136"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250" w:type="dxa"/>
          </w:tcPr>
          <w:p>
            <w:pPr>
              <w:snapToGrid w:val="0"/>
              <w:spacing w:line="0" w:lineRule="atLeast"/>
              <w:jc w:val="left"/>
              <w:rPr>
                <w:sz w:val="22"/>
                <w:szCs w:val="22"/>
              </w:rPr>
            </w:pPr>
            <w:r>
              <w:rPr>
                <w:rFonts w:hint="eastAsia" w:ascii="Times New Roman" w:hAnsi="Times New Roman" w:eastAsia="宋体" w:cs="Times New Roman"/>
                <w:b/>
                <w:color w:val="000000" w:themeColor="text1"/>
                <w:kern w:val="2"/>
                <w:sz w:val="22"/>
                <w:szCs w:val="22"/>
                <w:u w:val="none"/>
                <w:lang w:val="en-US" w:eastAsia="zh-CN" w:bidi="ar-SA"/>
              </w:rPr>
              <w:t>Xingtai Dingxun communication engineering co., LTD</w:t>
            </w:r>
          </w:p>
        </w:tc>
        <w:tc>
          <w:tcPr>
            <w:tcW w:w="891" w:type="dxa"/>
          </w:tcPr>
          <w:p>
            <w:pPr>
              <w:snapToGrid w:val="0"/>
              <w:spacing w:line="0" w:lineRule="atLeast"/>
              <w:jc w:val="left"/>
              <w:rPr>
                <w:sz w:val="22"/>
                <w:szCs w:val="22"/>
              </w:rPr>
            </w:pPr>
            <w:r>
              <w:rPr>
                <w:rFonts w:hint="eastAsia"/>
                <w:sz w:val="22"/>
                <w:szCs w:val="22"/>
              </w:rPr>
              <w:t>EMS</w:t>
            </w:r>
          </w:p>
        </w:tc>
        <w:tc>
          <w:tcPr>
            <w:tcW w:w="4245" w:type="dxa"/>
            <w:gridSpan w:val="3"/>
          </w:tcPr>
          <w:p>
            <w:pPr>
              <w:snapToGrid w:val="0"/>
              <w:spacing w:line="0" w:lineRule="atLeast"/>
              <w:jc w:val="left"/>
              <w:rPr>
                <w:sz w:val="21"/>
                <w:szCs w:val="16"/>
              </w:rPr>
            </w:pPr>
            <w:r>
              <w:rPr>
                <w:rFonts w:ascii="Times New Roman"/>
                <w:bCs/>
                <w:sz w:val="24"/>
                <w:szCs w:val="24"/>
              </w:rPr>
              <w:t xml:space="preserve">The Relative Environment Management Activities about </w:t>
            </w:r>
            <w:r>
              <w:rPr>
                <w:rFonts w:hint="eastAsia" w:ascii="Times New Roman"/>
                <w:bCs/>
                <w:sz w:val="24"/>
                <w:szCs w:val="24"/>
              </w:rPr>
              <w:t>Communications networks, telecommunications support network, telecommunications network systems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250" w:type="dxa"/>
          </w:tcPr>
          <w:p>
            <w:pPr>
              <w:snapToGrid w:val="0"/>
              <w:spacing w:line="0" w:lineRule="atLeast"/>
              <w:jc w:val="left"/>
              <w:rPr>
                <w:sz w:val="22"/>
                <w:szCs w:val="22"/>
              </w:rPr>
            </w:pPr>
            <w:r>
              <w:rPr>
                <w:rFonts w:hint="eastAsia" w:ascii="Times New Roman" w:hAnsi="Times New Roman" w:eastAsia="宋体" w:cs="Times New Roman"/>
                <w:b w:val="0"/>
                <w:kern w:val="2"/>
                <w:sz w:val="22"/>
                <w:szCs w:val="22"/>
                <w:lang w:val="en-US" w:eastAsia="zh-CN" w:bidi="ar-SA"/>
              </w:rPr>
              <w:t>Room 807, floor 8, building 2, Jinding Plaza, Xindu District, Xingtai City, Hebei Province</w:t>
            </w:r>
          </w:p>
        </w:tc>
        <w:tc>
          <w:tcPr>
            <w:tcW w:w="891" w:type="dxa"/>
            <w:vMerge w:val="restart"/>
          </w:tcPr>
          <w:p>
            <w:pPr>
              <w:snapToGrid w:val="0"/>
              <w:spacing w:line="0" w:lineRule="atLeast"/>
              <w:jc w:val="left"/>
              <w:rPr>
                <w:sz w:val="22"/>
                <w:szCs w:val="22"/>
              </w:rPr>
            </w:pPr>
            <w:r>
              <w:rPr>
                <w:rFonts w:hint="eastAsia"/>
                <w:sz w:val="22"/>
                <w:szCs w:val="22"/>
              </w:rPr>
              <w:t>OHSMS</w:t>
            </w:r>
          </w:p>
        </w:tc>
        <w:tc>
          <w:tcPr>
            <w:tcW w:w="4245" w:type="dxa"/>
            <w:gridSpan w:val="3"/>
            <w:vMerge w:val="restart"/>
          </w:tcPr>
          <w:p>
            <w:pPr>
              <w:snapToGrid w:val="0"/>
              <w:spacing w:line="0" w:lineRule="atLeast"/>
              <w:jc w:val="left"/>
              <w:rPr>
                <w:sz w:val="22"/>
                <w:szCs w:val="22"/>
              </w:rPr>
            </w:pPr>
            <w:r>
              <w:rPr>
                <w:rFonts w:ascii="Times New Roman"/>
                <w:bCs/>
                <w:sz w:val="24"/>
                <w:szCs w:val="24"/>
              </w:rPr>
              <w:t>The Relative Occupational Health Safety Management Activities about</w:t>
            </w:r>
            <w:r>
              <w:rPr>
                <w:rFonts w:hint="eastAsia" w:ascii="Times New Roman"/>
                <w:bCs/>
                <w:sz w:val="24"/>
                <w:szCs w:val="24"/>
                <w:lang w:val="en-US" w:eastAsia="zh-CN"/>
              </w:rPr>
              <w:t xml:space="preserve"> </w:t>
            </w:r>
            <w:r>
              <w:rPr>
                <w:rFonts w:hint="eastAsia" w:ascii="Times New Roman"/>
                <w:bCs/>
                <w:sz w:val="24"/>
                <w:szCs w:val="24"/>
              </w:rPr>
              <w:t>Communications networks, telecommunications support network, telecommunications network systems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250" w:type="dxa"/>
          </w:tcPr>
          <w:p>
            <w:pPr>
              <w:snapToGrid w:val="0"/>
              <w:spacing w:line="0" w:lineRule="atLeast"/>
              <w:jc w:val="left"/>
              <w:rPr>
                <w:sz w:val="22"/>
                <w:szCs w:val="22"/>
              </w:rPr>
            </w:pPr>
            <w:r>
              <w:rPr>
                <w:rFonts w:hint="eastAsia" w:cs="Arial"/>
                <w:b/>
                <w:bCs/>
                <w:sz w:val="22"/>
                <w:szCs w:val="16"/>
                <w:lang w:val="en-US" w:eastAsia="zh-CN"/>
              </w:rPr>
              <w:t>No. 386, GuoShouJing North Road, Xindu District, Xingtai City, Hebei Province</w:t>
            </w:r>
          </w:p>
        </w:tc>
        <w:tc>
          <w:tcPr>
            <w:tcW w:w="891" w:type="dxa"/>
            <w:vMerge w:val="continue"/>
          </w:tcPr>
          <w:p>
            <w:pPr>
              <w:snapToGrid w:val="0"/>
              <w:spacing w:line="0" w:lineRule="atLeast"/>
              <w:jc w:val="left"/>
              <w:rPr>
                <w:sz w:val="22"/>
                <w:szCs w:val="22"/>
              </w:rPr>
            </w:pPr>
          </w:p>
        </w:tc>
        <w:tc>
          <w:tcPr>
            <w:tcW w:w="4245"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rFonts w:hint="eastAsia"/>
        </w:rPr>
      </w:pPr>
      <w:r>
        <w:rPr>
          <w:rFonts w:hint="eastAsia"/>
        </w:rPr>
        <w:t>7、翻译费用可直接与审核费用一同汇入我公司账户或由审核组长从现场带回。</w:t>
      </w:r>
    </w:p>
    <w:p>
      <w:pPr>
        <w:snapToGrid w:val="0"/>
        <w:spacing w:line="0" w:lineRule="atLeast"/>
        <w:rPr>
          <w:rFonts w:hint="eastAsia" w:eastAsia="宋体"/>
          <w:lang w:val="en-GB" w:eastAsia="zh-CN"/>
        </w:rPr>
      </w:pPr>
      <w:r>
        <w:rPr>
          <w:rFonts w:hint="eastAsia" w:eastAsia="宋体"/>
          <w:lang w:val="en-GB" w:eastAsia="zh-CN"/>
        </w:rPr>
        <w:drawing>
          <wp:inline distT="0" distB="0" distL="114300" distR="114300">
            <wp:extent cx="6149975" cy="8859520"/>
            <wp:effectExtent l="0" t="0" r="9525" b="5080"/>
            <wp:docPr id="1" name="图片 1" descr="新文档 2022-08-19 11.45.23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19 11.45.23_24"/>
                    <pic:cNvPicPr>
                      <a:picLocks noChangeAspect="1"/>
                    </pic:cNvPicPr>
                  </pic:nvPicPr>
                  <pic:blipFill>
                    <a:blip r:embed="rId5"/>
                    <a:stretch>
                      <a:fillRect/>
                    </a:stretch>
                  </pic:blipFill>
                  <pic:spPr>
                    <a:xfrm>
                      <a:off x="0" y="0"/>
                      <a:ext cx="6149975" cy="8859520"/>
                    </a:xfrm>
                    <a:prstGeom prst="rect">
                      <a:avLst/>
                    </a:prstGeom>
                  </pic:spPr>
                </pic:pic>
              </a:graphicData>
            </a:graphic>
          </wp:inline>
        </w:drawing>
      </w:r>
      <w:bookmarkStart w:id="15" w:name="_GoBack"/>
      <w:bookmarkEnd w:id="15"/>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3D676A14"/>
    <w:rsid w:val="49330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2022-08-20T07:32:39Z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