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b/>
          <w:bCs/>
          <w:sz w:val="32"/>
          <w:szCs w:val="32"/>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江苏通鼎宽带有限公司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w:t>
      </w:r>
      <w:bookmarkStart w:id="11" w:name="_GoBack"/>
      <w:bookmarkEnd w:id="11"/>
      <w:r>
        <w:rPr>
          <w:rFonts w:hint="eastAsia" w:ascii="宋体" w:hAnsi="宋体"/>
          <w:spacing w:val="80"/>
          <w:sz w:val="32"/>
        </w:rPr>
        <w:t xml:space="preserve">   号</w:t>
      </w:r>
      <w:r>
        <w:rPr>
          <w:rFonts w:hint="eastAsia" w:ascii="宋体" w:hAnsi="宋体"/>
          <w:sz w:val="32"/>
        </w:rPr>
        <w:t>：</w:t>
      </w:r>
      <w:bookmarkStart w:id="2" w:name="合同编号"/>
      <w:r>
        <w:rPr>
          <w:rFonts w:hint="eastAsia" w:ascii="宋体" w:hAnsi="宋体"/>
          <w:b/>
          <w:bCs/>
          <w:sz w:val="32"/>
          <w:u w:val="single"/>
        </w:rPr>
        <w:t>0061-2018-2022</w:t>
      </w:r>
      <w:bookmarkEnd w:id="2"/>
      <w:r>
        <w:rPr>
          <w:rFonts w:hint="eastAsia" w:ascii="宋体" w:hAnsi="宋体"/>
          <w:b/>
          <w:bCs/>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0061-2018-2022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江苏通鼎宽带有限公司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芦国斌</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ISC-2018-0267</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2023-06-24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四</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2022年08月20日 上午</w:t>
            </w:r>
            <w:bookmarkEnd w:id="9"/>
            <w:r>
              <w:rPr>
                <w:rFonts w:hint="eastAsia" w:cs="宋体" w:asciiTheme="minorEastAsia" w:hAnsiTheme="minorEastAsia"/>
                <w:kern w:val="0"/>
                <w:szCs w:val="21"/>
                <w:lang w:val="en-US" w:eastAsia="zh-CN"/>
              </w:rPr>
              <w:t>至</w:t>
            </w:r>
            <w:r>
              <w:rPr>
                <w:rFonts w:cs="宋体" w:asciiTheme="minorEastAsia" w:hAnsiTheme="minorEastAsia"/>
                <w:kern w:val="0"/>
                <w:szCs w:val="21"/>
              </w:rPr>
              <w:t xml:space="preserve">2022年08月20日 </w:t>
            </w:r>
            <w:r>
              <w:rPr>
                <w:rFonts w:hint="eastAsia" w:cs="宋体" w:asciiTheme="minorEastAsia" w:hAnsiTheme="minorEastAsia"/>
                <w:kern w:val="0"/>
                <w:szCs w:val="21"/>
                <w:lang w:val="en-US"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cs="宋体"/>
                <w:kern w:val="0"/>
                <w:szCs w:val="21"/>
              </w:rPr>
            </w:pPr>
            <w:r>
              <w:rPr>
                <w:rFonts w:hint="eastAsia" w:ascii="宋体" w:hAnsi="宋体" w:cs="宋体"/>
                <w:kern w:val="0"/>
                <w:szCs w:val="21"/>
                <w:lang w:val="en-US" w:eastAsia="zh-CN"/>
              </w:rPr>
              <w:t>黄金荣，2</w:t>
            </w:r>
            <w:r>
              <w:rPr>
                <w:rFonts w:ascii="宋体" w:hAnsi="宋体" w:cs="宋体"/>
                <w:kern w:val="0"/>
                <w:szCs w:val="21"/>
              </w:rPr>
              <w:t>021-M1MMS-2227641</w:t>
            </w:r>
          </w:p>
          <w:p>
            <w:pPr>
              <w:tabs>
                <w:tab w:val="left" w:pos="880"/>
              </w:tabs>
              <w:autoSpaceDE w:val="0"/>
              <w:autoSpaceDN w:val="0"/>
              <w:adjustRightInd w:val="0"/>
              <w:spacing w:before="35" w:line="276" w:lineRule="auto"/>
              <w:ind w:right="161"/>
              <w:rPr>
                <w:rFonts w:ascii="宋体" w:hAnsi="宋体" w:cs="宋体"/>
                <w:kern w:val="0"/>
                <w:szCs w:val="21"/>
              </w:rPr>
            </w:pPr>
            <w:r>
              <w:rPr>
                <w:rFonts w:hint="eastAsia" w:ascii="宋体" w:hAnsi="宋体" w:cs="宋体"/>
                <w:kern w:val="0"/>
                <w:szCs w:val="21"/>
                <w:lang w:val="en-US" w:eastAsia="zh-CN"/>
              </w:rPr>
              <w:t>袁菊，</w:t>
            </w:r>
            <w:r>
              <w:rPr>
                <w:rFonts w:ascii="宋体" w:hAnsi="宋体" w:cs="宋体"/>
                <w:kern w:val="0"/>
                <w:szCs w:val="21"/>
              </w:rPr>
              <w:t>2021-M1MMS-2274447</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cs="宋体"/>
                <w:b w:val="0"/>
                <w:bCs w:val="0"/>
                <w:szCs w:val="21"/>
              </w:rPr>
              <w:t>管理层/管理者代表、</w:t>
            </w:r>
            <w:r>
              <w:rPr>
                <w:rFonts w:hint="eastAsia" w:ascii="宋体" w:hAnsi="宋体"/>
                <w:bCs/>
                <w:szCs w:val="21"/>
                <w:lang w:eastAsia="zh-CN"/>
              </w:rPr>
              <w:t>质量部、</w:t>
            </w:r>
            <w:r>
              <w:rPr>
                <w:rFonts w:hint="eastAsia" w:ascii="宋体" w:hAnsi="宋体"/>
                <w:color w:val="000000"/>
                <w:szCs w:val="21"/>
                <w:lang w:val="en-US" w:eastAsia="zh-CN"/>
              </w:rPr>
              <w:t>采购部、商务部、</w:t>
            </w:r>
            <w:r>
              <w:rPr>
                <w:rFonts w:hint="eastAsia" w:eastAsia="新宋体"/>
                <w:szCs w:val="21"/>
                <w:lang w:val="en-US" w:eastAsia="zh-CN"/>
              </w:rPr>
              <w:t>生产部（车间）、设备部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1.一年内违反法律法规或重大事故的情况：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一年来，公司日常运行中生产、经营、安全、及管理方面比去年都有很大提升，企业制定了多项生产管理文件、制度，测量管理体系理念更加深入人心，企业未有违反法律、法规问题和产品质量问题的投诉或重大质量事故发生。</w:t>
      </w:r>
    </w:p>
    <w:p>
      <w:pPr>
        <w:spacing w:line="360" w:lineRule="auto"/>
        <w:rPr>
          <w:rFonts w:hint="eastAsia" w:asciiTheme="majorEastAsia" w:hAnsiTheme="majorEastAsia" w:eastAsiaTheme="majorEastAsia" w:cstheme="majorEastAsia"/>
          <w:color w:val="auto"/>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公司于202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7日至7月8日</w:t>
      </w:r>
      <w:r>
        <w:rPr>
          <w:rFonts w:hint="eastAsia" w:ascii="宋体" w:hAnsi="宋体" w:eastAsia="宋体" w:cs="宋体"/>
          <w:bCs/>
          <w:color w:val="auto"/>
          <w:kern w:val="0"/>
          <w:sz w:val="24"/>
          <w:szCs w:val="24"/>
        </w:rPr>
        <w:t>组织了公司测量管理体系</w:t>
      </w:r>
      <w:r>
        <w:rPr>
          <w:rFonts w:hint="eastAsia" w:ascii="宋体" w:hAnsi="宋体" w:eastAsia="宋体" w:cs="宋体"/>
          <w:bCs/>
          <w:color w:val="auto"/>
          <w:kern w:val="0"/>
          <w:sz w:val="24"/>
          <w:szCs w:val="24"/>
          <w:lang w:val="en-US" w:eastAsia="zh-CN"/>
        </w:rPr>
        <w:t>内审</w:t>
      </w:r>
      <w:r>
        <w:rPr>
          <w:rFonts w:hint="eastAsia" w:ascii="宋体" w:hAnsi="宋体" w:eastAsia="宋体" w:cs="宋体"/>
          <w:bCs/>
          <w:color w:val="auto"/>
          <w:kern w:val="0"/>
          <w:sz w:val="24"/>
          <w:szCs w:val="24"/>
        </w:rPr>
        <w:t>，内审分</w:t>
      </w: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个组，对公司</w:t>
      </w: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个部门</w:t>
      </w:r>
      <w:r>
        <w:rPr>
          <w:rFonts w:hint="eastAsia" w:ascii="宋体" w:hAnsi="宋体" w:eastAsia="宋体" w:cs="宋体"/>
          <w:bCs/>
          <w:color w:val="auto"/>
          <w:kern w:val="0"/>
          <w:sz w:val="24"/>
          <w:szCs w:val="24"/>
          <w:lang w:val="en-US" w:eastAsia="zh-CN"/>
        </w:rPr>
        <w:t>和车间</w:t>
      </w:r>
      <w:r>
        <w:rPr>
          <w:rFonts w:hint="eastAsia" w:ascii="宋体" w:hAnsi="宋体" w:eastAsia="宋体" w:cs="宋体"/>
          <w:bCs/>
          <w:color w:val="auto"/>
          <w:kern w:val="0"/>
          <w:sz w:val="24"/>
          <w:szCs w:val="24"/>
        </w:rPr>
        <w:t>进行了审核，共开出了</w:t>
      </w:r>
      <w:r>
        <w:rPr>
          <w:rFonts w:hint="eastAsia" w:ascii="宋体" w:hAnsi="宋体" w:eastAsia="宋体" w:cs="宋体"/>
          <w:bCs/>
          <w:color w:val="auto"/>
          <w:kern w:val="0"/>
          <w:sz w:val="24"/>
          <w:szCs w:val="24"/>
          <w:lang w:val="en-US" w:eastAsia="zh-CN"/>
        </w:rPr>
        <w:t>4个观察</w:t>
      </w:r>
      <w:r>
        <w:rPr>
          <w:rFonts w:hint="eastAsia" w:ascii="宋体" w:hAnsi="宋体" w:eastAsia="宋体" w:cs="宋体"/>
          <w:bCs/>
          <w:color w:val="auto"/>
          <w:kern w:val="0"/>
          <w:sz w:val="24"/>
          <w:szCs w:val="24"/>
        </w:rPr>
        <w:t>项</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到目前为止观察项已全部</w:t>
      </w:r>
      <w:r>
        <w:rPr>
          <w:rFonts w:hint="eastAsia" w:ascii="宋体" w:hAnsi="宋体" w:eastAsia="宋体" w:cs="宋体"/>
          <w:bCs/>
          <w:color w:val="auto"/>
          <w:kern w:val="0"/>
          <w:sz w:val="24"/>
          <w:szCs w:val="24"/>
        </w:rPr>
        <w:t>完成整改。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val="en-US" w:eastAsia="zh-CN"/>
        </w:rPr>
        <w:t>2.2</w:t>
      </w:r>
      <w:r>
        <w:rPr>
          <w:rFonts w:hint="eastAsia" w:ascii="宋体" w:hAnsi="宋体" w:eastAsia="宋体" w:cs="宋体"/>
          <w:bCs/>
          <w:color w:val="auto"/>
          <w:kern w:val="0"/>
          <w:sz w:val="24"/>
          <w:szCs w:val="24"/>
        </w:rPr>
        <w:t>企业于20</w:t>
      </w:r>
      <w:r>
        <w:rPr>
          <w:rFonts w:hint="eastAsia" w:ascii="宋体" w:hAnsi="宋体" w:eastAsia="宋体" w:cs="宋体"/>
          <w:bCs/>
          <w:color w:val="auto"/>
          <w:kern w:val="0"/>
          <w:sz w:val="24"/>
          <w:szCs w:val="24"/>
          <w:lang w:val="en-US" w:eastAsia="zh-CN"/>
        </w:rPr>
        <w:t>22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18</w:t>
      </w:r>
      <w:r>
        <w:rPr>
          <w:rFonts w:hint="eastAsia" w:ascii="宋体" w:hAnsi="宋体" w:eastAsia="宋体" w:cs="宋体"/>
          <w:bCs/>
          <w:color w:val="auto"/>
          <w:kern w:val="0"/>
          <w:sz w:val="24"/>
          <w:szCs w:val="24"/>
        </w:rPr>
        <w:t>日开展了</w:t>
      </w:r>
      <w:r>
        <w:rPr>
          <w:rFonts w:hint="eastAsia" w:ascii="宋体" w:hAnsi="宋体" w:eastAsia="宋体" w:cs="宋体"/>
          <w:bCs/>
          <w:color w:val="auto"/>
          <w:kern w:val="0"/>
          <w:sz w:val="24"/>
          <w:szCs w:val="24"/>
          <w:lang w:val="en-US" w:eastAsia="zh-CN"/>
        </w:rPr>
        <w:t>测量管理体系</w:t>
      </w:r>
      <w:r>
        <w:rPr>
          <w:rFonts w:hint="eastAsia" w:ascii="宋体" w:hAnsi="宋体" w:eastAsia="宋体" w:cs="宋体"/>
          <w:bCs/>
          <w:color w:val="auto"/>
          <w:kern w:val="0"/>
          <w:sz w:val="24"/>
          <w:szCs w:val="24"/>
        </w:rPr>
        <w:t>管理评审，会议由公司总经理</w:t>
      </w:r>
      <w:r>
        <w:rPr>
          <w:rFonts w:hint="eastAsia" w:ascii="宋体" w:hAnsi="宋体" w:eastAsia="宋体" w:cs="宋体"/>
          <w:bCs/>
          <w:color w:val="auto"/>
          <w:kern w:val="0"/>
          <w:sz w:val="24"/>
          <w:szCs w:val="24"/>
          <w:lang w:val="en-US" w:eastAsia="zh-CN"/>
        </w:rPr>
        <w:t>周凤生</w:t>
      </w:r>
      <w:r>
        <w:rPr>
          <w:rFonts w:hint="eastAsia" w:ascii="宋体" w:hAnsi="宋体" w:eastAsia="宋体" w:cs="宋体"/>
          <w:bCs/>
          <w:color w:val="auto"/>
          <w:kern w:val="0"/>
          <w:sz w:val="24"/>
          <w:szCs w:val="24"/>
        </w:rPr>
        <w:t>主持，由</w:t>
      </w:r>
      <w:r>
        <w:rPr>
          <w:rFonts w:hint="eastAsia" w:ascii="宋体" w:hAnsi="宋体" w:eastAsia="宋体" w:cs="宋体"/>
          <w:bCs/>
          <w:color w:val="auto"/>
          <w:kern w:val="0"/>
          <w:sz w:val="24"/>
          <w:szCs w:val="24"/>
          <w:lang w:val="en-US" w:eastAsia="zh-CN"/>
        </w:rPr>
        <w:t>管理者代表</w:t>
      </w:r>
      <w:r>
        <w:rPr>
          <w:rFonts w:hint="eastAsia" w:ascii="宋体" w:hAnsi="宋体" w:eastAsia="宋体" w:cs="宋体"/>
          <w:bCs/>
          <w:color w:val="auto"/>
          <w:kern w:val="0"/>
          <w:sz w:val="24"/>
          <w:szCs w:val="24"/>
        </w:rPr>
        <w:t>汇报了</w:t>
      </w:r>
      <w:r>
        <w:rPr>
          <w:rFonts w:hint="eastAsia" w:ascii="宋体" w:hAnsi="宋体" w:eastAsia="宋体" w:cs="宋体"/>
          <w:bCs/>
          <w:color w:val="auto"/>
          <w:kern w:val="0"/>
          <w:sz w:val="24"/>
          <w:szCs w:val="24"/>
          <w:lang w:val="en-US" w:eastAsia="zh-CN"/>
        </w:rPr>
        <w:t>测量</w:t>
      </w:r>
      <w:r>
        <w:rPr>
          <w:rFonts w:hint="eastAsia" w:ascii="宋体" w:hAnsi="宋体" w:eastAsia="宋体" w:cs="宋体"/>
          <w:bCs/>
          <w:color w:val="auto"/>
          <w:kern w:val="0"/>
          <w:sz w:val="24"/>
          <w:szCs w:val="24"/>
        </w:rPr>
        <w:t>体系运行情况。</w:t>
      </w:r>
      <w:r>
        <w:rPr>
          <w:rFonts w:hint="eastAsia" w:ascii="宋体" w:hAnsi="宋体" w:eastAsia="宋体" w:cs="宋体"/>
          <w:bCs/>
          <w:color w:val="auto"/>
          <w:kern w:val="0"/>
          <w:sz w:val="24"/>
          <w:szCs w:val="24"/>
          <w:lang w:val="en-US" w:eastAsia="zh-CN"/>
        </w:rPr>
        <w:t>相关部门汇报了本部门分管的测量体系相关工作。</w:t>
      </w:r>
      <w:r>
        <w:rPr>
          <w:rFonts w:hint="eastAsia" w:ascii="宋体" w:hAnsi="宋体" w:eastAsia="宋体" w:cs="宋体"/>
          <w:bCs/>
          <w:color w:val="auto"/>
          <w:kern w:val="0"/>
          <w:sz w:val="24"/>
          <w:szCs w:val="24"/>
        </w:rPr>
        <w:t>。会议肯定了公司测量管理体系的充分性、有效性和适宜性。形成了管理评审报告</w:t>
      </w:r>
      <w:r>
        <w:rPr>
          <w:rFonts w:hint="eastAsia" w:ascii="宋体" w:hAnsi="宋体" w:eastAsia="宋体" w:cs="宋体"/>
          <w:bCs/>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为持续改进而策划的活动的进展，企业对识别的关键测量过程进行了持续的控制，企业喷涂厚度测量过程为关键测量过程，测量过程识别、测量设备配备、检定/校准、验证，测量过程有效性确认，测量不确定度评定、测量过程控制和监视满足要求。企业没有新增关键测量过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a)计量要求的导出和验证：查喷涂厚度测量过程，计量要求导出方法正确，验证满足测量过程要求。祥见附件《计量要求导出及验证记录表》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b)测量不确定评定：查喷涂厚度测量过程，测量不确定度评定方法正确。祥见附件《测量不确定度评定》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c)有效性确认：查喷涂厚度测量过程有效性确认，满足要求。祥见附件《测量过程有效性确认》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d)测量过程的控制：查喷涂厚度测量过程，编制了控制规范，对测量人员、测量设备、测量环境进行控制，满足要求。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e)测量过程的监视：查喷涂厚度测量过程，采用统计技术进行控制和监视测量过程。祥见《测量过程监视记录》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f)测量设备的溯源：公司未建最高计量标准，企业测量设备由质量部负责组织委外检定/校准。公司测量设备委托中国赛宝实验室计量检测中心、苏州市吴江区检验检测中心等检定/校准，抽查9台测量设备检定/校准证书，溯源满足要求。祥见《测量设备溯源检查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4.能源管理情况：企业能源主要消耗品种为电能、水、天然气，2021年全年消耗电量26320971kWh，水44628t天然气103033Nm3，合计耗能464.34tce。 不是重点耗能企业。。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5.对认证审核时提出的的不符合项的纠正措施情况：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5.1 去年监督审核发现1个不符合项。</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查：测量设备3D干涉仪其测量精度来自于标准件编号为QY0704D，标准件为列入计量设备台账。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企业制定了纠正预防措施，组织了整改，经验证不符合项已整改完成，同意关闭该不符合项。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6.对投诉的处理情况：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公司目前尚未接到客户在产品质量、物料交接、能源、安全、现场管理等方面的投诉和纠纷。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7.测量管理体系在实现获证客户目标方面的有效性及持续的运作控制情况：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企业根据测量体系质量方针，制定了6项质量目标，目标可测量，公司对质量目标进行了分解，形成了《测量管理体系计量目标实施分解表 》。查:《测量管理体系计量目标完成情况表》2022年1至2季度质量目标全部完成。企业测量体系进一步满足顾客、质量、服务等方面的要求，符合GB/T 19022-2003标准要求。使其更具有动态性和适宜性、有效性及对持续运作的控制。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8.对企业组织任何变更的审核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企业组织机构没有变更。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营业执照已发生变更，营业执照去年11月1日已变更，法人代表由刘东洋变更为陆火金，营业期限由2010-12-20至2028-12-19变更为2010-12-20至2046-12-19。营业执照2022-3-14发生了变更。住所由吴江经济技术开发区采字路583号变更为苏州市吴江区镇泽镇夏家斗村7.12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测量管理手册和程序文件2022.5.1进行了换版，由A/2版换成A/3版。最高管理者由刘东洋变更为周凤生。管理者代表由许助勇变更为芦国斌。</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9.标志的使用和（或）任何其他对认证资格引用的情况：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公司对标志的使用，符合相关标准和规定。公司测量管理体系认证证书用于：招投标和企业形象宣传。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numPr>
          <w:ilvl w:val="0"/>
          <w:numId w:val="1"/>
        </w:numPr>
        <w:spacing w:line="440" w:lineRule="exact"/>
        <w:ind w:right="-27" w:rightChars="-13"/>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本次审核未发现一般不符合项 ，未发现严重或系统性的不符合情况。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三、监督审核结论意见(含需要说明的事项):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通过2022年8月20日，对江苏通鼎宽带有限公司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江苏通鼎宽带有限公司测量管理体系，符合GB/T 19022-2003标准要求，对体系运行具有持续的有效性、符合性予以肯定。建议报请国标联合认证有限公司批准通过监督审核。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widowControl/>
        <w:spacing w:line="360" w:lineRule="auto"/>
        <w:rPr>
          <w:rFonts w:cs="宋体" w:asciiTheme="minorEastAsia" w:hAnsiTheme="minorEastAsia"/>
          <w:color w:val="auto"/>
          <w:kern w:val="0"/>
          <w:szCs w:val="21"/>
        </w:rPr>
      </w:pPr>
      <w:r>
        <w:rPr>
          <w:rFonts w:hint="eastAsia" w:ascii="宋体" w:hAnsi="宋体" w:eastAsia="宋体" w:cs="宋体"/>
          <w:bCs/>
          <w:color w:val="auto"/>
          <w:kern w:val="0"/>
          <w:sz w:val="24"/>
          <w:szCs w:val="24"/>
          <w:lang w:val="en-US" w:eastAsia="zh-CN"/>
        </w:rPr>
        <w:drawing>
          <wp:anchor distT="0" distB="0" distL="114300" distR="114300" simplePos="0" relativeHeight="251664384" behindDoc="0" locked="0" layoutInCell="1" allowOverlap="1">
            <wp:simplePos x="0" y="0"/>
            <wp:positionH relativeFrom="column">
              <wp:posOffset>1520825</wp:posOffset>
            </wp:positionH>
            <wp:positionV relativeFrom="paragraph">
              <wp:posOffset>269240</wp:posOffset>
            </wp:positionV>
            <wp:extent cx="614680" cy="385445"/>
            <wp:effectExtent l="0" t="0" r="0" b="5080"/>
            <wp:wrapNone/>
            <wp:docPr id="2"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r>
        <w:rPr>
          <w:rFonts w:hint="eastAsia" w:ascii="宋体" w:hAnsi="宋体" w:eastAsia="宋体" w:cs="宋体"/>
          <w:bCs/>
          <w:color w:val="auto"/>
          <w:kern w:val="0"/>
          <w:sz w:val="24"/>
          <w:szCs w:val="24"/>
          <w:lang w:val="en-US" w:eastAsia="zh-CN"/>
        </w:rPr>
        <w:t xml:space="preserve">                                 </w:t>
      </w:r>
    </w:p>
    <w:p>
      <w:pPr>
        <w:widowControl/>
        <w:spacing w:line="360" w:lineRule="auto"/>
        <w:jc w:val="left"/>
        <w:rPr>
          <w:rFonts w:ascii="宋体" w:hAnsi="宋体" w:eastAsia="宋体" w:cs="宋体"/>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2022年8月20日</w:t>
      </w:r>
    </w:p>
    <w:p>
      <w:pPr>
        <w:widowControl/>
        <w:spacing w:line="360" w:lineRule="auto"/>
        <w:jc w:val="left"/>
        <w:rPr>
          <w:rFonts w:ascii="宋体" w:hAnsi="宋体" w:eastAsia="宋体" w:cs="宋体"/>
          <w:color w:val="000000"/>
          <w:kern w:val="0"/>
          <w:szCs w:val="21"/>
        </w:rPr>
      </w:pPr>
    </w:p>
    <w:p>
      <w:pPr>
        <w:widowControl/>
        <w:spacing w:line="360" w:lineRule="auto"/>
        <w:jc w:val="left"/>
        <w:rPr>
          <w:rFonts w:hint="eastAsia" w:ascii="宋体" w:hAnsi="宋体" w:eastAsia="宋体" w:cs="宋体"/>
          <w:color w:val="000000"/>
          <w:kern w:val="0"/>
          <w:szCs w:val="21"/>
          <w:lang w:val="en-US" w:eastAsia="zh-CN"/>
        </w:rPr>
      </w:pPr>
      <w:r>
        <w:drawing>
          <wp:anchor distT="0" distB="0" distL="114300" distR="114300" simplePos="0" relativeHeight="251666432" behindDoc="0" locked="0" layoutInCell="1" allowOverlap="1">
            <wp:simplePos x="0" y="0"/>
            <wp:positionH relativeFrom="column">
              <wp:posOffset>1395095</wp:posOffset>
            </wp:positionH>
            <wp:positionV relativeFrom="paragraph">
              <wp:posOffset>6985</wp:posOffset>
            </wp:positionV>
            <wp:extent cx="485775" cy="219075"/>
            <wp:effectExtent l="0" t="0" r="0" b="0"/>
            <wp:wrapNone/>
            <wp:docPr id="3" name="图片 2" descr="C:\Users\mac\Desktop\袁菊\ISC文件\袁菊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mac\Desktop\袁菊\ISC文件\袁菊电子签名.png"/>
                    <pic:cNvPicPr>
                      <a:picLocks noChangeAspect="1"/>
                    </pic:cNvPicPr>
                  </pic:nvPicPr>
                  <pic:blipFill>
                    <a:blip r:embed="rId7"/>
                    <a:stretch>
                      <a:fillRect/>
                    </a:stretch>
                  </pic:blipFill>
                  <pic:spPr>
                    <a:xfrm>
                      <a:off x="0" y="0"/>
                      <a:ext cx="485775" cy="219075"/>
                    </a:xfrm>
                    <a:prstGeom prst="rect">
                      <a:avLst/>
                    </a:prstGeom>
                    <a:noFill/>
                    <a:ln>
                      <a:noFill/>
                    </a:ln>
                  </pic:spPr>
                </pic:pic>
              </a:graphicData>
            </a:graphic>
          </wp:anchor>
        </w:drawing>
      </w: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kern w:val="0"/>
          <w:szCs w:val="21"/>
          <w:lang w:val="en-US" w:eastAsia="zh-CN"/>
        </w:rPr>
        <w:t>2022年8月20日</w:t>
      </w:r>
    </w:p>
    <w:p>
      <w:pPr>
        <w:widowControl/>
        <w:spacing w:line="276" w:lineRule="auto"/>
        <w:ind w:right="945"/>
        <w:jc w:val="left"/>
        <w:rPr>
          <w:rFonts w:ascii="宋体" w:hAnsi="宋体" w:eastAsia="宋体" w:cs="宋体"/>
          <w:kern w:val="0"/>
          <w:szCs w:val="28"/>
        </w:rPr>
      </w:pPr>
    </w:p>
    <w:p>
      <w:pPr>
        <w:widowControl/>
        <w:spacing w:line="360" w:lineRule="auto"/>
        <w:jc w:val="left"/>
        <w:rPr>
          <w:rFonts w:ascii="宋体" w:hAnsi="宋体" w:cs="宋体"/>
          <w:kern w:val="0"/>
          <w:szCs w:val="21"/>
        </w:rPr>
      </w:pPr>
      <w:r>
        <w:rPr>
          <w:rFonts w:hint="eastAsia" w:ascii="宋体" w:hAnsi="宋体" w:cs="宋体"/>
          <w:kern w:val="0"/>
          <w:szCs w:val="21"/>
        </w:rPr>
        <w:t xml:space="preserve">北京国标联合认证有限公司(盖章)                    </w:t>
      </w:r>
      <w:r>
        <w:rPr>
          <w:rFonts w:hint="eastAsia" w:ascii="宋体" w:hAnsi="宋体" w:cs="宋体"/>
          <w:kern w:val="0"/>
          <w:szCs w:val="21"/>
          <w:lang w:val="en-US" w:eastAsia="zh-CN"/>
        </w:rPr>
        <w:t xml:space="preserve"> </w:t>
      </w:r>
      <w:r>
        <w:rPr>
          <w:rFonts w:hint="eastAsia" w:ascii="宋体" w:hAnsi="宋体" w:cs="宋体"/>
          <w:kern w:val="0"/>
          <w:szCs w:val="21"/>
        </w:rPr>
        <w:t>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3A7FC"/>
    <w:multiLevelType w:val="singleLevel"/>
    <w:tmpl w:val="A9C3A7FC"/>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4D10E5"/>
    <w:rsid w:val="06620C6F"/>
    <w:rsid w:val="0EEC0392"/>
    <w:rsid w:val="11B14917"/>
    <w:rsid w:val="11EA3D07"/>
    <w:rsid w:val="2068434A"/>
    <w:rsid w:val="2B780BB8"/>
    <w:rsid w:val="352231D7"/>
    <w:rsid w:val="484105A2"/>
    <w:rsid w:val="51F36EF6"/>
    <w:rsid w:val="594B2923"/>
    <w:rsid w:val="6D1F7DFD"/>
    <w:rsid w:val="79BC2C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11</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2022-08-20T07:17:03Z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