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6"/>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3"/>
        <w:gridCol w:w="1107"/>
        <w:gridCol w:w="10702"/>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2013"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107"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702" w:type="dxa"/>
            <w:vAlign w:val="center"/>
          </w:tcPr>
          <w:p>
            <w:pPr>
              <w:rPr>
                <w:sz w:val="24"/>
                <w:szCs w:val="24"/>
              </w:rPr>
            </w:pPr>
            <w:r>
              <w:rPr>
                <w:rFonts w:hint="eastAsia"/>
                <w:sz w:val="24"/>
                <w:szCs w:val="24"/>
              </w:rPr>
              <w:t>受审核部门：管理层</w:t>
            </w:r>
            <w:r>
              <w:rPr>
                <w:rFonts w:hint="eastAsia"/>
                <w:sz w:val="24"/>
                <w:szCs w:val="24"/>
                <w:lang w:eastAsia="zh-CN"/>
              </w:rPr>
              <w:t>、</w:t>
            </w:r>
            <w:r>
              <w:rPr>
                <w:rFonts w:hint="eastAsia"/>
                <w:sz w:val="24"/>
                <w:szCs w:val="24"/>
              </w:rPr>
              <w:t>员工代表</w:t>
            </w:r>
            <w:r>
              <w:rPr>
                <w:rFonts w:hint="eastAsia"/>
                <w:sz w:val="24"/>
                <w:szCs w:val="24"/>
                <w:lang w:val="en-US" w:eastAsia="zh-CN"/>
              </w:rPr>
              <w:t xml:space="preserve">    </w:t>
            </w:r>
            <w:r>
              <w:rPr>
                <w:rFonts w:hint="eastAsia"/>
                <w:sz w:val="24"/>
                <w:szCs w:val="24"/>
              </w:rPr>
              <w:t>主管领导：</w:t>
            </w:r>
            <w:bookmarkStart w:id="0" w:name="管理者代表"/>
            <w:r>
              <w:rPr>
                <w:rFonts w:hint="eastAsia"/>
                <w:sz w:val="24"/>
                <w:szCs w:val="24"/>
              </w:rPr>
              <w:t>徐刚锐</w:t>
            </w:r>
            <w:bookmarkEnd w:id="0"/>
            <w:r>
              <w:rPr>
                <w:rFonts w:hint="eastAsia"/>
                <w:sz w:val="24"/>
                <w:szCs w:val="24"/>
                <w:lang w:eastAsia="zh-CN"/>
              </w:rPr>
              <w:t>、熊学杰</w:t>
            </w:r>
            <w:r>
              <w:rPr>
                <w:rFonts w:hint="eastAsia"/>
                <w:sz w:val="24"/>
                <w:szCs w:val="24"/>
                <w:lang w:val="en-US" w:eastAsia="zh-CN"/>
              </w:rPr>
              <w:t xml:space="preserve">   </w:t>
            </w:r>
            <w:r>
              <w:rPr>
                <w:rFonts w:hint="eastAsia"/>
                <w:sz w:val="24"/>
                <w:szCs w:val="24"/>
              </w:rPr>
              <w:t>陪同人员：熊威</w:t>
            </w:r>
          </w:p>
        </w:tc>
        <w:tc>
          <w:tcPr>
            <w:tcW w:w="887"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Merge w:val="continue"/>
            <w:vAlign w:val="center"/>
          </w:tcPr>
          <w:p/>
        </w:tc>
        <w:tc>
          <w:tcPr>
            <w:tcW w:w="1107" w:type="dxa"/>
            <w:vMerge w:val="continue"/>
            <w:vAlign w:val="center"/>
          </w:tcPr>
          <w:p/>
        </w:tc>
        <w:tc>
          <w:tcPr>
            <w:tcW w:w="10702" w:type="dxa"/>
            <w:vAlign w:val="center"/>
          </w:tcPr>
          <w:p>
            <w:pPr>
              <w:spacing w:before="120"/>
            </w:pPr>
            <w:r>
              <w:rPr>
                <w:rFonts w:hint="eastAsia"/>
                <w:sz w:val="24"/>
                <w:szCs w:val="24"/>
              </w:rPr>
              <w:t>审核员：</w:t>
            </w:r>
            <w:r>
              <w:rPr>
                <w:rFonts w:hint="eastAsia"/>
                <w:sz w:val="24"/>
                <w:szCs w:val="24"/>
                <w:lang w:eastAsia="zh-CN"/>
              </w:rPr>
              <w:t>褚敏杰</w:t>
            </w:r>
            <w:r>
              <w:rPr>
                <w:rFonts w:hint="eastAsia"/>
                <w:sz w:val="24"/>
                <w:szCs w:val="24"/>
                <w:lang w:val="en-US" w:eastAsia="zh-CN"/>
              </w:rPr>
              <w:t xml:space="preserve">        </w:t>
            </w:r>
            <w:bookmarkStart w:id="2" w:name="_GoBack"/>
            <w:bookmarkEnd w:id="2"/>
            <w:r>
              <w:rPr>
                <w:rFonts w:hint="eastAsia"/>
                <w:sz w:val="24"/>
                <w:szCs w:val="24"/>
                <w:lang w:val="en-US" w:eastAsia="zh-CN"/>
              </w:rPr>
              <w:t xml:space="preserve">               </w:t>
            </w:r>
            <w:r>
              <w:rPr>
                <w:rFonts w:hint="eastAsia"/>
                <w:sz w:val="24"/>
                <w:szCs w:val="24"/>
              </w:rPr>
              <w:t>审核时间：</w:t>
            </w:r>
            <w:bookmarkStart w:id="1" w:name="审核日期"/>
            <w:r>
              <w:rPr>
                <w:rFonts w:hint="eastAsia"/>
                <w:sz w:val="24"/>
                <w:szCs w:val="24"/>
              </w:rPr>
              <w:t>2022年08月19日</w:t>
            </w:r>
            <w:bookmarkEnd w:id="1"/>
          </w:p>
        </w:tc>
        <w:tc>
          <w:tcPr>
            <w:tcW w:w="8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Merge w:val="continue"/>
            <w:vAlign w:val="center"/>
          </w:tcPr>
          <w:p/>
        </w:tc>
        <w:tc>
          <w:tcPr>
            <w:tcW w:w="1107" w:type="dxa"/>
            <w:vMerge w:val="continue"/>
            <w:vAlign w:val="center"/>
          </w:tcPr>
          <w:p/>
        </w:tc>
        <w:tc>
          <w:tcPr>
            <w:tcW w:w="10702" w:type="dxa"/>
            <w:vAlign w:val="center"/>
          </w:tcPr>
          <w:p>
            <w:pPr>
              <w:rPr>
                <w:rFonts w:hint="eastAsia"/>
                <w:sz w:val="24"/>
                <w:szCs w:val="24"/>
              </w:rPr>
            </w:pPr>
            <w:r>
              <w:rPr>
                <w:rFonts w:hint="eastAsia"/>
                <w:sz w:val="24"/>
                <w:szCs w:val="24"/>
              </w:rPr>
              <w:t>审核条款：</w:t>
            </w:r>
          </w:p>
          <w:p>
            <w:pPr>
              <w:spacing w:line="240" w:lineRule="auto"/>
              <w:rPr>
                <w:rFonts w:hint="eastAsia" w:ascii="宋体" w:hAnsi="宋体" w:cs="Arial"/>
                <w:spacing w:val="-6"/>
                <w:sz w:val="21"/>
                <w:szCs w:val="21"/>
              </w:rPr>
            </w:pPr>
            <w:r>
              <w:rPr>
                <w:rFonts w:hint="eastAsia" w:ascii="宋体" w:hAnsi="宋体" w:cs="Arial"/>
                <w:spacing w:val="-6"/>
                <w:sz w:val="21"/>
                <w:szCs w:val="21"/>
              </w:rPr>
              <w:t>QEO:4.1理解组织及其环境、4.2理解相关方的需求和期望、4.3确定管理体系的范围、4.4质量/环境/职业健康安全管理体系及其过程、5.1领导作用和承诺、5.2质量/环境/职业健康安全方针、5.3组织的岗位、职责和权限、6.1应对风险和机遇的措施、6.2质量/环境</w:t>
            </w:r>
            <w:r>
              <w:rPr>
                <w:rFonts w:hint="eastAsia" w:ascii="宋体" w:hAnsi="宋体" w:cs="Arial"/>
                <w:spacing w:val="-6"/>
                <w:sz w:val="21"/>
                <w:szCs w:val="21"/>
                <w:lang w:val="en-US" w:eastAsia="zh-CN"/>
              </w:rPr>
              <w:t>/</w:t>
            </w:r>
            <w:r>
              <w:rPr>
                <w:rFonts w:hint="eastAsia" w:ascii="宋体" w:hAnsi="宋体" w:cs="Arial"/>
                <w:spacing w:val="-6"/>
                <w:sz w:val="21"/>
                <w:szCs w:val="21"/>
              </w:rPr>
              <w:t>职业健康安全目标及其实现的策划、7.1资源、7.4信息交流、9.3管理评审、10.1改进、10.3持续改进</w:t>
            </w:r>
          </w:p>
          <w:p>
            <w:pPr>
              <w:spacing w:line="240" w:lineRule="auto"/>
              <w:rPr>
                <w:rFonts w:hint="eastAsia" w:ascii="宋体" w:hAnsi="宋体" w:cs="Arial"/>
                <w:spacing w:val="-6"/>
                <w:sz w:val="21"/>
                <w:szCs w:val="21"/>
              </w:rPr>
            </w:pPr>
            <w:r>
              <w:rPr>
                <w:rFonts w:hint="eastAsia" w:ascii="宋体" w:hAnsi="宋体" w:cs="Arial"/>
                <w:spacing w:val="-6"/>
                <w:sz w:val="21"/>
                <w:szCs w:val="21"/>
              </w:rPr>
              <w:t>Q6.3变更的策划</w:t>
            </w:r>
            <w:r>
              <w:rPr>
                <w:rFonts w:hint="eastAsia" w:ascii="宋体" w:hAnsi="宋体" w:cs="Arial"/>
                <w:spacing w:val="-6"/>
                <w:sz w:val="21"/>
                <w:szCs w:val="21"/>
                <w:lang w:val="en-US" w:eastAsia="zh-CN"/>
              </w:rPr>
              <w:t>/8.3删减确认</w:t>
            </w:r>
            <w:r>
              <w:rPr>
                <w:rFonts w:hint="eastAsia" w:ascii="宋体" w:hAnsi="宋体" w:cs="Arial"/>
                <w:spacing w:val="-6"/>
                <w:sz w:val="21"/>
                <w:szCs w:val="21"/>
              </w:rPr>
              <w:t>、O5.4协商与参与</w:t>
            </w:r>
          </w:p>
          <w:p>
            <w:pPr>
              <w:rPr>
                <w:rFonts w:hint="eastAsia"/>
                <w:sz w:val="24"/>
                <w:szCs w:val="24"/>
              </w:rPr>
            </w:pPr>
            <w:r>
              <w:rPr>
                <w:rFonts w:hint="eastAsia" w:ascii="宋体" w:hAnsi="宋体" w:cs="Arial"/>
                <w:spacing w:val="-6"/>
                <w:sz w:val="21"/>
                <w:szCs w:val="21"/>
                <w:u w:val="none"/>
              </w:rPr>
              <w:t>标准/规范/法规的执行情况、</w:t>
            </w:r>
            <w:r>
              <w:rPr>
                <w:rFonts w:hint="eastAsia" w:ascii="宋体" w:hAnsi="宋体" w:cs="Arial"/>
                <w:spacing w:val="-6"/>
                <w:sz w:val="21"/>
                <w:szCs w:val="21"/>
                <w:u w:val="none"/>
                <w:lang w:eastAsia="zh-CN"/>
              </w:rPr>
              <w:t>一阶段</w:t>
            </w:r>
            <w:r>
              <w:rPr>
                <w:rFonts w:hint="eastAsia" w:ascii="宋体" w:hAnsi="宋体" w:cs="Arial"/>
                <w:spacing w:val="-6"/>
                <w:sz w:val="21"/>
                <w:szCs w:val="21"/>
                <w:u w:val="none"/>
              </w:rPr>
              <w:t>审核不符合项的验证、认证证书、标志的使用情况、投诉或事故、监督抽查情况</w:t>
            </w:r>
          </w:p>
        </w:tc>
        <w:tc>
          <w:tcPr>
            <w:tcW w:w="887"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理解组织及其环境</w:t>
            </w:r>
          </w:p>
        </w:tc>
        <w:tc>
          <w:tcPr>
            <w:tcW w:w="1107"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QEO:4.1</w:t>
            </w:r>
          </w:p>
        </w:tc>
        <w:tc>
          <w:tcPr>
            <w:tcW w:w="1070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江西省拓鸿水利设备有限公司成立于2020年10月01日，</w:t>
            </w:r>
            <w:r>
              <w:rPr>
                <w:rFonts w:hint="eastAsia" w:ascii="宋体" w:hAnsi="宋体" w:cs="Arial"/>
                <w:color w:val="auto"/>
                <w:spacing w:val="-6"/>
                <w:sz w:val="21"/>
                <w:szCs w:val="21"/>
                <w:lang w:val="en-US" w:eastAsia="zh-CN"/>
              </w:rPr>
              <w:t>注册资金1200万元；</w:t>
            </w:r>
            <w:r>
              <w:rPr>
                <w:rFonts w:hint="eastAsia" w:ascii="宋体" w:hAnsi="宋体" w:eastAsia="宋体" w:cs="Arial"/>
                <w:color w:val="auto"/>
                <w:spacing w:val="-6"/>
                <w:sz w:val="21"/>
                <w:szCs w:val="21"/>
                <w:highlight w:val="none"/>
                <w:lang w:val="en-US" w:eastAsia="zh-CN"/>
              </w:rPr>
              <w:t>工厂占地面积5000平方米。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color w:val="auto"/>
                <w:spacing w:val="-6"/>
                <w:sz w:val="21"/>
                <w:szCs w:val="21"/>
                <w:lang w:eastAsia="zh-CN"/>
              </w:rPr>
              <w:t>注册</w:t>
            </w:r>
            <w:r>
              <w:rPr>
                <w:rFonts w:hint="eastAsia" w:ascii="宋体" w:hAnsi="宋体" w:cs="Arial"/>
                <w:color w:val="auto"/>
                <w:spacing w:val="-6"/>
                <w:sz w:val="21"/>
                <w:szCs w:val="21"/>
                <w:lang w:val="en-US" w:eastAsia="zh-CN"/>
              </w:rPr>
              <w:t>地址</w:t>
            </w:r>
            <w:r>
              <w:rPr>
                <w:rFonts w:hint="eastAsia" w:ascii="宋体" w:hAnsi="宋体" w:cs="Arial"/>
                <w:color w:val="auto"/>
                <w:spacing w:val="-6"/>
                <w:sz w:val="21"/>
                <w:szCs w:val="21"/>
                <w:lang w:eastAsia="zh-CN"/>
              </w:rPr>
              <w:t>：</w:t>
            </w:r>
            <w:r>
              <w:rPr>
                <w:rFonts w:hint="eastAsia" w:asciiTheme="minorEastAsia" w:hAnsiTheme="minorEastAsia" w:eastAsiaTheme="minorEastAsia"/>
                <w:sz w:val="20"/>
              </w:rPr>
              <w:t>江西省南昌市新建区乐化镇乐化招呼站南昌水利设备厂内</w:t>
            </w:r>
            <w:r>
              <w:rPr>
                <w:rFonts w:hint="eastAsia" w:ascii="宋体" w:hAnsi="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cs="Times New Roman" w:asciiTheme="minorEastAsia" w:hAnsiTheme="minorEastAsia" w:eastAsiaTheme="minorEastAsia"/>
                <w:sz w:val="20"/>
                <w:lang w:val="en-US" w:eastAsia="zh-CN"/>
              </w:rPr>
            </w:pPr>
            <w:r>
              <w:rPr>
                <w:rFonts w:hint="eastAsia" w:ascii="宋体" w:hAnsi="宋体" w:cs="Arial"/>
                <w:color w:val="auto"/>
                <w:spacing w:val="-6"/>
                <w:sz w:val="21"/>
                <w:szCs w:val="21"/>
                <w:highlight w:val="none"/>
                <w:lang w:val="en-US" w:eastAsia="zh-CN"/>
              </w:rPr>
              <w:t>经</w:t>
            </w:r>
            <w:r>
              <w:rPr>
                <w:rFonts w:hint="eastAsia" w:cs="Times New Roman" w:asciiTheme="minorEastAsia" w:hAnsiTheme="minorEastAsia" w:eastAsiaTheme="minorEastAsia"/>
                <w:sz w:val="20"/>
                <w:lang w:val="en-US" w:eastAsia="zh-CN"/>
              </w:rPr>
              <w:t>营地址：</w:t>
            </w:r>
            <w:r>
              <w:rPr>
                <w:rFonts w:hint="eastAsia" w:cs="Times New Roman" w:asciiTheme="minorEastAsia" w:hAnsiTheme="minorEastAsia" w:eastAsiaTheme="minorEastAsia"/>
                <w:sz w:val="20"/>
              </w:rPr>
              <w:t>江西省南昌市新建区乐化镇乐化招呼站南昌水利设备厂内</w:t>
            </w:r>
            <w:r>
              <w:rPr>
                <w:rFonts w:hint="eastAsia" w:cs="Times New Roman" w:asciiTheme="minorEastAsia" w:hAnsiTheme="minorEastAsia" w:eastAsiaTheme="minorEastAsia"/>
                <w:sz w:val="20"/>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营业执照：统一社会信用代码91360122MA39B1JJXD，有效期长期；</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eastAsia="zh-CN"/>
              </w:rPr>
              <w:t>经营范围</w:t>
            </w:r>
            <w:r>
              <w:rPr>
                <w:rFonts w:hint="eastAsia" w:ascii="宋体" w:hAnsi="宋体" w:cs="Arial"/>
                <w:color w:val="auto"/>
                <w:spacing w:val="-6"/>
                <w:sz w:val="21"/>
                <w:szCs w:val="21"/>
                <w:highlight w:val="none"/>
                <w:lang w:eastAsia="zh-CN"/>
              </w:rPr>
              <w:t>：</w:t>
            </w:r>
            <w:r>
              <w:rPr>
                <w:rFonts w:hint="eastAsia" w:ascii="宋体" w:hAnsi="宋体" w:eastAsia="宋体" w:cs="Arial"/>
                <w:color w:val="auto"/>
                <w:spacing w:val="-6"/>
                <w:sz w:val="21"/>
                <w:szCs w:val="21"/>
                <w:highlight w:val="none"/>
                <w:lang w:eastAsia="zh-CN"/>
              </w:rPr>
              <w:t>一般项目：消防技术服务，配电开关控制设备制造，水资源专用机械设备制造，环境保护专用设备制造，机械电气设备制造，普通阀门和旋塞制造(不含特种设备制造），轴承、齿轮和传动部件制造，机械零件、零部件加工，机械设备研发，发电机及发电机组销售，环境保护专用设备销售，阀门和旋塞销售，配电开关控制设备销售，国内贸易代理，普通机械设备安装服务，通用设备修理，专用设备制造（不含许可类专业设备制造），园林绿化工程施工，环境卫生公共设施安装服务，普通货物仓储服务（不含危险化学品等需许可审批的项目）（除依法须经批准的项目外，凭营业执照依法自主开展经营活动）</w:t>
            </w:r>
            <w:r>
              <w:rPr>
                <w:rFonts w:hint="eastAsia" w:ascii="宋体" w:hAnsi="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经营范围覆盖了体系认证范围.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val="en-US" w:eastAsia="zh-CN"/>
              </w:rPr>
            </w:pPr>
            <w:r>
              <w:rPr>
                <w:rFonts w:hint="eastAsia" w:ascii="宋体" w:hAnsi="宋体" w:eastAsia="宋体" w:cs="Arial"/>
                <w:color w:val="auto"/>
                <w:spacing w:val="-6"/>
                <w:sz w:val="21"/>
                <w:szCs w:val="21"/>
                <w:highlight w:val="none"/>
                <w:lang w:val="en-US" w:eastAsia="zh-CN"/>
              </w:rPr>
              <w:t>工厂下设了装配、金工、钣金等车间。主要生产水电两用螺杆式水利启闭机，铸铁及钢制闸门。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公司人员共</w:t>
            </w:r>
            <w:r>
              <w:rPr>
                <w:rFonts w:hint="eastAsia" w:ascii="宋体" w:hAnsi="宋体" w:cs="Arial"/>
                <w:color w:val="auto"/>
                <w:spacing w:val="-6"/>
                <w:sz w:val="21"/>
                <w:szCs w:val="21"/>
                <w:highlight w:val="none"/>
                <w:lang w:val="en-US" w:eastAsia="zh-CN"/>
              </w:rPr>
              <w:t>26</w:t>
            </w:r>
            <w:r>
              <w:rPr>
                <w:rFonts w:hint="eastAsia" w:ascii="宋体" w:hAnsi="宋体" w:eastAsia="宋体" w:cs="Arial"/>
                <w:color w:val="auto"/>
                <w:spacing w:val="-6"/>
                <w:sz w:val="21"/>
                <w:szCs w:val="21"/>
                <w:highlight w:val="none"/>
                <w:lang w:eastAsia="zh-CN"/>
              </w:rPr>
              <w:t>人，</w:t>
            </w:r>
            <w:r>
              <w:rPr>
                <w:rFonts w:hint="eastAsia" w:ascii="宋体" w:hAnsi="宋体" w:cs="Arial"/>
                <w:color w:val="auto"/>
                <w:spacing w:val="-6"/>
                <w:sz w:val="21"/>
                <w:szCs w:val="21"/>
                <w:highlight w:val="none"/>
                <w:lang w:val="en-US" w:eastAsia="zh-CN"/>
              </w:rPr>
              <w:t>建立有员工花名册，</w:t>
            </w:r>
            <w:r>
              <w:rPr>
                <w:rFonts w:hint="eastAsia" w:ascii="宋体" w:hAnsi="宋体" w:eastAsia="宋体" w:cs="Arial"/>
                <w:color w:val="auto"/>
                <w:spacing w:val="-6"/>
                <w:sz w:val="21"/>
                <w:szCs w:val="21"/>
                <w:lang w:val="en-US" w:eastAsia="zh-CN"/>
              </w:rPr>
              <w:t>其中持证焊工、无损探伤、电气工程师等；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主要生产设备有</w:t>
            </w:r>
            <w:r>
              <w:rPr>
                <w:rFonts w:hint="eastAsia" w:ascii="宋体" w:hAnsi="宋体" w:eastAsia="宋体" w:cs="Arial"/>
                <w:color w:val="auto"/>
                <w:spacing w:val="-6"/>
                <w:sz w:val="21"/>
                <w:szCs w:val="21"/>
                <w:highlight w:val="none"/>
                <w:lang w:val="en-US" w:eastAsia="zh-CN"/>
              </w:rPr>
              <w:t>:</w:t>
            </w:r>
            <w:r>
              <w:rPr>
                <w:rFonts w:hint="eastAsia" w:ascii="宋体" w:hAnsi="宋体" w:eastAsia="宋体" w:cs="Arial"/>
                <w:color w:val="auto"/>
                <w:spacing w:val="-6"/>
                <w:sz w:val="21"/>
                <w:szCs w:val="21"/>
                <w:highlight w:val="none"/>
                <w:lang w:eastAsia="zh-CN"/>
              </w:rPr>
              <w:t>电动单梁起重机、二氧保护焊机、空气等离子弧切割机、空压机、数控机床等。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特种设备有</w:t>
            </w:r>
            <w:r>
              <w:rPr>
                <w:rFonts w:hint="eastAsia" w:ascii="宋体" w:hAnsi="宋体" w:eastAsia="宋体" w:cs="Arial"/>
                <w:color w:val="auto"/>
                <w:spacing w:val="-6"/>
                <w:sz w:val="21"/>
                <w:szCs w:val="21"/>
                <w:lang w:val="en-US" w:eastAsia="zh-CN"/>
              </w:rPr>
              <w:t>:</w:t>
            </w:r>
            <w:r>
              <w:rPr>
                <w:rFonts w:hint="eastAsia" w:ascii="宋体" w:hAnsi="宋体" w:eastAsia="宋体" w:cs="Arial"/>
                <w:color w:val="auto"/>
                <w:spacing w:val="-6"/>
                <w:sz w:val="21"/>
                <w:szCs w:val="21"/>
                <w:highlight w:val="none"/>
                <w:lang w:eastAsia="zh-CN"/>
              </w:rPr>
              <w:t>电动单梁起重机</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计量器具有</w:t>
            </w:r>
            <w:r>
              <w:rPr>
                <w:rFonts w:hint="eastAsia" w:ascii="宋体" w:hAnsi="宋体" w:eastAsia="宋体" w:cs="Arial"/>
                <w:color w:val="auto"/>
                <w:spacing w:val="-6"/>
                <w:sz w:val="21"/>
                <w:szCs w:val="21"/>
                <w:lang w:val="en-US" w:eastAsia="zh-CN"/>
              </w:rPr>
              <w:t>:塞尺、外径千分尺、超声波探伤仪、百分表、深度游标卡尺、钢卷尺等；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环保设施有：灭火器、垃圾桶等；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公司组织机构设置为：管理层、行政科、生产科、供销科、质检科；</w:t>
            </w:r>
          </w:p>
          <w:p>
            <w:pPr>
              <w:adjustRightInd w:val="0"/>
              <w:snapToGrid w:val="0"/>
              <w:spacing w:line="360" w:lineRule="auto"/>
              <w:ind w:right="105" w:rightChars="50" w:firstLine="396" w:firstLineChars="200"/>
              <w:textAlignment w:val="baseline"/>
              <w:rPr>
                <w:rFonts w:hint="eastAsia" w:ascii="宋体" w:hAnsi="宋体" w:cs="Arial"/>
                <w:color w:val="auto"/>
                <w:spacing w:val="-6"/>
                <w:sz w:val="21"/>
                <w:szCs w:val="21"/>
                <w:lang w:eastAsia="zh-CN"/>
              </w:rPr>
            </w:pPr>
            <w:r>
              <w:rPr>
                <w:rFonts w:hint="eastAsia" w:ascii="宋体" w:hAnsi="宋体" w:eastAsia="宋体" w:cs="Arial"/>
                <w:spacing w:val="-6"/>
                <w:sz w:val="21"/>
                <w:szCs w:val="21"/>
              </w:rPr>
              <w:t>总经理定期汇总分析市场情况，包括行业发展情况，相关企业产品分析，竞品分析，</w:t>
            </w:r>
            <w:r>
              <w:rPr>
                <w:rFonts w:hint="eastAsia" w:ascii="宋体" w:hAnsi="宋体" w:cs="Arial"/>
                <w:spacing w:val="-6"/>
                <w:sz w:val="21"/>
                <w:szCs w:val="21"/>
              </w:rPr>
              <w:t>行业政策跟踪，以保证随时掌握行业及竞争企业的发展动态，为研发及业务拓展提供决策依据；确定与本公司管理目标和战略方向相关并影响实现管理体系预期结果的各种内部因素（公司的价值观、文化、知识、绩效等相关因素）和外部因素（国际、</w:t>
            </w:r>
            <w:r>
              <w:rPr>
                <w:rFonts w:hint="eastAsia" w:ascii="宋体" w:hAnsi="宋体" w:cs="Arial"/>
                <w:color w:val="auto"/>
                <w:spacing w:val="-6"/>
                <w:sz w:val="21"/>
                <w:szCs w:val="21"/>
              </w:rPr>
              <w:t>国家、地区和当地的各种法律法规、技术、竞争、文化和社会因素等）</w:t>
            </w:r>
            <w:r>
              <w:rPr>
                <w:rFonts w:hint="eastAsia" w:ascii="宋体" w:hAnsi="宋体" w:cs="Arial"/>
                <w:color w:val="auto"/>
                <w:spacing w:val="-6"/>
                <w:sz w:val="21"/>
                <w:szCs w:val="21"/>
                <w:lang w:eastAsia="zh-CN"/>
              </w:rPr>
              <w:t>，</w:t>
            </w:r>
            <w:r>
              <w:rPr>
                <w:rFonts w:hint="eastAsia" w:ascii="宋体" w:hAnsi="宋体" w:cs="Arial"/>
                <w:color w:val="auto"/>
                <w:spacing w:val="-6"/>
                <w:sz w:val="21"/>
                <w:szCs w:val="21"/>
              </w:rPr>
              <w:t>如</w:t>
            </w:r>
            <w:r>
              <w:rPr>
                <w:rFonts w:hint="eastAsia" w:ascii="宋体" w:hAnsi="宋体" w:cs="Arial"/>
                <w:color w:val="auto"/>
                <w:spacing w:val="-6"/>
                <w:sz w:val="21"/>
                <w:szCs w:val="21"/>
                <w:lang w:eastAsia="zh-CN"/>
              </w:rPr>
              <w:t>：</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外部因素有-</w:t>
            </w:r>
            <w:r>
              <w:rPr>
                <w:rFonts w:hint="eastAsia" w:ascii="宋体" w:hAnsi="宋体" w:cs="Arial"/>
                <w:color w:val="auto"/>
                <w:spacing w:val="-6"/>
                <w:sz w:val="21"/>
                <w:szCs w:val="21"/>
              </w:rPr>
              <w:t>经济景气</w:t>
            </w:r>
            <w:r>
              <w:rPr>
                <w:rFonts w:hint="eastAsia" w:ascii="宋体" w:hAnsi="宋体" w:cs="Arial"/>
                <w:color w:val="auto"/>
                <w:spacing w:val="-6"/>
                <w:sz w:val="21"/>
                <w:szCs w:val="21"/>
                <w:lang w:val="en-US" w:eastAsia="zh-CN"/>
              </w:rPr>
              <w:t>系数上调，国家对水利行业加大投资，江西省环鄱阳湖水系发达，水毁工程修复、新增水库建设等导致市场需求大，而且稳步提升；产品生命周期一般8-10年；产品为根据图纸要求定制，不受规范和技术标准影响；</w:t>
            </w:r>
          </w:p>
          <w:p>
            <w:pPr>
              <w:adjustRightInd w:val="0"/>
              <w:snapToGrid w:val="0"/>
              <w:spacing w:line="360" w:lineRule="auto"/>
              <w:ind w:right="105" w:rightChars="50" w:firstLine="396" w:firstLineChars="200"/>
              <w:textAlignment w:val="baseline"/>
              <w:rPr>
                <w:rFonts w:hint="default" w:ascii="宋体" w:hAnsi="宋体" w:cs="Arial"/>
                <w:color w:val="auto"/>
                <w:spacing w:val="-6"/>
                <w:sz w:val="21"/>
                <w:szCs w:val="21"/>
                <w:lang w:val="en-US" w:eastAsia="zh-CN"/>
              </w:rPr>
            </w:pPr>
            <w:r>
              <w:rPr>
                <w:rFonts w:hint="eastAsia" w:ascii="宋体" w:hAnsi="宋体" w:cs="Arial"/>
                <w:color w:val="auto"/>
                <w:spacing w:val="-6"/>
                <w:sz w:val="21"/>
                <w:szCs w:val="21"/>
                <w:lang w:val="en-US" w:eastAsia="zh-CN"/>
              </w:rPr>
              <w:t>内部因素有-公司持续建立和运行管理体系，有良好的管理基础；人员较为稳定，技术力量有保障；品牌效应好；目前受厂区面积小、设备较老旧等影响，物流成本高、产能受限；随着规划的新厂区搬迁以及逐步逃汰旧设备，新增设备自动化程度高等，将改变企业目前的局面；</w:t>
            </w:r>
          </w:p>
          <w:p>
            <w:pPr>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rPr>
            </w:pPr>
            <w:r>
              <w:rPr>
                <w:rFonts w:hint="eastAsia" w:ascii="宋体" w:hAnsi="宋体" w:eastAsia="宋体" w:cs="Arial"/>
                <w:color w:val="auto"/>
                <w:spacing w:val="-6"/>
                <w:sz w:val="21"/>
                <w:szCs w:val="21"/>
              </w:rPr>
              <w:t>这些因素包括了需要考虑的正面和负面因素或条件。</w:t>
            </w:r>
          </w:p>
          <w:p>
            <w:pPr>
              <w:adjustRightInd w:val="0"/>
              <w:snapToGrid w:val="0"/>
              <w:spacing w:line="360" w:lineRule="auto"/>
              <w:ind w:right="105" w:rightChars="50" w:firstLine="396" w:firstLineChars="200"/>
              <w:textAlignment w:val="baseline"/>
              <w:rPr>
                <w:rFonts w:ascii="Times New Roman" w:hAnsi="Times New Roman" w:eastAsia="宋体" w:cs="Times New Roman"/>
                <w:kern w:val="2"/>
                <w:sz w:val="21"/>
                <w:lang w:val="en-US" w:eastAsia="zh-CN" w:bidi="ar-SA"/>
              </w:rPr>
            </w:pPr>
            <w:r>
              <w:rPr>
                <w:rFonts w:hint="eastAsia" w:ascii="宋体" w:hAnsi="宋体" w:eastAsia="宋体" w:cs="Arial"/>
                <w:spacing w:val="-6"/>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c>
          <w:tcPr>
            <w:tcW w:w="88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理解相关方的需求和期望</w:t>
            </w:r>
          </w:p>
        </w:tc>
        <w:tc>
          <w:tcPr>
            <w:tcW w:w="1107"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4.2</w:t>
            </w:r>
          </w:p>
        </w:tc>
        <w:tc>
          <w:tcPr>
            <w:tcW w:w="1070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保留“</w:t>
            </w:r>
            <w:r>
              <w:rPr>
                <w:rFonts w:hint="eastAsia" w:ascii="宋体" w:hAnsi="宋体" w:eastAsia="宋体" w:cs="Arial"/>
                <w:color w:val="auto"/>
                <w:spacing w:val="-6"/>
                <w:sz w:val="21"/>
                <w:szCs w:val="21"/>
                <w:lang w:eastAsia="zh-CN"/>
              </w:rPr>
              <w:t>相关方要求与期望清单”，</w:t>
            </w:r>
            <w:r>
              <w:rPr>
                <w:rFonts w:hint="eastAsia" w:ascii="宋体" w:hAnsi="宋体" w:eastAsia="宋体" w:cs="Arial"/>
                <w:color w:val="auto"/>
                <w:spacing w:val="-6"/>
                <w:sz w:val="21"/>
                <w:szCs w:val="21"/>
                <w:lang w:val="en-US" w:eastAsia="zh-CN"/>
              </w:rPr>
              <w:t>公司内外部相关方包括：</w:t>
            </w:r>
            <w:r>
              <w:rPr>
                <w:rFonts w:hint="eastAsia" w:ascii="宋体" w:hAnsi="宋体" w:eastAsia="宋体" w:cs="Arial"/>
                <w:color w:val="auto"/>
                <w:spacing w:val="-6"/>
                <w:sz w:val="21"/>
                <w:szCs w:val="21"/>
                <w:lang w:eastAsia="zh-CN"/>
              </w:rPr>
              <w:t>环保局、应急管理局、水务局、供电所、业务往来单位、供应商、第三方认证服务机构、外来施工单位、员工</w:t>
            </w:r>
            <w:r>
              <w:rPr>
                <w:rFonts w:hint="eastAsia" w:ascii="宋体" w:hAnsi="宋体" w:eastAsia="宋体" w:cs="Arial"/>
                <w:color w:val="auto"/>
                <w:spacing w:val="-6"/>
                <w:sz w:val="21"/>
                <w:szCs w:val="21"/>
                <w:lang w:val="en-US" w:eastAsia="zh-CN"/>
              </w:rPr>
              <w:t>等，清单中明确了相关方要求与期望、监测指标或项目、监测频率、监测部门等。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基本符合。</w:t>
            </w:r>
          </w:p>
        </w:tc>
        <w:tc>
          <w:tcPr>
            <w:tcW w:w="88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应对风险和机遇的措施</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确定管理体系的范围</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质量/环境管理体系及其过程</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8.3删减合理性</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default" w:ascii="宋体" w:hAnsi="宋体" w:eastAsia="宋体" w:cs="Arial"/>
                <w:spacing w:val="-6"/>
                <w:sz w:val="21"/>
                <w:szCs w:val="21"/>
                <w:lang w:val="en-US" w:eastAsia="zh-CN"/>
              </w:rPr>
              <w:t>变更的策划</w:t>
            </w:r>
          </w:p>
        </w:tc>
        <w:tc>
          <w:tcPr>
            <w:tcW w:w="1107" w:type="dxa"/>
            <w:vAlign w:val="top"/>
          </w:tcPr>
          <w:p>
            <w:pPr>
              <w:adjustRightInd w:val="0"/>
              <w:snapToGrid w:val="0"/>
              <w:spacing w:line="360" w:lineRule="auto"/>
              <w:ind w:right="105" w:rightChars="50"/>
              <w:textAlignment w:val="baseline"/>
              <w:rPr>
                <w:rFonts w:hint="default"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QEO:6.1</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4.3</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4.4</w:t>
            </w:r>
          </w:p>
          <w:p>
            <w:pPr>
              <w:adjustRightInd w:val="0"/>
              <w:snapToGrid w:val="0"/>
              <w:spacing w:line="360" w:lineRule="auto"/>
              <w:ind w:right="105" w:rightChars="50"/>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Q:8.3</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6.3</w:t>
            </w:r>
          </w:p>
        </w:tc>
        <w:tc>
          <w:tcPr>
            <w:tcW w:w="1070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基于对4.1和4.2的考虑，分析了公司存在的风险和机遇：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存在的机遇：国家宏观层面上发展的需要，对整个行业的发展总体是利好；省内主要竞争只有3-4家，公司发展多年，有着良好的声誉和良好的品牌效应，认可度高，都给公司的发展带来了机遇</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存在的风险：主要来自产品质量的风险、作业人员安全风险、主材价格波动成本增加的风险，特别是今年材料价格上涨厉害；</w:t>
            </w:r>
            <w:r>
              <w:rPr>
                <w:rFonts w:hint="eastAsia" w:ascii="宋体" w:hAnsi="宋体" w:eastAsia="宋体" w:cs="Arial"/>
                <w:color w:val="auto"/>
                <w:spacing w:val="-6"/>
                <w:sz w:val="21"/>
                <w:szCs w:val="21"/>
                <w:lang w:eastAsia="zh-CN"/>
              </w:rPr>
              <w:t>环境保护要求日益严格，对水、气、声、渣需严格控制，确保达标排放</w:t>
            </w:r>
            <w:r>
              <w:rPr>
                <w:rFonts w:hint="eastAsia" w:ascii="宋体" w:hAnsi="宋体" w:eastAsia="宋体" w:cs="Arial"/>
                <w:color w:val="auto"/>
                <w:spacing w:val="-6"/>
                <w:sz w:val="21"/>
                <w:szCs w:val="21"/>
                <w:lang w:val="en-US" w:eastAsia="zh-CN"/>
              </w:rPr>
              <w:t>和安全监管加强的政策风险</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编制有《风险和机遇的应对控制程序》，对组织内外的风险和机遇进行了策划。</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重要环境因素：噪声排放、固废排放、烟尘排放、潜在火灾等，基本合理。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控制措施：一般固废集中收集外售；选用低噪声设备，合理布局；个体防护；设备、电路定期检修、不定期检查；提高安全意识，做好火灾预防措施。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一旦发生按相关应急预案执行；制定目标、指标</w:t>
            </w:r>
            <w:r>
              <w:rPr>
                <w:rFonts w:hint="eastAsia" w:ascii="宋体" w:hAnsi="宋体" w:eastAsia="宋体" w:cs="Arial"/>
                <w:color w:val="auto"/>
                <w:spacing w:val="-6"/>
                <w:sz w:val="21"/>
                <w:szCs w:val="21"/>
                <w:lang w:val="en-US" w:eastAsia="zh-CN"/>
              </w:rPr>
              <w:t>和管理方案</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不可接受风险有：机械伤害、吸入性伤害、人身伤害、触电伤害、火灾伤害</w:t>
            </w:r>
            <w:r>
              <w:rPr>
                <w:rFonts w:hint="eastAsia" w:ascii="宋体" w:hAnsi="宋体" w:eastAsia="宋体" w:cs="Arial"/>
                <w:color w:val="auto"/>
                <w:spacing w:val="-6"/>
                <w:sz w:val="21"/>
                <w:szCs w:val="21"/>
                <w:lang w:val="en-US" w:eastAsia="zh-CN"/>
              </w:rPr>
              <w:t>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控制措施：制定操作规程、作业时佩戴劳保防护用品、作业时佩戴防噪耳塞、选用低噪声设备，合理布局；设备、电路定期检修、不定期检查；提高安全意识，做好火灾预防措施；应急预案。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一旦发生按相关应急预案执行；制定目标、指标</w:t>
            </w:r>
            <w:r>
              <w:rPr>
                <w:rFonts w:hint="eastAsia" w:ascii="宋体" w:hAnsi="宋体" w:eastAsia="宋体" w:cs="Arial"/>
                <w:color w:val="auto"/>
                <w:spacing w:val="-6"/>
                <w:sz w:val="21"/>
                <w:szCs w:val="21"/>
                <w:lang w:val="en-US" w:eastAsia="zh-CN"/>
              </w:rPr>
              <w:t>和管理方案</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为应对</w:t>
            </w:r>
            <w:r>
              <w:rPr>
                <w:rFonts w:hint="eastAsia" w:ascii="宋体" w:hAnsi="宋体" w:eastAsia="宋体" w:cs="Arial"/>
                <w:color w:val="auto"/>
                <w:spacing w:val="-6"/>
                <w:sz w:val="21"/>
                <w:szCs w:val="21"/>
                <w:lang w:val="en-US" w:eastAsia="zh-CN"/>
              </w:rPr>
              <w:t>上述</w:t>
            </w:r>
            <w:r>
              <w:rPr>
                <w:rFonts w:hint="eastAsia" w:ascii="宋体" w:hAnsi="宋体" w:eastAsia="宋体" w:cs="Arial"/>
                <w:color w:val="auto"/>
                <w:spacing w:val="-6"/>
                <w:sz w:val="21"/>
                <w:szCs w:val="21"/>
                <w:lang w:eastAsia="zh-CN"/>
              </w:rPr>
              <w:t>的风险和机遇，公司依据GB/T19001-2016、GB/T24001-2016、GB/T45001-2020标准的要求并结合本公司的具体情况，采取PDCA的过程方法，建立、实施、保持并持续改进质量、环境、职业健康安全管理体系。</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保持</w:t>
            </w:r>
            <w:r>
              <w:rPr>
                <w:rFonts w:hint="eastAsia" w:ascii="宋体" w:hAnsi="宋体" w:eastAsia="宋体" w:cs="Arial"/>
                <w:color w:val="auto"/>
                <w:spacing w:val="-6"/>
                <w:sz w:val="21"/>
                <w:szCs w:val="21"/>
                <w:lang w:eastAsia="zh-CN"/>
              </w:rPr>
              <w:t>《管理手册》A/0版，</w:t>
            </w:r>
            <w:r>
              <w:rPr>
                <w:rFonts w:hint="eastAsia" w:ascii="宋体" w:hAnsi="宋体" w:eastAsia="宋体" w:cs="Arial"/>
                <w:color w:val="auto"/>
                <w:spacing w:val="-6"/>
                <w:sz w:val="21"/>
                <w:szCs w:val="21"/>
                <w:lang w:val="en-US" w:eastAsia="zh-CN"/>
              </w:rPr>
              <w:t>于</w:t>
            </w:r>
            <w:r>
              <w:rPr>
                <w:rFonts w:hint="eastAsia" w:ascii="宋体" w:hAnsi="宋体" w:eastAsia="宋体" w:cs="Arial"/>
                <w:color w:val="auto"/>
                <w:spacing w:val="-6"/>
                <w:sz w:val="21"/>
                <w:szCs w:val="21"/>
                <w:lang w:eastAsia="zh-CN"/>
              </w:rPr>
              <w:t>2022年03月05日</w:t>
            </w:r>
            <w:r>
              <w:rPr>
                <w:rFonts w:hint="eastAsia" w:ascii="宋体" w:hAnsi="宋体" w:eastAsia="宋体" w:cs="Arial"/>
                <w:color w:val="auto"/>
                <w:spacing w:val="-6"/>
                <w:sz w:val="21"/>
                <w:szCs w:val="21"/>
                <w:lang w:val="en-US" w:eastAsia="zh-CN"/>
              </w:rPr>
              <w:t>实施；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保持</w:t>
            </w:r>
            <w:r>
              <w:rPr>
                <w:rFonts w:hint="eastAsia" w:ascii="宋体" w:hAnsi="宋体" w:eastAsia="宋体" w:cs="Arial"/>
                <w:color w:val="auto"/>
                <w:spacing w:val="-6"/>
                <w:sz w:val="21"/>
                <w:szCs w:val="21"/>
                <w:lang w:eastAsia="zh-CN"/>
              </w:rPr>
              <w:t>程序文件2</w:t>
            </w:r>
            <w:r>
              <w:rPr>
                <w:rFonts w:hint="eastAsia" w:ascii="宋体" w:hAnsi="宋体" w:eastAsia="宋体" w:cs="Arial"/>
                <w:color w:val="auto"/>
                <w:spacing w:val="-6"/>
                <w:sz w:val="21"/>
                <w:szCs w:val="21"/>
                <w:lang w:val="en-US" w:eastAsia="zh-CN"/>
              </w:rPr>
              <w:t>6</w:t>
            </w:r>
            <w:r>
              <w:rPr>
                <w:rFonts w:hint="eastAsia" w:ascii="宋体" w:hAnsi="宋体" w:eastAsia="宋体" w:cs="Arial"/>
                <w:color w:val="auto"/>
                <w:spacing w:val="-6"/>
                <w:sz w:val="21"/>
                <w:szCs w:val="21"/>
                <w:lang w:eastAsia="zh-CN"/>
              </w:rPr>
              <w:t>个，版本号：A/0，2022年03月05日</w:t>
            </w:r>
            <w:r>
              <w:rPr>
                <w:rFonts w:hint="eastAsia" w:ascii="宋体" w:hAnsi="宋体" w:eastAsia="宋体" w:cs="Arial"/>
                <w:color w:val="auto"/>
                <w:spacing w:val="-6"/>
                <w:sz w:val="21"/>
                <w:szCs w:val="21"/>
                <w:lang w:val="en-US" w:eastAsia="zh-CN"/>
              </w:rPr>
              <w:t>实施；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数控车床安全操作规程、铣床安全操作规程、切割机安全操作规程、磨床安全操作规程、剪板机安全操作规程、锯床安全操作规程、焊工安全操作规程、机械加工作业指导书、焊接作业指导书等</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废弃物处理规定、环境保护管理规定、消防管理规定、计量器具管理规定、入库验收管理规定、不合格品处理管理规定、设备维修管理规定、特种设备管理规定管理制度等若干</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建立有外来文件清单，</w:t>
            </w:r>
            <w:r>
              <w:rPr>
                <w:rFonts w:hint="eastAsia" w:ascii="宋体" w:hAnsi="宋体" w:eastAsia="宋体" w:cs="Arial"/>
                <w:color w:val="auto"/>
                <w:spacing w:val="-6"/>
                <w:sz w:val="21"/>
                <w:szCs w:val="21"/>
                <w:lang w:val="en-US" w:eastAsia="zh-CN"/>
              </w:rPr>
              <w:t>收集有标准、规范8个；</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建立环境、职业健康安全法律法规和其他要求清单，</w:t>
            </w:r>
            <w:r>
              <w:rPr>
                <w:rFonts w:hint="eastAsia" w:ascii="宋体" w:hAnsi="宋体" w:eastAsia="宋体" w:cs="Arial"/>
                <w:color w:val="auto"/>
                <w:spacing w:val="-6"/>
                <w:sz w:val="21"/>
                <w:szCs w:val="21"/>
                <w:lang w:val="en-US" w:eastAsia="zh-CN"/>
              </w:rPr>
              <w:t>环境相关57个，职业健康安全相关48个，相关技术标准6个，基本符合。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本公司识别并确定了如下分工及过程：采购过程、生产过程、销售过程、检验与交付过程、绩效分析、评价与改进等多个过程。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生产工艺流程如下：</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启闭机、闸门、清污机：外购件→机加工→焊接→刷漆→装配→检验→包装→入库</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yellow"/>
                <w:lang w:eastAsia="zh-CN"/>
              </w:rPr>
            </w:pPr>
            <w:r>
              <w:rPr>
                <w:rFonts w:hint="eastAsia" w:ascii="宋体" w:hAnsi="宋体" w:eastAsia="宋体" w:cs="Arial"/>
                <w:color w:val="auto"/>
                <w:spacing w:val="-6"/>
                <w:sz w:val="21"/>
                <w:szCs w:val="21"/>
                <w:lang w:eastAsia="zh-CN"/>
              </w:rPr>
              <w:t>汽车轴类配件：外购件→机加工→检验→出货</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特殊过程：焊接工序</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管理手册中</w:t>
            </w:r>
            <w:r>
              <w:rPr>
                <w:rFonts w:hint="eastAsia" w:ascii="宋体" w:hAnsi="宋体" w:eastAsia="宋体" w:cs="Arial"/>
                <w:color w:val="auto"/>
                <w:spacing w:val="-6"/>
                <w:sz w:val="21"/>
                <w:szCs w:val="21"/>
                <w:lang w:val="en-US" w:eastAsia="zh-CN"/>
              </w:rPr>
              <w:t>确定</w:t>
            </w:r>
            <w:r>
              <w:rPr>
                <w:rFonts w:hint="eastAsia" w:ascii="宋体" w:hAnsi="宋体" w:eastAsia="宋体" w:cs="Arial"/>
                <w:color w:val="auto"/>
                <w:spacing w:val="-6"/>
                <w:sz w:val="21"/>
                <w:szCs w:val="21"/>
                <w:lang w:eastAsia="zh-CN"/>
              </w:rPr>
              <w:t>的认证范围：</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Q：水资源专用机械设备（螺杆式启闭机、固定卷扬式启闭机、平面滑动钢闸门、平面定轮钢闸门、移动式抓斗清污机、回转式格栅清污机、智能测控一体式闸门），汽车轴类配件的生产及销售</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E：水资源专用机械设备（螺杆式启闭机、固定卷扬式启闭机、平面滑动钢闸门、平面定轮钢闸门、移动式抓斗清污机、回转式格栅清污机、智能测控一体式闸门），汽车轴类配件的生产及销售所涉及场所的相关环境管理活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O：水资源专用机械设备（螺杆式启闭机、固定卷扬式启闭机、平面滑动钢闸门、平面定轮钢闸门、移动式抓斗清污机、回转式格栅清污机、智能测控一体式闸门），汽车轴类配件的生产及销售所涉及场所的相关职业健康安全管理活动</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不适用条款：Q8.3。水资源专用机械设备（螺杆式启闭机、固定卷扬式启闭机、平面滑动钢闸门、平面定轮钢闸门、移动式抓斗清污机、回转式格栅清污机、智能测控一体式闸门），汽车轴类配件的生产及销售及其相关管理活动均参照行业标准、企业规范及工艺要求组织生产，此删减不影响产品质量合格和满足客户及法律法规要求的能力和责任。</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公司管理体系新</w:t>
            </w:r>
            <w:r>
              <w:rPr>
                <w:rFonts w:hint="eastAsia" w:ascii="宋体" w:hAnsi="宋体" w:eastAsia="宋体" w:cs="Arial"/>
                <w:color w:val="auto"/>
                <w:spacing w:val="-6"/>
                <w:sz w:val="21"/>
                <w:szCs w:val="21"/>
                <w:lang w:val="en-US" w:eastAsia="zh-CN"/>
              </w:rPr>
              <w:t>建立，无变更</w:t>
            </w:r>
            <w:r>
              <w:rPr>
                <w:rFonts w:hint="eastAsia" w:ascii="宋体" w:hAnsi="宋体" w:eastAsia="宋体" w:cs="Arial"/>
                <w:color w:val="auto"/>
                <w:spacing w:val="-6"/>
                <w:sz w:val="21"/>
                <w:szCs w:val="21"/>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eastAsia="zh-CN"/>
              </w:rPr>
              <w:t>基本合理。</w:t>
            </w:r>
          </w:p>
        </w:tc>
        <w:tc>
          <w:tcPr>
            <w:tcW w:w="88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质量/环境/职业健康方针</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质量/环境/职业健康安全目标及其实现的策划</w:t>
            </w:r>
          </w:p>
        </w:tc>
        <w:tc>
          <w:tcPr>
            <w:tcW w:w="1107"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5.2</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6.2</w:t>
            </w:r>
          </w:p>
        </w:tc>
        <w:tc>
          <w:tcPr>
            <w:tcW w:w="1070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《管理手册》中明确了公司的质量、环境、职业健康安全方针是：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质量环境职业健康安全方针：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 xml:space="preserve">质量至上、持续创新、诚实守信、顾客至上 </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预防为主，降低风险；遵章守法，创造和谐</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方针适宜于公司现状，在管理手册中明确，通过文件发放，是员工获知，适用时提供给相关方。并以方针为框架，建立了公司管理目标：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质量目标：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产品出厂合格率≥98%；</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顾客满意度≥95分；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环保安全目标：</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固体废弃物分类处置率≥97%；</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火灾事故发生率为0；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职业病发生率为0；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员工重大伤亡率为0；</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保留有</w:t>
            </w:r>
            <w:r>
              <w:rPr>
                <w:rFonts w:hint="default" w:ascii="宋体" w:hAnsi="宋体" w:eastAsia="宋体" w:cs="Arial"/>
                <w:color w:val="auto"/>
                <w:spacing w:val="-6"/>
                <w:sz w:val="21"/>
                <w:szCs w:val="21"/>
                <w:lang w:val="en-US" w:eastAsia="zh-CN"/>
              </w:rPr>
              <w:t>公司的环境和安全管理方案和控制措施。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基本符合。</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保留“</w:t>
            </w:r>
            <w:r>
              <w:rPr>
                <w:rFonts w:hint="eastAsia" w:ascii="宋体" w:hAnsi="宋体" w:eastAsia="宋体" w:cs="Arial"/>
                <w:color w:val="auto"/>
                <w:spacing w:val="-6"/>
                <w:sz w:val="21"/>
                <w:szCs w:val="21"/>
                <w:lang w:val="en-US" w:eastAsia="zh-CN"/>
              </w:rPr>
              <w:t>目标完成计划</w:t>
            </w:r>
            <w:r>
              <w:rPr>
                <w:rFonts w:hint="default" w:ascii="宋体" w:hAnsi="宋体" w:eastAsia="宋体" w:cs="Arial"/>
                <w:color w:val="auto"/>
                <w:spacing w:val="-6"/>
                <w:sz w:val="21"/>
                <w:szCs w:val="21"/>
                <w:lang w:val="en-US" w:eastAsia="zh-CN"/>
              </w:rPr>
              <w:t>”，对管理目标</w:t>
            </w:r>
            <w:r>
              <w:rPr>
                <w:rFonts w:hint="eastAsia" w:ascii="宋体" w:hAnsi="宋体" w:eastAsia="宋体" w:cs="Arial"/>
                <w:color w:val="auto"/>
                <w:spacing w:val="-6"/>
                <w:sz w:val="21"/>
                <w:szCs w:val="21"/>
                <w:lang w:val="en-US" w:eastAsia="zh-CN"/>
              </w:rPr>
              <w:t>按照部门</w:t>
            </w:r>
            <w:r>
              <w:rPr>
                <w:rFonts w:hint="default" w:ascii="宋体" w:hAnsi="宋体" w:eastAsia="宋体" w:cs="Arial"/>
                <w:color w:val="auto"/>
                <w:spacing w:val="-6"/>
                <w:sz w:val="21"/>
                <w:szCs w:val="21"/>
                <w:lang w:val="en-US" w:eastAsia="zh-CN"/>
              </w:rPr>
              <w:t>进行了分解</w:t>
            </w:r>
            <w:r>
              <w:rPr>
                <w:rFonts w:hint="eastAsia" w:ascii="宋体" w:hAnsi="宋体" w:eastAsia="宋体" w:cs="Arial"/>
                <w:color w:val="auto"/>
                <w:spacing w:val="-6"/>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保留“</w:t>
            </w:r>
            <w:r>
              <w:rPr>
                <w:rFonts w:hint="default" w:ascii="宋体" w:hAnsi="宋体" w:eastAsia="宋体" w:cs="Arial"/>
                <w:color w:val="auto"/>
                <w:spacing w:val="-6"/>
                <w:sz w:val="21"/>
                <w:szCs w:val="21"/>
                <w:lang w:val="en-US" w:eastAsia="zh-CN"/>
              </w:rPr>
              <w:t>目标分解考核表</w:t>
            </w:r>
            <w:r>
              <w:rPr>
                <w:rFonts w:hint="eastAsia" w:ascii="宋体" w:hAnsi="宋体" w:eastAsia="宋体" w:cs="Arial"/>
                <w:color w:val="auto"/>
                <w:spacing w:val="-6"/>
                <w:sz w:val="21"/>
                <w:szCs w:val="21"/>
                <w:lang w:val="en-US" w:eastAsia="zh-CN"/>
              </w:rPr>
              <w:t>”，</w:t>
            </w:r>
            <w:r>
              <w:rPr>
                <w:rFonts w:hint="default" w:ascii="宋体" w:hAnsi="宋体" w:eastAsia="宋体" w:cs="Arial"/>
                <w:color w:val="auto"/>
                <w:spacing w:val="-6"/>
                <w:sz w:val="21"/>
                <w:szCs w:val="21"/>
                <w:lang w:val="en-US" w:eastAsia="zh-CN"/>
              </w:rPr>
              <w:t>2022.7.3</w:t>
            </w:r>
            <w:r>
              <w:rPr>
                <w:rFonts w:hint="eastAsia" w:ascii="宋体" w:hAnsi="宋体" w:eastAsia="宋体" w:cs="Arial"/>
                <w:color w:val="auto"/>
                <w:spacing w:val="-6"/>
                <w:sz w:val="21"/>
                <w:szCs w:val="21"/>
                <w:lang w:val="en-US" w:eastAsia="zh-CN"/>
              </w:rPr>
              <w:t>考核，</w:t>
            </w:r>
            <w:r>
              <w:rPr>
                <w:rFonts w:hint="default" w:ascii="宋体" w:hAnsi="宋体" w:eastAsia="宋体" w:cs="Arial"/>
                <w:color w:val="auto"/>
                <w:spacing w:val="-6"/>
                <w:sz w:val="21"/>
                <w:szCs w:val="21"/>
                <w:lang w:val="en-US" w:eastAsia="zh-CN"/>
              </w:rPr>
              <w:t>2022年</w:t>
            </w:r>
            <w:r>
              <w:rPr>
                <w:rFonts w:hint="eastAsia" w:ascii="宋体" w:hAnsi="宋体" w:eastAsia="宋体" w:cs="Arial"/>
                <w:color w:val="auto"/>
                <w:spacing w:val="-6"/>
                <w:sz w:val="21"/>
                <w:szCs w:val="21"/>
                <w:lang w:val="en-US" w:eastAsia="zh-CN"/>
              </w:rPr>
              <w:t>二</w:t>
            </w:r>
            <w:r>
              <w:rPr>
                <w:rFonts w:hint="default" w:ascii="宋体" w:hAnsi="宋体" w:eastAsia="宋体" w:cs="Arial"/>
                <w:color w:val="auto"/>
                <w:spacing w:val="-6"/>
                <w:sz w:val="21"/>
                <w:szCs w:val="21"/>
                <w:lang w:val="en-US" w:eastAsia="zh-CN"/>
              </w:rPr>
              <w:t>季度目标均已完成。</w:t>
            </w:r>
          </w:p>
        </w:tc>
        <w:tc>
          <w:tcPr>
            <w:tcW w:w="88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组织的岗位、职责和权限</w:t>
            </w:r>
          </w:p>
        </w:tc>
        <w:tc>
          <w:tcPr>
            <w:tcW w:w="1107" w:type="dxa"/>
            <w:vAlign w:val="top"/>
          </w:tcPr>
          <w:p>
            <w:pPr>
              <w:adjustRightInd w:val="0"/>
              <w:snapToGrid w:val="0"/>
              <w:spacing w:line="360" w:lineRule="auto"/>
              <w:ind w:right="105" w:rightChars="50"/>
              <w:jc w:val="center"/>
              <w:textAlignment w:val="baseline"/>
              <w:rPr>
                <w:rFonts w:hint="eastAsia" w:ascii="宋体" w:hAnsi="宋体" w:eastAsia="宋体" w:cs="Arial"/>
                <w:spacing w:val="-6"/>
                <w:sz w:val="21"/>
                <w:szCs w:val="21"/>
                <w:lang w:val="en-US" w:eastAsia="zh-CN"/>
              </w:rPr>
            </w:pPr>
            <w:r>
              <w:rPr>
                <w:rFonts w:hint="eastAsia" w:ascii="宋体" w:hAnsi="宋体" w:eastAsia="宋体" w:cs="Arial"/>
                <w:spacing w:val="-6"/>
                <w:sz w:val="21"/>
                <w:szCs w:val="21"/>
                <w:lang w:val="en-US" w:eastAsia="zh-CN"/>
              </w:rPr>
              <w:t>QEO:5.1</w:t>
            </w:r>
          </w:p>
          <w:p>
            <w:pPr>
              <w:adjustRightInd w:val="0"/>
              <w:snapToGrid w:val="0"/>
              <w:spacing w:line="360" w:lineRule="auto"/>
              <w:ind w:right="105" w:rightChars="50"/>
              <w:jc w:val="center"/>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5.3</w:t>
            </w:r>
          </w:p>
        </w:tc>
        <w:tc>
          <w:tcPr>
            <w:tcW w:w="1070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最高管理者</w:t>
            </w:r>
            <w:r>
              <w:rPr>
                <w:rFonts w:hint="eastAsia" w:ascii="宋体" w:hAnsi="宋体" w:eastAsia="宋体" w:cs="Arial"/>
                <w:color w:val="auto"/>
                <w:spacing w:val="-6"/>
                <w:sz w:val="21"/>
                <w:szCs w:val="21"/>
                <w:lang w:val="en-US" w:eastAsia="zh-CN"/>
              </w:rPr>
              <w:t>在管理手册中</w:t>
            </w:r>
            <w:r>
              <w:rPr>
                <w:rFonts w:hint="eastAsia" w:ascii="宋体" w:hAnsi="宋体" w:eastAsia="宋体" w:cs="Arial"/>
                <w:color w:val="auto"/>
                <w:spacing w:val="-6"/>
                <w:sz w:val="21"/>
                <w:szCs w:val="21"/>
                <w:lang w:eastAsia="zh-CN"/>
              </w:rPr>
              <w:t>明确了各部门和各岗位的职责和权限，以确保管理体系符合各项标准的要求，并确保各个过程获得其预期输出。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val="en-US" w:eastAsia="zh-CN"/>
              </w:rPr>
              <w:t>经授权的分管领导</w:t>
            </w:r>
            <w:r>
              <w:rPr>
                <w:rFonts w:hint="eastAsia" w:ascii="宋体" w:hAnsi="宋体" w:eastAsia="宋体" w:cs="Arial"/>
                <w:color w:val="auto"/>
                <w:spacing w:val="-6"/>
                <w:sz w:val="21"/>
                <w:szCs w:val="21"/>
                <w:lang w:eastAsia="zh-CN"/>
              </w:rPr>
              <w:t>向最高管理者报告质量、环境、职业健康安全管理体系的绩效及改进机会，确保整个组织推动以顾客为关注焦点、</w:t>
            </w:r>
            <w:r>
              <w:rPr>
                <w:rFonts w:hint="eastAsia" w:ascii="宋体" w:hAnsi="宋体" w:eastAsia="宋体" w:cs="Arial"/>
                <w:color w:val="auto"/>
                <w:spacing w:val="-6"/>
                <w:sz w:val="21"/>
                <w:szCs w:val="21"/>
                <w:lang w:val="en-US" w:eastAsia="zh-CN"/>
              </w:rPr>
              <w:t>保持环境管理和职业健康安全管理绩效</w:t>
            </w:r>
            <w:r>
              <w:rPr>
                <w:rFonts w:hint="eastAsia" w:ascii="宋体" w:hAnsi="宋体" w:eastAsia="宋体" w:cs="Arial"/>
                <w:color w:val="auto"/>
                <w:spacing w:val="-6"/>
                <w:sz w:val="21"/>
                <w:szCs w:val="21"/>
                <w:lang w:eastAsia="zh-CN"/>
              </w:rPr>
              <w:t>，确保在策划和实施管理体系变更时保持其完整性。</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公司组织机构设置有：行政科、生产科、供销科、质检科。</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经查每个部门均有部门职责和权限，各岗位的职责和权限、任职要求在《</w:t>
            </w:r>
            <w:r>
              <w:rPr>
                <w:rFonts w:hint="eastAsia" w:ascii="宋体" w:hAnsi="宋体" w:eastAsia="宋体" w:cs="Arial"/>
                <w:color w:val="auto"/>
                <w:spacing w:val="-6"/>
                <w:sz w:val="21"/>
                <w:szCs w:val="21"/>
                <w:lang w:val="en-US" w:eastAsia="zh-CN"/>
              </w:rPr>
              <w:t>管理手册</w:t>
            </w:r>
            <w:r>
              <w:rPr>
                <w:rFonts w:hint="eastAsia" w:ascii="宋体" w:hAnsi="宋体" w:eastAsia="宋体" w:cs="Arial"/>
                <w:color w:val="auto"/>
                <w:spacing w:val="-6"/>
                <w:sz w:val="21"/>
                <w:szCs w:val="21"/>
                <w:lang w:eastAsia="zh-CN"/>
              </w:rPr>
              <w:t>》中得到规定。</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eastAsia="zh-CN"/>
              </w:rPr>
              <w:t>经查问组织内的职责和权限基本得到沟通，通过文件发布、传达、会议、培训等了解有关职责和权限。同总经理交谈，对于自身职责权限比较清楚。</w:t>
            </w:r>
          </w:p>
        </w:tc>
        <w:tc>
          <w:tcPr>
            <w:tcW w:w="88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资源</w:t>
            </w:r>
          </w:p>
        </w:tc>
        <w:tc>
          <w:tcPr>
            <w:tcW w:w="1107"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w:t>
            </w:r>
            <w:r>
              <w:rPr>
                <w:rFonts w:hint="eastAsia" w:ascii="宋体" w:hAnsi="宋体" w:eastAsia="宋体" w:cs="Arial"/>
                <w:spacing w:val="-6"/>
                <w:sz w:val="21"/>
                <w:szCs w:val="21"/>
              </w:rPr>
              <w:t>7.1.1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EO</w:t>
            </w:r>
            <w:r>
              <w:rPr>
                <w:rFonts w:hint="eastAsia" w:ascii="宋体" w:hAnsi="宋体" w:eastAsia="宋体" w:cs="Arial"/>
                <w:spacing w:val="-6"/>
                <w:sz w:val="21"/>
                <w:szCs w:val="21"/>
                <w:lang w:val="en-US" w:eastAsia="zh-CN"/>
              </w:rPr>
              <w:t>:</w:t>
            </w:r>
            <w:r>
              <w:rPr>
                <w:rFonts w:hint="eastAsia" w:ascii="宋体" w:hAnsi="宋体" w:eastAsia="宋体" w:cs="Arial"/>
                <w:spacing w:val="-6"/>
                <w:sz w:val="21"/>
                <w:szCs w:val="21"/>
              </w:rPr>
              <w:t>7.1</w:t>
            </w:r>
          </w:p>
        </w:tc>
        <w:tc>
          <w:tcPr>
            <w:tcW w:w="1070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江西省拓鸿水利设备有限公司成立于2020年10月01日，</w:t>
            </w:r>
            <w:r>
              <w:rPr>
                <w:rFonts w:hint="eastAsia" w:ascii="宋体" w:hAnsi="宋体" w:cs="Arial"/>
                <w:color w:val="auto"/>
                <w:spacing w:val="-6"/>
                <w:sz w:val="21"/>
                <w:szCs w:val="21"/>
                <w:lang w:val="en-US" w:eastAsia="zh-CN"/>
              </w:rPr>
              <w:t>注册资金1200万元；</w:t>
            </w:r>
            <w:r>
              <w:rPr>
                <w:rFonts w:hint="eastAsia" w:ascii="宋体" w:hAnsi="宋体" w:eastAsia="宋体" w:cs="Arial"/>
                <w:color w:val="auto"/>
                <w:spacing w:val="-6"/>
                <w:sz w:val="21"/>
                <w:szCs w:val="21"/>
                <w:highlight w:val="none"/>
                <w:lang w:val="en-US" w:eastAsia="zh-CN"/>
              </w:rPr>
              <w:t>工厂占地面积5000平方米。</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公司现有人员26人，其中持证焊工、无损探伤、电气工程师等；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highlight w:val="none"/>
                <w:lang w:eastAsia="zh-CN"/>
              </w:rPr>
            </w:pPr>
            <w:r>
              <w:rPr>
                <w:rFonts w:hint="eastAsia" w:ascii="宋体" w:hAnsi="宋体" w:eastAsia="宋体" w:cs="Arial"/>
                <w:color w:val="auto"/>
                <w:spacing w:val="-6"/>
                <w:sz w:val="21"/>
                <w:szCs w:val="21"/>
                <w:highlight w:val="none"/>
                <w:lang w:eastAsia="zh-CN"/>
              </w:rPr>
              <w:t>主要生产设备有</w:t>
            </w:r>
            <w:r>
              <w:rPr>
                <w:rFonts w:hint="eastAsia" w:ascii="宋体" w:hAnsi="宋体" w:eastAsia="宋体" w:cs="Arial"/>
                <w:color w:val="auto"/>
                <w:spacing w:val="-6"/>
                <w:sz w:val="21"/>
                <w:szCs w:val="21"/>
                <w:highlight w:val="none"/>
                <w:lang w:val="en-US" w:eastAsia="zh-CN"/>
              </w:rPr>
              <w:t>:</w:t>
            </w:r>
            <w:r>
              <w:rPr>
                <w:rFonts w:hint="eastAsia" w:ascii="宋体" w:hAnsi="宋体" w:eastAsia="宋体" w:cs="Arial"/>
                <w:color w:val="auto"/>
                <w:spacing w:val="-6"/>
                <w:sz w:val="21"/>
                <w:szCs w:val="21"/>
                <w:highlight w:val="none"/>
                <w:lang w:eastAsia="zh-CN"/>
              </w:rPr>
              <w:t>电动单梁起重机、二氧保护焊机、空气等离子弧切割机、空压机、数控机床等。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特种设备有</w:t>
            </w:r>
            <w:r>
              <w:rPr>
                <w:rFonts w:hint="eastAsia" w:ascii="宋体" w:hAnsi="宋体" w:eastAsia="宋体" w:cs="Arial"/>
                <w:color w:val="auto"/>
                <w:spacing w:val="-6"/>
                <w:sz w:val="21"/>
                <w:szCs w:val="21"/>
                <w:lang w:val="en-US" w:eastAsia="zh-CN"/>
              </w:rPr>
              <w:t>:</w:t>
            </w:r>
            <w:r>
              <w:rPr>
                <w:rFonts w:hint="eastAsia" w:ascii="宋体" w:hAnsi="宋体" w:eastAsia="宋体" w:cs="Arial"/>
                <w:color w:val="auto"/>
                <w:spacing w:val="-6"/>
                <w:sz w:val="21"/>
                <w:szCs w:val="21"/>
                <w:highlight w:val="none"/>
                <w:lang w:eastAsia="zh-CN"/>
              </w:rPr>
              <w:t>电动单梁起重机</w:t>
            </w:r>
            <w:r>
              <w:rPr>
                <w:rFonts w:hint="eastAsia" w:ascii="宋体" w:hAnsi="宋体" w:eastAsia="宋体" w:cs="Arial"/>
                <w:color w:val="auto"/>
                <w:spacing w:val="-6"/>
                <w:sz w:val="21"/>
                <w:szCs w:val="21"/>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eastAsia="zh-CN"/>
              </w:rPr>
              <w:t>计量器具有</w:t>
            </w:r>
            <w:r>
              <w:rPr>
                <w:rFonts w:hint="eastAsia" w:ascii="宋体" w:hAnsi="宋体" w:eastAsia="宋体" w:cs="Arial"/>
                <w:color w:val="auto"/>
                <w:spacing w:val="-6"/>
                <w:sz w:val="21"/>
                <w:szCs w:val="21"/>
                <w:lang w:val="en-US" w:eastAsia="zh-CN"/>
              </w:rPr>
              <w:t>:塞尺、外径千分尺、超声波探伤仪、百分表、深度游标卡尺、钢卷尺等；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eastAsia="zh-CN"/>
              </w:rPr>
            </w:pPr>
            <w:r>
              <w:rPr>
                <w:rFonts w:hint="eastAsia" w:ascii="宋体" w:hAnsi="宋体" w:eastAsia="宋体" w:cs="Arial"/>
                <w:color w:val="auto"/>
                <w:spacing w:val="-6"/>
                <w:sz w:val="21"/>
                <w:szCs w:val="21"/>
                <w:lang w:eastAsia="zh-CN"/>
              </w:rPr>
              <w:t>环保设施有：灭火器、垃圾桶等；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确认公司目前人力资源、基础设施、销售人员、财力、信息等资源均能保证。公司厂房，库房、</w:t>
            </w:r>
            <w:r>
              <w:rPr>
                <w:rFonts w:hint="eastAsia" w:ascii="宋体" w:hAnsi="宋体" w:eastAsia="宋体" w:cs="Arial"/>
                <w:color w:val="auto"/>
                <w:spacing w:val="-6"/>
                <w:sz w:val="21"/>
                <w:szCs w:val="21"/>
                <w:lang w:val="en-US" w:eastAsia="zh-CN"/>
              </w:rPr>
              <w:t>办公区域</w:t>
            </w:r>
            <w:r>
              <w:rPr>
                <w:rFonts w:hint="default" w:ascii="宋体" w:hAnsi="宋体" w:eastAsia="宋体" w:cs="Arial"/>
                <w:color w:val="auto"/>
                <w:spacing w:val="-6"/>
                <w:sz w:val="21"/>
                <w:szCs w:val="21"/>
                <w:lang w:val="en-US" w:eastAsia="zh-CN"/>
              </w:rPr>
              <w:t>、会议室</w:t>
            </w:r>
            <w:r>
              <w:rPr>
                <w:rFonts w:hint="eastAsia" w:ascii="宋体" w:hAnsi="宋体" w:eastAsia="宋体" w:cs="Arial"/>
                <w:color w:val="auto"/>
                <w:spacing w:val="-6"/>
                <w:sz w:val="21"/>
                <w:szCs w:val="21"/>
                <w:lang w:val="en-US" w:eastAsia="zh-CN"/>
              </w:rPr>
              <w:t>等</w:t>
            </w:r>
            <w:r>
              <w:rPr>
                <w:rFonts w:hint="default" w:ascii="宋体" w:hAnsi="宋体" w:eastAsia="宋体" w:cs="Arial"/>
                <w:color w:val="auto"/>
                <w:spacing w:val="-6"/>
                <w:sz w:val="21"/>
                <w:szCs w:val="21"/>
                <w:lang w:val="en-US" w:eastAsia="zh-CN"/>
              </w:rPr>
              <w:t>现场配备了灭火器等消防安全设备，能保证企业正常办公。</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default" w:ascii="宋体" w:hAnsi="宋体" w:eastAsia="宋体" w:cs="Arial"/>
                <w:color w:val="auto"/>
                <w:spacing w:val="-6"/>
                <w:sz w:val="21"/>
                <w:szCs w:val="21"/>
                <w:lang w:val="en-US" w:eastAsia="zh-CN"/>
              </w:rPr>
              <w:t>公司财务能保证质量、环境、职业健康安全工作的开展，确保相关资金及时投入</w:t>
            </w:r>
            <w:r>
              <w:rPr>
                <w:rFonts w:hint="eastAsia" w:ascii="宋体" w:hAnsi="宋体" w:eastAsia="宋体" w:cs="Arial"/>
                <w:color w:val="auto"/>
                <w:spacing w:val="-6"/>
                <w:sz w:val="21"/>
                <w:szCs w:val="21"/>
                <w:lang w:val="en-US" w:eastAsia="zh-CN"/>
              </w:rPr>
              <w:t>，2022年已投入10.8万元</w:t>
            </w:r>
            <w:r>
              <w:rPr>
                <w:rFonts w:hint="default" w:ascii="宋体" w:hAnsi="宋体" w:eastAsia="宋体" w:cs="Arial"/>
                <w:color w:val="auto"/>
                <w:spacing w:val="-6"/>
                <w:sz w:val="21"/>
                <w:szCs w:val="21"/>
                <w:lang w:val="en-US" w:eastAsia="zh-CN"/>
              </w:rPr>
              <w:t>。</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lang w:val="en-US" w:eastAsia="zh-CN" w:bidi="ar-SA"/>
              </w:rPr>
            </w:pPr>
            <w:r>
              <w:rPr>
                <w:rFonts w:hint="default" w:ascii="宋体" w:hAnsi="宋体" w:eastAsia="宋体" w:cs="Arial"/>
                <w:color w:val="auto"/>
                <w:spacing w:val="-6"/>
                <w:sz w:val="21"/>
                <w:szCs w:val="21"/>
                <w:lang w:val="en-US" w:eastAsia="zh-CN"/>
              </w:rPr>
              <w:t>基本能满足体系运行的要求。</w:t>
            </w:r>
          </w:p>
        </w:tc>
        <w:tc>
          <w:tcPr>
            <w:tcW w:w="88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沟通</w:t>
            </w:r>
          </w:p>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信息交流</w:t>
            </w:r>
          </w:p>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协商与参与</w:t>
            </w:r>
          </w:p>
        </w:tc>
        <w:tc>
          <w:tcPr>
            <w:tcW w:w="1107"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7.4</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O:5.4</w:t>
            </w:r>
          </w:p>
        </w:tc>
        <w:tc>
          <w:tcPr>
            <w:tcW w:w="1070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组织在各部门之间建立了与体系有关的信息通渠沟道，借助于会议、电话、微信、网络、口头交流等方式使全体员工达到沟通和理解。目前各部门协调一致，工作上的接口基本理顺。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总经理定期主持经营办公例会，分析公司的发展、市场情况和体系运行是否有效，管理目标完成情况，满足顾客要求和法规程度，改进建议等内部管理存在问题等。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总经理为协商、参与提供了时间、机会、培训、资源等保障，明确了沟通、协商、参与渠道，消除了障碍和壁垒。</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管代徐刚锐介绍公司规模不大，人员不多，组织为各部门管理人员及非管理类工作人员明确了职责和权限，各部门管理人员及非管理类工作人员参与了环境因素和危险源辨识、风险和机遇评价和控制措施的确定，在确定相关方的需求和期望时进行了适当的协商，共同参与了质量、环境、职业健康安全方针和目标的制定和评审，共同协商如何履行法律法规要求和其他要求，在确定管理体系的监视和测量及内部审核方案和持续改进方向时进行了事先协商，如有事件发生将组织相关人员适当参与事件调查。</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日常对于质量、环保、安全方面的信息主要利用会议、培训、座谈、电话、网络、收文等方式进行内外部沟通和协商。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经交流：目前与环保、劳动、消防、安监部门的外部信息交流主要是参加会议、接收来文、电话、邮件等，均按要求予以传达和落实，沟通情况较好。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相关人员能够适当参与并协商办理公司经营管理及安全事务等工作。</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公司经选举确定职业健康安全事务代表是</w:t>
            </w:r>
            <w:r>
              <w:rPr>
                <w:rFonts w:hint="eastAsia" w:ascii="宋体" w:hAnsi="宋体" w:cs="Arial"/>
                <w:color w:val="auto"/>
                <w:spacing w:val="-6"/>
                <w:sz w:val="21"/>
                <w:szCs w:val="21"/>
                <w:u w:val="single"/>
                <w:lang w:val="en-US" w:eastAsia="zh-CN"/>
              </w:rPr>
              <w:t>熊学杰</w:t>
            </w:r>
            <w:r>
              <w:rPr>
                <w:rFonts w:hint="eastAsia" w:ascii="宋体" w:hAnsi="宋体" w:eastAsia="宋体" w:cs="Arial"/>
                <w:color w:val="auto"/>
                <w:spacing w:val="-6"/>
                <w:sz w:val="21"/>
                <w:szCs w:val="21"/>
                <w:lang w:val="en-US" w:eastAsia="zh-CN"/>
              </w:rPr>
              <w:t>，无变化；</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a）负责职工代表大会的日常工作，检查、督促职工代表大会决议的执行；</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b）负责召开讨论有关工资、福利、劳动安全卫生、社会保险等涉及职工切身利益的会议，代表员工反映员工的建议和意见；</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c）接收、处理外部职业健康安全信息；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d）交流各级职能部门间产生的职业健康安全信息；</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e）收集、处理和反馈员工所关心的职业健康安全问题；</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f）参与职业健康安全工作方针和程序的制定、评审和实施；</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g）参与影响作业场所人员职业健康安全的任何变化的讨论。</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由于公司福利待遇正常发放，员工无抱怨，目前信息交流机制畅通。</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现有的沟通渠道和方法能满足要求。</w:t>
            </w:r>
          </w:p>
        </w:tc>
        <w:tc>
          <w:tcPr>
            <w:tcW w:w="88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adjustRightInd w:val="0"/>
              <w:snapToGrid w:val="0"/>
              <w:spacing w:line="36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管理评审</w:t>
            </w:r>
          </w:p>
        </w:tc>
        <w:tc>
          <w:tcPr>
            <w:tcW w:w="1107"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9.3</w:t>
            </w:r>
          </w:p>
        </w:tc>
        <w:tc>
          <w:tcPr>
            <w:tcW w:w="1070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2022年7月18日在会议室徐刚锐总经理主持了管理评审。保留有管理评审计划、管理评审会议通知、评审记录、评审报告和改进措施计划等；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管理评审输入较充分；</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管理评审结论：管理体系的建立和运行是充分的、适宜的、有效的。</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改进措施建议：进一步加强车间环境管控，进行目视化管理，分区堆放；员工加强安全意识培训，行政科定时定期组织车间人员进行安全意识培训，降低生产事故的发生。</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保留有“管理评审改进措施计划”。</w:t>
            </w:r>
          </w:p>
        </w:tc>
        <w:tc>
          <w:tcPr>
            <w:tcW w:w="88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改进</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持续改进</w:t>
            </w:r>
          </w:p>
        </w:tc>
        <w:tc>
          <w:tcPr>
            <w:tcW w:w="1107" w:type="dxa"/>
            <w:vAlign w:val="top"/>
          </w:tcPr>
          <w:p>
            <w:pPr>
              <w:adjustRightInd w:val="0"/>
              <w:snapToGrid w:val="0"/>
              <w:spacing w:line="36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lang w:val="en-US" w:eastAsia="zh-CN"/>
              </w:rPr>
              <w:t>QEO:</w:t>
            </w:r>
            <w:r>
              <w:rPr>
                <w:rFonts w:hint="eastAsia" w:ascii="宋体" w:hAnsi="宋体" w:eastAsia="宋体" w:cs="Arial"/>
                <w:spacing w:val="-6"/>
                <w:sz w:val="21"/>
                <w:szCs w:val="21"/>
              </w:rPr>
              <w:t>10.1</w:t>
            </w:r>
          </w:p>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10.3</w:t>
            </w:r>
          </w:p>
        </w:tc>
        <w:tc>
          <w:tcPr>
            <w:tcW w:w="10702" w:type="dxa"/>
            <w:vAlign w:val="top"/>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管理者代表根据总经理意图组织持续改进过程的策划工作，由行政部实施持续改进过程的管理。公司体系运行的持续改进，是通过方针、目标、管理方案的制定与实施，通过内外部的审核结果，管理评审的开展，分析和评价结果、纠正预防措施的实施，促进管理体系的持续改进。并通过对各项工作的考核，不断提出改进要求，全员的质量、环保、职业健康意识、安全意识有较大的提高，持续改进了管理体系的有效性。</w:t>
            </w:r>
          </w:p>
        </w:tc>
        <w:tc>
          <w:tcPr>
            <w:tcW w:w="88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lang w:eastAsia="zh-CN"/>
              </w:rPr>
              <w:t>一阶段审核</w:t>
            </w:r>
            <w:r>
              <w:rPr>
                <w:rFonts w:hint="eastAsia" w:ascii="宋体" w:hAnsi="宋体" w:eastAsia="宋体" w:cs="Arial"/>
                <w:spacing w:val="-6"/>
                <w:sz w:val="21"/>
                <w:szCs w:val="21"/>
              </w:rPr>
              <w:t>问题验证</w:t>
            </w:r>
          </w:p>
        </w:tc>
        <w:tc>
          <w:tcPr>
            <w:tcW w:w="1107"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107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一阶段审核时未发现问题。</w:t>
            </w:r>
          </w:p>
        </w:tc>
        <w:tc>
          <w:tcPr>
            <w:tcW w:w="88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adjustRightInd w:val="0"/>
              <w:snapToGrid w:val="0"/>
              <w:spacing w:line="240" w:lineRule="auto"/>
              <w:ind w:right="105" w:rightChars="50"/>
              <w:textAlignment w:val="baseline"/>
              <w:rPr>
                <w:rFonts w:hint="eastAsia" w:ascii="宋体" w:hAnsi="宋体" w:eastAsia="宋体" w:cs="Arial"/>
                <w:spacing w:val="-6"/>
                <w:kern w:val="2"/>
                <w:sz w:val="21"/>
                <w:szCs w:val="21"/>
                <w:lang w:val="en-US" w:eastAsia="zh-CN" w:bidi="ar-SA"/>
              </w:rPr>
            </w:pPr>
            <w:r>
              <w:rPr>
                <w:rFonts w:hint="eastAsia" w:ascii="宋体" w:hAnsi="宋体" w:eastAsia="宋体" w:cs="Arial"/>
                <w:spacing w:val="-6"/>
                <w:sz w:val="21"/>
                <w:szCs w:val="21"/>
              </w:rPr>
              <w:t>验证企业相关资质证明的有效性</w:t>
            </w:r>
          </w:p>
        </w:tc>
        <w:tc>
          <w:tcPr>
            <w:tcW w:w="1107"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107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eastAsia="zh-CN"/>
              </w:rPr>
              <w:t>国家企业信用信息公示系统</w:t>
            </w:r>
            <w:r>
              <w:rPr>
                <w:rFonts w:hint="eastAsia" w:ascii="宋体" w:hAnsi="宋体" w:eastAsia="宋体" w:cs="Arial"/>
                <w:color w:val="auto"/>
                <w:spacing w:val="-6"/>
                <w:sz w:val="21"/>
                <w:szCs w:val="21"/>
                <w:lang w:val="en-US" w:eastAsia="zh-CN"/>
              </w:rPr>
              <w:t>查询结果：营业执照续存，无风险警示。营业执照，有效。</w:t>
            </w:r>
          </w:p>
        </w:tc>
        <w:tc>
          <w:tcPr>
            <w:tcW w:w="88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013" w:type="dxa"/>
            <w:vAlign w:val="top"/>
          </w:tcPr>
          <w:p>
            <w:pPr>
              <w:adjustRightInd w:val="0"/>
              <w:snapToGrid w:val="0"/>
              <w:spacing w:line="240" w:lineRule="auto"/>
              <w:ind w:right="105" w:rightChars="50"/>
              <w:textAlignment w:val="baseline"/>
              <w:rPr>
                <w:rFonts w:hint="eastAsia" w:ascii="宋体" w:hAnsi="宋体" w:eastAsia="宋体" w:cs="Arial"/>
                <w:spacing w:val="-6"/>
                <w:sz w:val="21"/>
                <w:szCs w:val="21"/>
              </w:rPr>
            </w:pPr>
            <w:r>
              <w:rPr>
                <w:rFonts w:hint="eastAsia" w:ascii="宋体" w:hAnsi="宋体" w:eastAsia="宋体" w:cs="Arial"/>
                <w:spacing w:val="-6"/>
                <w:sz w:val="21"/>
                <w:szCs w:val="21"/>
              </w:rPr>
              <w:t>顾客满意、相关方投诉及处理情况</w:t>
            </w:r>
          </w:p>
          <w:p>
            <w:pPr>
              <w:adjustRightInd w:val="0"/>
              <w:snapToGrid w:val="0"/>
              <w:spacing w:line="240" w:lineRule="auto"/>
              <w:ind w:right="105" w:rightChars="50"/>
              <w:textAlignment w:val="baseline"/>
              <w:rPr>
                <w:rFonts w:hint="default" w:ascii="宋体" w:hAnsi="宋体" w:eastAsia="宋体" w:cs="Arial"/>
                <w:spacing w:val="-6"/>
                <w:kern w:val="2"/>
                <w:sz w:val="21"/>
                <w:szCs w:val="21"/>
                <w:lang w:val="en-US" w:eastAsia="zh-CN" w:bidi="ar-SA"/>
              </w:rPr>
            </w:pPr>
            <w:r>
              <w:rPr>
                <w:rFonts w:hint="eastAsia" w:ascii="宋体" w:hAnsi="宋体" w:eastAsia="宋体" w:cs="Arial"/>
                <w:spacing w:val="-6"/>
                <w:sz w:val="21"/>
                <w:szCs w:val="21"/>
              </w:rPr>
              <w:t>国家/地方监督抽查情况</w:t>
            </w:r>
          </w:p>
        </w:tc>
        <w:tc>
          <w:tcPr>
            <w:tcW w:w="1107" w:type="dxa"/>
            <w:vAlign w:val="top"/>
          </w:tcPr>
          <w:p>
            <w:pPr>
              <w:adjustRightInd w:val="0"/>
              <w:snapToGrid w:val="0"/>
              <w:spacing w:line="360" w:lineRule="auto"/>
              <w:ind w:right="105" w:rightChars="50"/>
              <w:textAlignment w:val="baseline"/>
              <w:rPr>
                <w:rFonts w:hint="eastAsia" w:ascii="宋体" w:hAnsi="宋体" w:eastAsia="宋体" w:cs="Arial"/>
                <w:spacing w:val="-6"/>
                <w:kern w:val="2"/>
                <w:sz w:val="21"/>
                <w:szCs w:val="21"/>
                <w:lang w:val="en-US" w:eastAsia="zh-CN" w:bidi="ar-SA"/>
              </w:rPr>
            </w:pPr>
          </w:p>
        </w:tc>
        <w:tc>
          <w:tcPr>
            <w:tcW w:w="10702" w:type="dxa"/>
            <w:vAlign w:val="center"/>
          </w:tcPr>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default"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顾客满意：2022.6.5通过发放顾客满意度调查进行监测，经统计分析，顾客满意度为98.5 %。</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自公司成立以来，未受到上级主管部门有关质量、环保、职业健康安全的行政处罚。未发生相关方投诉。</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sz w:val="21"/>
                <w:szCs w:val="21"/>
                <w:lang w:val="en-US" w:eastAsia="zh-CN"/>
              </w:rPr>
            </w:pPr>
            <w:r>
              <w:rPr>
                <w:rFonts w:hint="eastAsia" w:ascii="宋体" w:hAnsi="宋体" w:eastAsia="宋体" w:cs="Arial"/>
                <w:color w:val="auto"/>
                <w:spacing w:val="-6"/>
                <w:sz w:val="21"/>
                <w:szCs w:val="21"/>
                <w:lang w:val="en-US" w:eastAsia="zh-CN"/>
              </w:rPr>
              <w:t>暂时没有国家/地方抽查情况。</w:t>
            </w:r>
          </w:p>
          <w:p>
            <w:pPr>
              <w:keepNext w:val="0"/>
              <w:keepLines w:val="0"/>
              <w:pageBreakBefore w:val="0"/>
              <w:widowControl w:val="0"/>
              <w:kinsoku/>
              <w:wordWrap/>
              <w:overflowPunct/>
              <w:topLinePunct w:val="0"/>
              <w:autoSpaceDE/>
              <w:autoSpaceDN/>
              <w:bidi w:val="0"/>
              <w:adjustRightInd w:val="0"/>
              <w:snapToGrid w:val="0"/>
              <w:spacing w:line="360" w:lineRule="auto"/>
              <w:ind w:right="105" w:rightChars="50" w:firstLine="396" w:firstLineChars="200"/>
              <w:textAlignment w:val="baseline"/>
              <w:rPr>
                <w:rFonts w:hint="eastAsia" w:ascii="宋体" w:hAnsi="宋体" w:eastAsia="宋体" w:cs="Arial"/>
                <w:color w:val="auto"/>
                <w:spacing w:val="-6"/>
                <w:kern w:val="2"/>
                <w:sz w:val="21"/>
                <w:szCs w:val="21"/>
                <w:lang w:val="en-US" w:eastAsia="zh-CN" w:bidi="ar-SA"/>
              </w:rPr>
            </w:pPr>
            <w:r>
              <w:rPr>
                <w:rFonts w:hint="eastAsia" w:ascii="宋体" w:hAnsi="宋体" w:eastAsia="宋体" w:cs="Arial"/>
                <w:color w:val="auto"/>
                <w:spacing w:val="-6"/>
                <w:sz w:val="21"/>
                <w:szCs w:val="21"/>
                <w:lang w:val="en-US" w:eastAsia="zh-CN"/>
              </w:rPr>
              <w:t>目前没有相关行政主管部门的检查处罚，在审核现场也未发现抽查、相关方投诉等情况。</w:t>
            </w:r>
          </w:p>
        </w:tc>
        <w:tc>
          <w:tcPr>
            <w:tcW w:w="887"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Y</w:t>
            </w:r>
          </w:p>
        </w:tc>
      </w:tr>
    </w:tbl>
    <w:p>
      <w:r>
        <w:ptab w:relativeTo="margin" w:alignment="center" w:leader="none"/>
      </w:r>
    </w:p>
    <w:p/>
    <w:p/>
    <w:p>
      <w:pPr>
        <w:pStyle w:val="4"/>
      </w:pPr>
      <w:r>
        <w:rPr>
          <w:rFonts w:hint="eastAsia"/>
        </w:rPr>
        <w:t>说明：不符合标注N</w:t>
      </w: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1"/>
        <w:rFonts w:hint="default"/>
      </w:rPr>
    </w:pPr>
    <w: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mc:AlternateContent>
        <mc:Choice Requires="wps">
          <w:drawing>
            <wp:anchor distT="0" distB="0" distL="114300" distR="114300" simplePos="0" relativeHeight="251659264" behindDoc="0" locked="0" layoutInCell="1" allowOverlap="1">
              <wp:simplePos x="0" y="0"/>
              <wp:positionH relativeFrom="column">
                <wp:posOffset>7879080</wp:posOffset>
              </wp:positionH>
              <wp:positionV relativeFrom="paragraph">
                <wp:posOffset>159385</wp:posOffset>
              </wp:positionV>
              <wp:extent cx="1304290" cy="256540"/>
              <wp:effectExtent l="0" t="0" r="10160" b="10160"/>
              <wp:wrapNone/>
              <wp:docPr id="1" name="文本框 1"/>
              <wp:cNvGraphicFramePr/>
              <a:graphic xmlns:a="http://schemas.openxmlformats.org/drawingml/2006/main">
                <a:graphicData uri="http://schemas.microsoft.com/office/word/2010/wordprocessingShape">
                  <wps:wsp>
                    <wps:cNvSpPr txBox="1"/>
                    <wps:spPr>
                      <a:xfrm>
                        <a:off x="0" y="0"/>
                        <a:ext cx="1304290" cy="256540"/>
                      </a:xfrm>
                      <a:prstGeom prst="rect">
                        <a:avLst/>
                      </a:prstGeom>
                      <a:solidFill>
                        <a:srgbClr val="FFFFFF"/>
                      </a:solidFill>
                      <a:ln>
                        <a:noFill/>
                      </a:ln>
                    </wps:spPr>
                    <wps:txbx>
                      <w:txbxContent>
                        <w:p>
                          <w:pPr>
                            <w:rPr>
                              <w:sz w:val="18"/>
                              <w:szCs w:val="18"/>
                            </w:rPr>
                          </w:pPr>
                          <w:r>
                            <w:rPr>
                              <w:rFonts w:hint="eastAsia"/>
                              <w:sz w:val="18"/>
                              <w:szCs w:val="18"/>
                            </w:rPr>
                            <w:t>ISC-B-II-12(05版）</w:t>
                          </w:r>
                        </w:p>
                      </w:txbxContent>
                    </wps:txbx>
                    <wps:bodyPr upright="1"/>
                  </wps:wsp>
                </a:graphicData>
              </a:graphic>
            </wp:anchor>
          </w:drawing>
        </mc:Choice>
        <mc:Fallback>
          <w:pict>
            <v:shape id="_x0000_s1026" o:spid="_x0000_s1026" o:spt="202" type="#_x0000_t202" style="position:absolute;left:0pt;margin-left:620.4pt;margin-top:12.55pt;height:20.2pt;width:102.7pt;z-index:251659264;mso-width-relative:page;mso-height-relative:page;" fillcolor="#FFFFFF" filled="t" stroked="f" coordsize="21600,21600" o:gfxdata="UEsDBAoAAAAAAIdO4kAAAAAAAAAAAAAAAAAEAAAAZHJzL1BLAwQUAAAACACHTuJAQkH4RNgAAAAL&#10;AQAADwAAAGRycy9kb3ducmV2LnhtbE2PzU7DMBCE70i8g7VIXBC1EyUphDiVQAJx7c8DbOJtEhGv&#10;o9ht2rfHPcFxNKOZb6rNxY7iTLMfHGtIVgoEcevMwJ2Gw/7z+QWED8gGR8ek4UoeNvX9XYWlcQtv&#10;6bwLnYgl7EvU0IcwlVL6tieLfuUm4ugd3WwxRDl30sy4xHI7ylSpQlocOC70ONFHT+3P7mQ1HL+X&#10;p/x1ab7CYb3Nincc1o27av34kKg3EIEu4S8MN/yIDnVkatyJjRdj1GmmInvQkOYJiFsiy4oURKOh&#10;yHOQdSX/f6h/AVBLAwQUAAAACACHTuJAZsEoGMEBAAB3AwAADgAAAGRycy9lMm9Eb2MueG1srVPN&#10;jtMwEL4j8Q6W7zRp2V1B1HQlqMoFAdIuD+A6TmLJf5pxm/QF4A04ceHOc/U5GDuhC8tlD+SQ2J5v&#10;vpnvG2d9O1rDjgpQe1fz5aLkTDnpG+26mn++3714xRlG4RphvFM1Pynkt5vnz9ZDqNTK9940ChiR&#10;OKyGUPM+xlAVBcpeWYELH5SjYOvBikhb6IoGxEDs1hSrsrwpBg9NAC8VIp1upyCfGeEphL5ttVRb&#10;Lw9WuTixgjIikiTsdUC+yd22rZLxY9uiiszUnJTG/KYitN6nd7FZi6oDEXot5xbEU1p4pMkK7ajo&#10;hWoromAH0P9QWS3Bo2/jQnpbTEKyI6RiWT7y5q4XQWUtZDWGi+n4/2jlh+MnYLqhm8CZE5YGfv72&#10;9fz95/nHF7ZM9gwBK0LdBcLF8Y0fE3Q+RzpMqscWbPqSHkZxMvd0MVeNkcmU9LK8Wr2mkKTY6vrm&#10;+iq7XzxkB8D4TnnL0qLmQMPLnorje4xUkaC/IakYeqObnTYmb6DbvzXAjoIGvctPapJS/oIZl8DO&#10;p7QpnE6KpHHSklZx3I+zwL1vTqT7EEB3PfWUlWc4zSPTz3cnDfzPfSZ9+F82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CQfhE2AAAAAsBAAAPAAAAAAAAAAEAIAAAACIAAABkcnMvZG93bnJldi54&#10;bWxQSwECFAAUAAAACACHTuJAZsEoGMEBAAB3AwAADgAAAAAAAAABACAAAAAnAQAAZHJzL2Uyb0Rv&#10;Yy54bWxQSwUGAAAAAAYABgBZAQAAWgUAAAAA&#10;">
              <v:fill on="t" focussize="0,0"/>
              <v:stroke on="f"/>
              <v:imagedata o:title=""/>
              <o:lock v:ext="edit" aspectratio="f"/>
              <v:textbox>
                <w:txbxContent>
                  <w:p>
                    <w:pPr>
                      <w:rPr>
                        <w:sz w:val="18"/>
                        <w:szCs w:val="18"/>
                      </w:rPr>
                    </w:pPr>
                    <w:r>
                      <w:rPr>
                        <w:rFonts w:hint="eastAsia"/>
                        <w:sz w:val="18"/>
                        <w:szCs w:val="18"/>
                      </w:rPr>
                      <w:t>ISC-B-II-12(05版）</w:t>
                    </w:r>
                  </w:p>
                </w:txbxContent>
              </v:textbox>
            </v:shape>
          </w:pict>
        </mc:Fallback>
      </mc:AlternateContent>
    </w:r>
    <w:r>
      <w:rPr>
        <w:rStyle w:val="11"/>
        <w:rFonts w:hint="default"/>
      </w:rPr>
      <w:t>北京国标联合认证有限公司</w:t>
    </w:r>
    <w:r>
      <w:rPr>
        <w:rStyle w:val="11"/>
        <w:rFonts w:hint="default"/>
      </w:rPr>
      <w:tab/>
    </w:r>
    <w:r>
      <w:rPr>
        <w:rStyle w:val="11"/>
        <w:rFonts w:hint="default"/>
      </w:rPr>
      <w:tab/>
    </w:r>
    <w:r>
      <w:rPr>
        <w:rStyle w:val="11"/>
        <w:rFonts w:hint="default"/>
      </w:rPr>
      <w:tab/>
    </w:r>
  </w:p>
  <w:p>
    <w:pPr>
      <w:pStyle w:val="5"/>
      <w:pBdr>
        <w:bottom w:val="none" w:color="auto" w:sz="0" w:space="0"/>
      </w:pBdr>
      <w:spacing w:line="320" w:lineRule="exact"/>
      <w:ind w:firstLine="756" w:firstLineChars="400"/>
      <w:jc w:val="left"/>
    </w:pPr>
    <w:r>
      <w:rPr>
        <w:rStyle w:val="11"/>
        <w:rFonts w:hint="default"/>
        <w:w w:val="90"/>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5NTRmZWE1ODkyMzI3NzUzMjUzZWZjMTFlMDk4OTYifQ=="/>
  </w:docVars>
  <w:rsids>
    <w:rsidRoot w:val="00000000"/>
    <w:rsid w:val="72A30DC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0"/>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rFonts w:ascii="Times New Roman" w:hAnsi="Times New Roman" w:eastAsia="宋体" w:cs="Times New Roman"/>
      <w:sz w:val="18"/>
      <w:szCs w:val="18"/>
    </w:rPr>
  </w:style>
  <w:style w:type="character" w:customStyle="1" w:styleId="9">
    <w:name w:val="页脚 Char"/>
    <w:basedOn w:val="7"/>
    <w:link w:val="4"/>
    <w:qFormat/>
    <w:uiPriority w:val="99"/>
    <w:rPr>
      <w:rFonts w:ascii="Times New Roman" w:hAnsi="Times New Roman" w:eastAsia="宋体" w:cs="Times New Roman"/>
      <w:sz w:val="18"/>
      <w:szCs w:val="18"/>
    </w:rPr>
  </w:style>
  <w:style w:type="character" w:customStyle="1" w:styleId="10">
    <w:name w:val="批注框文本 Char"/>
    <w:basedOn w:val="7"/>
    <w:link w:val="3"/>
    <w:semiHidden/>
    <w:qFormat/>
    <w:uiPriority w:val="99"/>
    <w:rPr>
      <w:rFonts w:ascii="Times New Roman" w:hAnsi="Times New Roman" w:eastAsia="宋体" w:cs="Times New Roman"/>
      <w:sz w:val="18"/>
      <w:szCs w:val="18"/>
    </w:rPr>
  </w:style>
  <w:style w:type="character" w:customStyle="1" w:styleId="11">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Words>
  <Characters>110</Characters>
  <Lines>1</Lines>
  <Paragraphs>1</Paragraphs>
  <TotalTime>7</TotalTime>
  <ScaleCrop>false</ScaleCrop>
  <LinksUpToDate>false</LinksUpToDate>
  <CharactersWithSpaces>113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lenovo1018</cp:lastModifiedBy>
  <dcterms:modified xsi:type="dcterms:W3CDTF">2022-08-20T02:03:08Z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984EB4139B564CF2B6634C39A89E5AE6</vt:lpwstr>
  </property>
  <property fmtid="{D5CDD505-2E9C-101B-9397-08002B2CF9AE}" pid="3" name="KSOProductBuildVer">
    <vt:lpwstr>2052-11.1.0.12302</vt:lpwstr>
  </property>
</Properties>
</file>