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江西省拓鸿水利设备有限公司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22.03.02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曾赣玲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22.03.02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褚敏杰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外购件→机加工→检测→出货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关键过程:机加工，</w:t>
            </w:r>
          </w:p>
          <w:p>
            <w:pPr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主要控制参数：尺寸；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中华人民共和国计量法</w:t>
            </w:r>
          </w:p>
          <w:p>
            <w:pPr>
              <w:snapToGrid w:val="0"/>
              <w:spacing w:line="360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中华人民共和国产品质量法</w:t>
            </w:r>
          </w:p>
          <w:p>
            <w:pPr>
              <w:snapToGrid w:val="0"/>
              <w:spacing w:line="360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GB/T1184形状和位置公差 未注公差值</w:t>
            </w:r>
          </w:p>
          <w:p>
            <w:pPr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QC/T汽车切削加工零件未注公差尺寸的极限偏差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检测几何尺寸及形位公差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130175</wp:posOffset>
                  </wp:positionV>
                  <wp:extent cx="994410" cy="429260"/>
                  <wp:effectExtent l="0" t="0" r="15240" b="8890"/>
                  <wp:wrapNone/>
                  <wp:docPr id="6" name="图片 6" descr="曾赣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曾赣琳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8F4EB"/>
                              </a:clrFrom>
                              <a:clrTo>
                                <a:srgbClr val="F8F4EB">
                                  <a:alpha val="0"/>
                                </a:srgbClr>
                              </a:clrTo>
                            </a:clrChange>
                            <a:lum bright="-35999" contrast="35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41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2022.8.19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188595</wp:posOffset>
                  </wp:positionV>
                  <wp:extent cx="747395" cy="450215"/>
                  <wp:effectExtent l="0" t="0" r="14605" b="6985"/>
                  <wp:wrapNone/>
                  <wp:docPr id="7" name="图片 2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9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2022.8.19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江西省拓鸿水利设备有限公司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22.03.02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曾赣玲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22.03.02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褚敏杰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外购件→机加工→检测→出货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潜在火灾、固废排放、噪音排放、能源消耗</w:t>
            </w:r>
          </w:p>
          <w:p>
            <w:pPr>
              <w:snapToGrid w:val="0"/>
              <w:spacing w:line="360" w:lineRule="auto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控制措施：一般固废集中收集外售至废品回收站；选用低噪声设备，合理布局，隔声减震，厂房隔音；设备、电路定期检修、不定期检查，提高安全意识；做好火灾预防措施。</w:t>
            </w:r>
          </w:p>
          <w:p>
            <w:pPr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一旦发生按相关应急预案执行；制定目标、指标；设备、电路定期检修、降低跑冒滴漏。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中华人民共和国环境保护法</w:t>
            </w:r>
          </w:p>
          <w:p>
            <w:pPr>
              <w:snapToGrid w:val="0"/>
              <w:spacing w:line="360" w:lineRule="auto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中华人民共和国环境噪声污染防治法</w:t>
            </w:r>
          </w:p>
          <w:p>
            <w:pPr>
              <w:snapToGrid w:val="0"/>
              <w:spacing w:line="360" w:lineRule="auto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中华人民共和国大气污染防治法</w:t>
            </w:r>
          </w:p>
          <w:p>
            <w:pPr>
              <w:snapToGrid w:val="0"/>
              <w:spacing w:line="360" w:lineRule="auto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中华人民共和国水污染防治法</w:t>
            </w:r>
          </w:p>
          <w:p>
            <w:pPr>
              <w:snapToGrid w:val="0"/>
              <w:spacing w:line="360" w:lineRule="auto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《中华人民共和国水污染防治法》实施细则</w:t>
            </w:r>
          </w:p>
          <w:p>
            <w:pPr>
              <w:snapToGrid w:val="0"/>
              <w:spacing w:line="360" w:lineRule="auto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中华人民共和国固体废物污染环境防治法</w:t>
            </w:r>
          </w:p>
          <w:p>
            <w:pPr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中华人民共和国节约能源法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Cs/>
                <w:sz w:val="20"/>
              </w:rPr>
              <w:t>噪声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130175</wp:posOffset>
                  </wp:positionV>
                  <wp:extent cx="994410" cy="429260"/>
                  <wp:effectExtent l="0" t="0" r="15240" b="8890"/>
                  <wp:wrapNone/>
                  <wp:docPr id="10" name="图片 10" descr="曾赣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曾赣琳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8F4EB"/>
                              </a:clrFrom>
                              <a:clrTo>
                                <a:srgbClr val="F8F4EB">
                                  <a:alpha val="0"/>
                                </a:srgbClr>
                              </a:clrTo>
                            </a:clrChange>
                            <a:lum bright="-35999" contrast="35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41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2022.8.19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188595</wp:posOffset>
                  </wp:positionV>
                  <wp:extent cx="747395" cy="450215"/>
                  <wp:effectExtent l="0" t="0" r="14605" b="6985"/>
                  <wp:wrapNone/>
                  <wp:docPr id="11" name="图片 2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9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2022.8.19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江西省拓鸿水利设备有限公司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22.03.02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曾赣玲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22.03.02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褚敏杰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外购件→机加工→检测→出货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不可接受风险：机械伤害、噪声排放、潜在火灾、触电伤害；</w:t>
            </w:r>
          </w:p>
          <w:p>
            <w:pPr>
              <w:snapToGrid w:val="0"/>
              <w:spacing w:line="280" w:lineRule="exac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通用控制措施——</w:t>
            </w:r>
          </w:p>
          <w:p>
            <w:pPr>
              <w:snapToGrid w:val="0"/>
              <w:spacing w:line="280" w:lineRule="exac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制定目标、指标，编制运行控制文件，运行控制；设置警示标志标识；</w:t>
            </w:r>
          </w:p>
          <w:p>
            <w:pPr>
              <w:snapToGrid w:val="0"/>
              <w:spacing w:line="280" w:lineRule="exac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定期监测职业危害因素并公示；一旦发生按相关应急预案执行。</w:t>
            </w:r>
          </w:p>
          <w:p>
            <w:pPr>
              <w:snapToGrid w:val="0"/>
              <w:spacing w:line="280" w:lineRule="exac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火灾，触电——</w:t>
            </w:r>
          </w:p>
          <w:p>
            <w:pPr>
              <w:snapToGrid w:val="0"/>
              <w:spacing w:line="280" w:lineRule="exac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设备、电路定期检修、检查，电工持证上岗；配置消防器材、做好火灾预防措施，预案、演练、检查。</w:t>
            </w:r>
          </w:p>
          <w:p>
            <w:pPr>
              <w:snapToGrid w:val="0"/>
              <w:spacing w:line="280" w:lineRule="exac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噪声排放——</w:t>
            </w:r>
          </w:p>
          <w:p>
            <w:pPr>
              <w:snapToGrid w:val="0"/>
              <w:spacing w:line="280" w:lineRule="exac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选用低噪声设备，合理布局，隔声减震，厂房隔音；加强厂区绿化吸收噪音；</w:t>
            </w:r>
          </w:p>
          <w:p>
            <w:pPr>
              <w:snapToGrid w:val="0"/>
              <w:spacing w:line="280" w:lineRule="exac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机械伤害——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设备设施安全防护、加强安全教育，按章作业，加强工艺纪律检查，使用个人防护用品。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中华人民共和国工会法</w:t>
            </w:r>
          </w:p>
          <w:p>
            <w:pPr>
              <w:snapToGrid w:val="0"/>
              <w:spacing w:line="280" w:lineRule="exac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中华人民共和国职业病防治法</w:t>
            </w:r>
          </w:p>
          <w:p>
            <w:pPr>
              <w:snapToGrid w:val="0"/>
              <w:spacing w:line="280" w:lineRule="exac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中华人民共和国消防法</w:t>
            </w:r>
          </w:p>
          <w:p>
            <w:pPr>
              <w:snapToGrid w:val="0"/>
              <w:spacing w:line="280" w:lineRule="exac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中华人民共和国劳动法</w:t>
            </w:r>
          </w:p>
          <w:p>
            <w:pPr>
              <w:snapToGrid w:val="0"/>
              <w:spacing w:line="280" w:lineRule="exac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中华人民共和国妇女权益保障法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中华人民共和国安全生产法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_GoBack"/>
            <w:bookmarkEnd w:id="2"/>
            <w:r>
              <w:rPr>
                <w:rFonts w:hint="eastAsia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130175</wp:posOffset>
                  </wp:positionV>
                  <wp:extent cx="994410" cy="429260"/>
                  <wp:effectExtent l="0" t="0" r="15240" b="8890"/>
                  <wp:wrapNone/>
                  <wp:docPr id="14" name="图片 14" descr="曾赣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曾赣琳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8F4EB"/>
                              </a:clrFrom>
                              <a:clrTo>
                                <a:srgbClr val="F8F4EB">
                                  <a:alpha val="0"/>
                                </a:srgbClr>
                              </a:clrTo>
                            </a:clrChange>
                            <a:lum bright="-35999" contrast="35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41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2022.8.19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188595</wp:posOffset>
                  </wp:positionV>
                  <wp:extent cx="747395" cy="450215"/>
                  <wp:effectExtent l="0" t="0" r="14605" b="6985"/>
                  <wp:wrapNone/>
                  <wp:docPr id="15" name="图片 2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9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2022.8.19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4821555</wp:posOffset>
              </wp:positionH>
              <wp:positionV relativeFrom="paragraph">
                <wp:posOffset>35560</wp:posOffset>
              </wp:positionV>
              <wp:extent cx="1419860" cy="256540"/>
              <wp:effectExtent l="0" t="0" r="8890" b="10160"/>
              <wp:wrapNone/>
              <wp:docPr id="16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86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-II-05(05版)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9.65pt;margin-top:2.8pt;height:20.2pt;width:111.8pt;z-index:251659264;mso-width-relative:page;mso-height-relative:page;" fillcolor="#FFFFFF" filled="t" stroked="f" coordsize="21600,21600" o:gfxdata="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n/pazXAAAACAEAAA8AAAAAAAAAAQAgAAAAIgAAAGRycy9kb3ducmV2&#10;LnhtbFBLAQIUABQAAAAIAIdO4kAwuxlMxAEAAHs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-II-05(05版)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1D0E26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2</TotalTime>
  <ScaleCrop>false</ScaleCrop>
  <LinksUpToDate>false</LinksUpToDate>
  <CharactersWithSpaces>744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lenovo1018</cp:lastModifiedBy>
  <dcterms:modified xsi:type="dcterms:W3CDTF">2022-08-22T01:16:15Z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82850EE45EC140B0ADB99D75055622AD</vt:lpwstr>
  </property>
  <property fmtid="{D5CDD505-2E9C-101B-9397-08002B2CF9AE}" pid="3" name="KSOProductBuildVer">
    <vt:lpwstr>2052-11.1.0.12302</vt:lpwstr>
  </property>
</Properties>
</file>