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0985-2022-QEO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江西省拓鸿水利设备有限公司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2022年08月18日 上午至2022年08月18日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2022-N1OHSMS-3068076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曾赣玲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2021-N1QMS-1286307</w:t>
            </w:r>
          </w:p>
          <w:p>
            <w:pPr>
              <w:spacing w:line="240" w:lineRule="exact"/>
              <w:jc w:val="center"/>
              <w:rPr>
                <w:b/>
                <w:color w:val="000000"/>
                <w:szCs w:val="21"/>
              </w:rPr>
            </w:pPr>
            <w:r>
              <w:rPr>
                <w:b/>
                <w:color w:val="000000"/>
                <w:szCs w:val="21"/>
              </w:rPr>
              <w:t>2021-N1EMS-1286307</w:t>
            </w:r>
          </w:p>
          <w:p>
            <w:pPr>
              <w:spacing w:line="240" w:lineRule="exact"/>
              <w:jc w:val="center"/>
              <w:rPr>
                <w:b/>
                <w:color w:val="000000"/>
                <w:szCs w:val="21"/>
              </w:rPr>
            </w:pPr>
            <w:r>
              <w:rPr>
                <w:b/>
                <w:color w:val="000000"/>
                <w:szCs w:val="21"/>
              </w:rPr>
              <w:t>2021-N1OHSMS-1286307</w:t>
            </w:r>
          </w:p>
        </w:tc>
        <w:tc>
          <w:tcPr>
            <w:tcW w:w="1140" w:type="dxa"/>
            <w:vAlign w:val="center"/>
          </w:tcPr>
          <w:p>
            <w:pPr>
              <w:spacing w:line="240" w:lineRule="exact"/>
              <w:jc w:val="center"/>
              <w:rPr>
                <w:b/>
                <w:color w:val="000000"/>
                <w:szCs w:val="21"/>
              </w:rPr>
            </w:pPr>
            <w:r>
              <w:rPr>
                <w:b/>
                <w:color w:val="000000"/>
                <w:szCs w:val="21"/>
              </w:rPr>
              <w:t>Q:18.05.07,22.03.02</w:t>
            </w:r>
          </w:p>
          <w:p>
            <w:pPr>
              <w:spacing w:line="240" w:lineRule="exact"/>
              <w:jc w:val="center"/>
              <w:rPr>
                <w:b/>
                <w:color w:val="000000"/>
                <w:szCs w:val="21"/>
              </w:rPr>
            </w:pPr>
            <w:r>
              <w:rPr>
                <w:b/>
                <w:color w:val="000000"/>
                <w:szCs w:val="21"/>
              </w:rPr>
              <w:t>E:18.05.07,22.03.02</w:t>
            </w:r>
          </w:p>
          <w:p>
            <w:pPr>
              <w:spacing w:line="240" w:lineRule="exact"/>
              <w:jc w:val="center"/>
              <w:rPr>
                <w:b/>
                <w:color w:val="000000"/>
                <w:szCs w:val="21"/>
              </w:rPr>
            </w:pPr>
            <w:r>
              <w:rPr>
                <w:b/>
                <w:color w:val="000000"/>
                <w:szCs w:val="21"/>
              </w:rPr>
              <w:t>O:18.05.07,22.03.02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江西省拓鸿水利设备有限公司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江西省南昌市新建区乐化镇乐化招呼站南昌水利设备厂内</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330103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江西省南昌市新建区乐化镇乐化招呼站南昌水利设备厂内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330103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熊威</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15870607702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徐刚锐</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徐刚锐</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val="0"/>
                <w:bCs/>
                <w:color w:val="000000"/>
                <w:szCs w:val="21"/>
              </w:rPr>
              <w:t>水资源专用机械设备（螺杆式启闭机、固定卷扬式启闭机、平面滑动钢闸门、平面定轮钢闸门、移动式抓斗清污机、回转式格栅清污机、智能测控一体式闸门），汽车轴类配件的生产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color w:val="000000"/>
                <w:szCs w:val="21"/>
              </w:rPr>
              <w:t>水资源专用机械设备（螺杆式启闭机、固定卷扬式启闭机、平面滑动钢闸门、平面定轮钢闸门、移动式抓斗清污机、回转式格栅清污机、智能测控一体式闸门），汽车轴类配件的销售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rPr>
            </w:pPr>
            <w:r>
              <w:rPr>
                <w:rFonts w:hint="eastAsia"/>
                <w:color w:val="000000"/>
              </w:rPr>
              <w:t>启闭机：</w:t>
            </w:r>
          </w:p>
          <w:p>
            <w:pPr>
              <w:rPr>
                <w:rFonts w:hint="eastAsia"/>
                <w:color w:val="000000"/>
              </w:rPr>
            </w:pPr>
            <w:r>
              <w:rPr>
                <w:rFonts w:hint="eastAsia"/>
                <w:color w:val="000000"/>
              </w:rPr>
              <w:t>外购件</w:t>
            </w:r>
            <w:r>
              <w:rPr>
                <w:rFonts w:hint="eastAsia"/>
                <w:color w:val="000000"/>
                <w:lang w:eastAsia="zh-CN"/>
              </w:rPr>
              <w:t>——</w:t>
            </w:r>
            <w:r>
              <w:rPr>
                <w:rFonts w:hint="eastAsia"/>
                <w:color w:val="000000"/>
              </w:rPr>
              <w:t>机加工</w:t>
            </w:r>
            <w:r>
              <w:rPr>
                <w:rFonts w:hint="eastAsia"/>
                <w:color w:val="000000"/>
                <w:lang w:eastAsia="zh-CN"/>
              </w:rPr>
              <w:t>——</w:t>
            </w:r>
            <w:r>
              <w:rPr>
                <w:rFonts w:hint="eastAsia"/>
                <w:color w:val="000000"/>
              </w:rPr>
              <w:t>装配</w:t>
            </w:r>
            <w:r>
              <w:rPr>
                <w:rFonts w:hint="eastAsia"/>
                <w:color w:val="000000"/>
                <w:lang w:eastAsia="zh-CN"/>
              </w:rPr>
              <w:t>——</w:t>
            </w:r>
            <w:r>
              <w:rPr>
                <w:rFonts w:hint="eastAsia"/>
                <w:color w:val="000000"/>
              </w:rPr>
              <w:t>检验</w:t>
            </w:r>
            <w:r>
              <w:rPr>
                <w:rFonts w:hint="eastAsia"/>
                <w:color w:val="000000"/>
                <w:lang w:eastAsia="zh-CN"/>
              </w:rPr>
              <w:t>——</w:t>
            </w:r>
            <w:r>
              <w:rPr>
                <w:rFonts w:hint="eastAsia"/>
                <w:color w:val="000000"/>
              </w:rPr>
              <w:t>包装</w:t>
            </w:r>
            <w:r>
              <w:rPr>
                <w:rFonts w:hint="eastAsia"/>
                <w:color w:val="000000"/>
                <w:lang w:eastAsia="zh-CN"/>
              </w:rPr>
              <w:t>——</w:t>
            </w:r>
            <w:r>
              <w:rPr>
                <w:rFonts w:hint="eastAsia"/>
                <w:color w:val="000000"/>
              </w:rPr>
              <w:t>入库</w:t>
            </w:r>
          </w:p>
          <w:p>
            <w:pPr>
              <w:rPr>
                <w:rFonts w:hint="eastAsia"/>
                <w:color w:val="000000"/>
              </w:rPr>
            </w:pPr>
            <w:r>
              <w:rPr>
                <w:rFonts w:hint="eastAsia"/>
                <w:color w:val="000000"/>
              </w:rPr>
              <w:t>闸门、清污机：</w:t>
            </w:r>
          </w:p>
          <w:p>
            <w:pPr>
              <w:rPr>
                <w:rFonts w:hint="eastAsia"/>
                <w:color w:val="000000"/>
              </w:rPr>
            </w:pPr>
            <w:r>
              <w:rPr>
                <w:rFonts w:hint="eastAsia"/>
                <w:color w:val="000000"/>
              </w:rPr>
              <w:t>外购件</w:t>
            </w:r>
            <w:r>
              <w:rPr>
                <w:rFonts w:hint="eastAsia"/>
                <w:color w:val="000000"/>
                <w:lang w:eastAsia="zh-CN"/>
              </w:rPr>
              <w:t>——</w:t>
            </w:r>
            <w:r>
              <w:rPr>
                <w:rFonts w:hint="eastAsia"/>
                <w:color w:val="000000"/>
              </w:rPr>
              <w:t>机加工</w:t>
            </w:r>
            <w:r>
              <w:rPr>
                <w:rFonts w:hint="eastAsia"/>
                <w:color w:val="000000"/>
                <w:lang w:eastAsia="zh-CN"/>
              </w:rPr>
              <w:t>——</w:t>
            </w:r>
            <w:r>
              <w:rPr>
                <w:rFonts w:hint="eastAsia"/>
                <w:color w:val="000000"/>
              </w:rPr>
              <w:t>焊接</w:t>
            </w:r>
            <w:r>
              <w:rPr>
                <w:rFonts w:hint="eastAsia"/>
                <w:color w:val="000000"/>
                <w:lang w:eastAsia="zh-CN"/>
              </w:rPr>
              <w:t>——</w:t>
            </w:r>
            <w:r>
              <w:rPr>
                <w:rFonts w:hint="eastAsia"/>
                <w:color w:val="000000"/>
              </w:rPr>
              <w:t>装配</w:t>
            </w:r>
            <w:r>
              <w:rPr>
                <w:rFonts w:hint="eastAsia"/>
                <w:color w:val="000000"/>
                <w:lang w:eastAsia="zh-CN"/>
              </w:rPr>
              <w:t>——</w:t>
            </w:r>
            <w:r>
              <w:rPr>
                <w:rFonts w:hint="eastAsia"/>
                <w:color w:val="000000"/>
              </w:rPr>
              <w:t>检验</w:t>
            </w:r>
            <w:r>
              <w:rPr>
                <w:rFonts w:hint="eastAsia"/>
                <w:color w:val="000000"/>
                <w:lang w:eastAsia="zh-CN"/>
              </w:rPr>
              <w:t>——</w:t>
            </w:r>
            <w:r>
              <w:rPr>
                <w:rFonts w:hint="eastAsia"/>
                <w:color w:val="000000"/>
              </w:rPr>
              <w:t>包装</w:t>
            </w:r>
            <w:r>
              <w:rPr>
                <w:rFonts w:hint="eastAsia"/>
                <w:color w:val="000000"/>
                <w:lang w:eastAsia="zh-CN"/>
              </w:rPr>
              <w:t>——</w:t>
            </w:r>
            <w:r>
              <w:rPr>
                <w:rFonts w:hint="eastAsia"/>
                <w:color w:val="000000"/>
              </w:rPr>
              <w:t>入库</w:t>
            </w:r>
          </w:p>
          <w:p>
            <w:pPr>
              <w:rPr>
                <w:rFonts w:hint="eastAsia"/>
                <w:color w:val="000000"/>
              </w:rPr>
            </w:pPr>
            <w:r>
              <w:rPr>
                <w:rFonts w:hint="eastAsia"/>
                <w:color w:val="000000"/>
              </w:rPr>
              <w:t>汽车轴类配件：</w:t>
            </w:r>
          </w:p>
          <w:p>
            <w:pPr>
              <w:tabs>
                <w:tab w:val="left" w:pos="360"/>
              </w:tabs>
              <w:ind w:left="360" w:hanging="360"/>
              <w:rPr>
                <w:rFonts w:ascii="宋体"/>
                <w:color w:val="000000"/>
                <w:szCs w:val="21"/>
              </w:rPr>
            </w:pPr>
            <w:r>
              <w:rPr>
                <w:rFonts w:hint="eastAsia"/>
                <w:color w:val="000000"/>
              </w:rPr>
              <w:t>外购件</w:t>
            </w:r>
            <w:r>
              <w:rPr>
                <w:rFonts w:hint="eastAsia"/>
                <w:color w:val="000000"/>
                <w:lang w:eastAsia="zh-CN"/>
              </w:rPr>
              <w:t>——</w:t>
            </w:r>
            <w:r>
              <w:rPr>
                <w:rFonts w:hint="eastAsia"/>
                <w:color w:val="000000"/>
              </w:rPr>
              <w:t>粗加工</w:t>
            </w:r>
            <w:r>
              <w:rPr>
                <w:rFonts w:hint="eastAsia"/>
                <w:color w:val="000000"/>
                <w:lang w:eastAsia="zh-CN"/>
              </w:rPr>
              <w:t>——</w:t>
            </w:r>
            <w:r>
              <w:rPr>
                <w:rFonts w:hint="eastAsia"/>
                <w:color w:val="000000"/>
              </w:rPr>
              <w:t>包装</w:t>
            </w:r>
            <w:r>
              <w:rPr>
                <w:rFonts w:hint="eastAsia"/>
                <w:color w:val="000000"/>
                <w:lang w:eastAsia="zh-CN"/>
              </w:rPr>
              <w:t>——</w:t>
            </w:r>
            <w:r>
              <w:rPr>
                <w:rFonts w:hint="eastAsia"/>
                <w:color w:val="000000"/>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val="0"/>
                <w:bCs/>
                <w:color w:val="000000"/>
                <w:szCs w:val="21"/>
              </w:rPr>
              <w:t>水资源专用机械设备（螺杆式启闭机、固定卷扬式启闭机、平面滑动钢闸门、平面定轮钢闸门、移动式抓斗清污机、回转式格栅清污机、智能测控一体式闸门），汽车轴类配件的生产</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18.05.07</w:t>
            </w:r>
          </w:p>
          <w:p>
            <w:pPr>
              <w:spacing w:line="400" w:lineRule="exact"/>
              <w:rPr>
                <w:rFonts w:ascii="宋体" w:hAnsi="宋体"/>
                <w:b/>
                <w:color w:val="000000"/>
                <w:szCs w:val="21"/>
              </w:rPr>
            </w:pPr>
            <w:r>
              <w:rPr>
                <w:rFonts w:hint="eastAsia" w:ascii="宋体" w:hAnsi="宋体"/>
                <w:b/>
                <w:color w:val="000000"/>
                <w:szCs w:val="21"/>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val="0"/>
                <w:bCs/>
                <w:color w:val="000000"/>
                <w:szCs w:val="21"/>
              </w:rPr>
              <w:t>水资源专用机械设备（螺杆式启闭机、固定卷扬式启闭机、平面滑动钢闸门、平面定轮钢闸门、移动式抓斗清污机、回转式格栅清污机、智能测控一体式闸门），汽车轴类配件的生产及销售所涉及场所的相关环境管理活动</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18.05.07</w:t>
            </w:r>
          </w:p>
          <w:p>
            <w:pPr>
              <w:spacing w:line="400" w:lineRule="exact"/>
              <w:rPr>
                <w:rFonts w:ascii="宋体" w:hAnsi="宋体"/>
                <w:b/>
                <w:color w:val="000000"/>
                <w:szCs w:val="21"/>
              </w:rPr>
            </w:pPr>
            <w:r>
              <w:rPr>
                <w:rFonts w:hint="eastAsia" w:ascii="宋体" w:hAnsi="宋体"/>
                <w:b/>
                <w:color w:val="000000"/>
                <w:szCs w:val="21"/>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val="0"/>
                <w:bCs/>
                <w:color w:val="000000"/>
                <w:szCs w:val="21"/>
              </w:rPr>
              <w:t>水资源专用机械设备（螺杆式启闭机、固定卷扬式启闭机、平面滑动钢闸门、平面定轮钢闸门、移动式抓斗清污机、回转式格栅清污机、智能测控一体式闸门），汽车轴类配件的生产及销售所涉及场所的相关职业健康安全管理活动</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18.05.07</w:t>
            </w:r>
          </w:p>
          <w:p>
            <w:pPr>
              <w:spacing w:line="400" w:lineRule="exact"/>
              <w:rPr>
                <w:rFonts w:ascii="宋体" w:hAnsi="宋体"/>
                <w:b/>
                <w:color w:val="000000"/>
                <w:szCs w:val="21"/>
              </w:rPr>
            </w:pPr>
            <w:r>
              <w:rPr>
                <w:rFonts w:hint="eastAsia" w:ascii="宋体" w:hAnsi="宋体"/>
                <w:b/>
                <w:color w:val="000000"/>
                <w:szCs w:val="21"/>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江西省南昌市新建区乐化镇乐化招呼站南昌水利设备厂内</w:t>
            </w:r>
          </w:p>
        </w:tc>
        <w:tc>
          <w:tcPr>
            <w:tcW w:w="2267" w:type="dxa"/>
          </w:tcPr>
          <w:p>
            <w:pPr>
              <w:spacing w:before="40" w:after="40"/>
              <w:rPr>
                <w:rFonts w:eastAsia="黑体"/>
                <w:szCs w:val="21"/>
                <w:lang w:val="de-DE" w:eastAsia="ja-JP"/>
              </w:rPr>
            </w:pPr>
            <w:r>
              <w:rPr>
                <w:rFonts w:hint="eastAsia" w:eastAsia="黑体"/>
                <w:szCs w:val="21"/>
                <w:lang w:val="de-DE" w:eastAsia="ja-JP"/>
              </w:rPr>
              <w:t>江西省南昌市新建区乐化镇乐化招呼站南昌水利设备厂内</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26</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水资源专用机械设备（螺杆式启闭机、固定卷扬式启闭机、平面滑动钢闸门、平面定轮钢闸门、移动式抓斗清污机、回转式格栅清污机、智能测控一体式闸门），汽车轴类配件的生产及销售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QEO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于2022年03月01日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2022年7月11-12日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2022年7月18日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机加工、焊接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2022-08-1</w:t>
            </w:r>
            <w:bookmarkEnd w:id="35"/>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88"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1706245</wp:posOffset>
            </wp:positionH>
            <wp:positionV relativeFrom="paragraph">
              <wp:posOffset>333375</wp:posOffset>
            </wp:positionV>
            <wp:extent cx="945515" cy="569595"/>
            <wp:effectExtent l="0" t="0" r="6985" b="190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45515" cy="569595"/>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4173855</wp:posOffset>
            </wp:positionH>
            <wp:positionV relativeFrom="paragraph">
              <wp:posOffset>273050</wp:posOffset>
            </wp:positionV>
            <wp:extent cx="994410" cy="429260"/>
            <wp:effectExtent l="0" t="0" r="15240" b="8890"/>
            <wp:wrapNone/>
            <wp:docPr id="3" name="图片 3"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曾赣琳"/>
                    <pic:cNvPicPr>
                      <a:picLocks noChangeAspect="1"/>
                    </pic:cNvPicPr>
                  </pic:nvPicPr>
                  <pic:blipFill>
                    <a:blip r:embed="rId7">
                      <a:clrChange>
                        <a:clrFrom>
                          <a:srgbClr val="F8F4EB"/>
                        </a:clrFrom>
                        <a:clrTo>
                          <a:srgbClr val="F8F4EB">
                            <a:alpha val="0"/>
                          </a:srgbClr>
                        </a:clrTo>
                      </a:clrChange>
                      <a:lum bright="-35999" contrast="35999"/>
                    </a:blip>
                    <a:stretch>
                      <a:fillRect/>
                    </a:stretch>
                  </pic:blipFill>
                  <pic:spPr>
                    <a:xfrm>
                      <a:off x="0" y="0"/>
                      <a:ext cx="994410" cy="42926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2022.8.19</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bookmarkStart w:id="36" w:name="_GoBack"/>
      <w:r>
        <w:drawing>
          <wp:anchor distT="0" distB="0" distL="114300" distR="114300" simplePos="0" relativeHeight="251666432" behindDoc="0" locked="0" layoutInCell="1" allowOverlap="1">
            <wp:simplePos x="0" y="0"/>
            <wp:positionH relativeFrom="column">
              <wp:posOffset>-666750</wp:posOffset>
            </wp:positionH>
            <wp:positionV relativeFrom="paragraph">
              <wp:posOffset>-943610</wp:posOffset>
            </wp:positionV>
            <wp:extent cx="7510780" cy="10723245"/>
            <wp:effectExtent l="0" t="0" r="13970" b="190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7510780" cy="10723245"/>
                    </a:xfrm>
                    <a:prstGeom prst="rect">
                      <a:avLst/>
                    </a:prstGeom>
                    <a:noFill/>
                    <a:ln>
                      <a:noFill/>
                    </a:ln>
                  </pic:spPr>
                </pic:pic>
              </a:graphicData>
            </a:graphic>
          </wp:anchor>
        </w:drawing>
      </w:r>
      <w:bookmarkEnd w:id="36"/>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927100</wp:posOffset>
                  </wp:positionH>
                  <wp:positionV relativeFrom="paragraph">
                    <wp:posOffset>111125</wp:posOffset>
                  </wp:positionV>
                  <wp:extent cx="945515" cy="569595"/>
                  <wp:effectExtent l="0" t="0" r="6985" b="1905"/>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45515" cy="56959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spacing w:line="280" w:lineRule="exact"/>
              <w:rPr>
                <w:b/>
                <w:color w:val="000000"/>
                <w:szCs w:val="21"/>
              </w:rPr>
            </w:pPr>
            <w:r>
              <w:rPr>
                <w:rFonts w:hint="eastAsia" w:ascii="宋体" w:hAnsi="宋体"/>
                <w:b/>
                <w:kern w:val="0"/>
                <w:sz w:val="24"/>
              </w:rPr>
              <w:drawing>
                <wp:anchor distT="0" distB="0" distL="114300" distR="114300" simplePos="0" relativeHeight="251665408" behindDoc="0" locked="0" layoutInCell="1" allowOverlap="1">
                  <wp:simplePos x="0" y="0"/>
                  <wp:positionH relativeFrom="column">
                    <wp:posOffset>528320</wp:posOffset>
                  </wp:positionH>
                  <wp:positionV relativeFrom="paragraph">
                    <wp:posOffset>29210</wp:posOffset>
                  </wp:positionV>
                  <wp:extent cx="945515" cy="569595"/>
                  <wp:effectExtent l="0" t="0" r="6985" b="1905"/>
                  <wp:wrapNone/>
                  <wp:docPr id="6" name="图片 6"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45515" cy="56959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04410D77"/>
    <w:rsid w:val="413109FA"/>
    <w:rsid w:val="4B601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7593</Words>
  <Characters>8378</Characters>
  <Lines>67</Lines>
  <Paragraphs>18</Paragraphs>
  <TotalTime>1</TotalTime>
  <ScaleCrop>false</ScaleCrop>
  <LinksUpToDate>false</LinksUpToDate>
  <CharactersWithSpaces>8443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2022-08-22T08:42:57Z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