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761"/>
        <w:gridCol w:w="680"/>
        <w:gridCol w:w="1110"/>
        <w:gridCol w:w="142"/>
        <w:gridCol w:w="108"/>
        <w:gridCol w:w="1445"/>
        <w:gridCol w:w="6"/>
        <w:gridCol w:w="567"/>
        <w:gridCol w:w="72"/>
        <w:gridCol w:w="1170"/>
        <w:gridCol w:w="75"/>
        <w:gridCol w:w="284"/>
        <w:gridCol w:w="406"/>
        <w:gridCol w:w="261"/>
        <w:gridCol w:w="7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自贡威荣科技有限公司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自贡市荣县城关旭水大道南三段68号11栋1单元203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张政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15503232345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t>文小华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1874952083@qq.com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0775-2021-HSE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>■HSE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一阶段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□初审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二阶段  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监督1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□再认证  □证书转换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初次</w:t>
            </w:r>
            <w:r>
              <w:rPr>
                <w:rFonts w:hint="eastAsia" w:ascii="宋体" w:hAnsi="宋体"/>
                <w:b/>
                <w:bCs/>
                <w:sz w:val="20"/>
              </w:rPr>
              <w:t>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钻井液无害化处理技术服务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34A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0" w:name="审核依据"/>
            <w:r>
              <w:rPr>
                <w:rFonts w:hint="eastAsia"/>
                <w:b/>
                <w:sz w:val="20"/>
                <w:lang w:val="de-DE"/>
              </w:rPr>
              <w:t>Q/SY 1002.1-2013 &amp; SY/T 6276-2014</w:t>
            </w:r>
            <w:bookmarkEnd w:id="0"/>
            <w:r>
              <w:rPr>
                <w:rFonts w:hint="eastAsia"/>
                <w:b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sz w:val="20"/>
                <w:lang w:val="de-DE"/>
              </w:rPr>
              <w:t>HSSE管理体系要求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证书号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所在工作单位（兼职）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宋明珠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组长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rPr>
                <w:rFonts w:hint="default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 w:bidi="ar-SA"/>
              </w:rPr>
              <w:t>ISC-247783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spacing w:line="240" w:lineRule="exact"/>
              <w:rPr>
                <w:rFonts w:hint="default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 w:bidi="ar-SA"/>
              </w:rPr>
              <w:t>酒泉钢铁集团有限公司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34A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025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1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74295</wp:posOffset>
                  </wp:positionV>
                  <wp:extent cx="812165" cy="275590"/>
                  <wp:effectExtent l="0" t="0" r="635" b="3810"/>
                  <wp:wrapSquare wrapText="bothSides"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2022年8月15日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2022年8月15日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97"/>
        <w:gridCol w:w="1276"/>
        <w:gridCol w:w="2835"/>
        <w:gridCol w:w="25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所以部门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83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体系策划、职责分配、资源支持、重大风险/重要环境因素德控制、管理评审实施</w:t>
            </w:r>
          </w:p>
        </w:tc>
        <w:tc>
          <w:tcPr>
            <w:tcW w:w="256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4.;5.1;5.2;5.3.1;5.3.4;5.4.1;5.4.2;5.4.3;5.4.5;5.7;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15：30-17：30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83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HSE目标指标及完成情况、合规性评价、环境因素危险源识别、文件控制、法律法规的收集、人力资源管理、HSE运行控制、内外部信息沟通交流、应急管理、绩效测量、HSE体系内审、事故事件管理、不符合纠正、记录控制</w:t>
            </w:r>
          </w:p>
        </w:tc>
        <w:tc>
          <w:tcPr>
            <w:tcW w:w="256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1；5.3.2；5.3.3；5.3.4；5.4.1；5.4.3；5.4.4；5.4.5；5.4.6；5.4.7；5.5.8；5.5.10；5.6.1；5.6.2；5.6.3；5.6.4；5.6.5；5.6.6；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8：30-16：00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到临时场所来回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小时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部（含临时场所）</w:t>
            </w:r>
          </w:p>
        </w:tc>
        <w:tc>
          <w:tcPr>
            <w:tcW w:w="283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部门职责、HSE目标指标及完成情况、环境因素危险源识别、变更管理、设备设施管理、供方管理、社区和公共关系、作业许可、职业卫生、清洁生产、运行控制、应急管理；不符合纠正</w:t>
            </w:r>
          </w:p>
        </w:tc>
        <w:tc>
          <w:tcPr>
            <w:tcW w:w="256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1；5.3.3；5.4.1；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5.5.1；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5.5.2；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5.5.4；5.5.5；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5.5.6；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5.5.7；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5.5.8；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5.5.9；5.5.10；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83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部门职责、HSE目标指标及完成情况、环境因素危险源识别、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沟通、参与和协商、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运行控制、不符合纠正</w:t>
            </w:r>
          </w:p>
        </w:tc>
        <w:tc>
          <w:tcPr>
            <w:tcW w:w="256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1；5.3.3；5.4.1；5.4.4； 5.5.8； 5.6.3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667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HSE</w:t>
      </w:r>
      <w:r>
        <w:rPr>
          <w:rFonts w:hint="eastAsia" w:ascii="宋体" w:hAnsi="宋体"/>
          <w:b/>
          <w:sz w:val="18"/>
          <w:szCs w:val="18"/>
        </w:rPr>
        <w:t>：4、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.3.1、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.4.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.4.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b/>
          <w:sz w:val="18"/>
          <w:szCs w:val="18"/>
        </w:rPr>
        <w:t>、5.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sz w:val="18"/>
          <w:szCs w:val="18"/>
        </w:rPr>
        <w:t xml:space="preserve">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 w:firstLine="180" w:firstLineChars="100"/>
      <w:jc w:val="left"/>
      <w:rPr>
        <w:rStyle w:val="11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21590</wp:posOffset>
          </wp:positionV>
          <wp:extent cx="481330" cy="484505"/>
          <wp:effectExtent l="0" t="0" r="13970" b="1079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文本框 1" o:spid="_x0000_s4097" o:spt="202" type="#_x0000_t202" style="position:absolute;left:0pt;margin-left:360.75pt;margin-top:9.9pt;height:20.2pt;width:159.25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 w:firstLine="189" w:firstLineChars="100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C73F66"/>
    <w:rsid w:val="00021CF6"/>
    <w:rsid w:val="00031631"/>
    <w:rsid w:val="000401FF"/>
    <w:rsid w:val="00104B46"/>
    <w:rsid w:val="00142450"/>
    <w:rsid w:val="00154C80"/>
    <w:rsid w:val="001816F7"/>
    <w:rsid w:val="001E0AE6"/>
    <w:rsid w:val="00272FFB"/>
    <w:rsid w:val="002B4D1C"/>
    <w:rsid w:val="002C412E"/>
    <w:rsid w:val="002D1483"/>
    <w:rsid w:val="002D4651"/>
    <w:rsid w:val="00320F97"/>
    <w:rsid w:val="00391718"/>
    <w:rsid w:val="003A317C"/>
    <w:rsid w:val="003B2040"/>
    <w:rsid w:val="003F47A7"/>
    <w:rsid w:val="004A6222"/>
    <w:rsid w:val="004D5A75"/>
    <w:rsid w:val="00535956"/>
    <w:rsid w:val="00540D44"/>
    <w:rsid w:val="00546E12"/>
    <w:rsid w:val="00567A63"/>
    <w:rsid w:val="00604660"/>
    <w:rsid w:val="00656B3A"/>
    <w:rsid w:val="00722B52"/>
    <w:rsid w:val="00785B94"/>
    <w:rsid w:val="00807D4F"/>
    <w:rsid w:val="0084069A"/>
    <w:rsid w:val="008B714F"/>
    <w:rsid w:val="008E3402"/>
    <w:rsid w:val="00965EA7"/>
    <w:rsid w:val="00970FD9"/>
    <w:rsid w:val="00990512"/>
    <w:rsid w:val="00A54447"/>
    <w:rsid w:val="00A57743"/>
    <w:rsid w:val="00A750C8"/>
    <w:rsid w:val="00A7565C"/>
    <w:rsid w:val="00B15C9E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0F16BC3"/>
    <w:rsid w:val="00F6670D"/>
    <w:rsid w:val="00FD2D93"/>
    <w:rsid w:val="104C2595"/>
    <w:rsid w:val="126A5672"/>
    <w:rsid w:val="1F6E032D"/>
    <w:rsid w:val="2F782F6C"/>
    <w:rsid w:val="346E63B0"/>
    <w:rsid w:val="371213D3"/>
    <w:rsid w:val="42A76587"/>
    <w:rsid w:val="49DE7653"/>
    <w:rsid w:val="4EC710A1"/>
    <w:rsid w:val="55062D45"/>
    <w:rsid w:val="56DD36DE"/>
    <w:rsid w:val="61BD4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1237</Words>
  <Characters>1660</Characters>
  <Lines>10</Lines>
  <Paragraphs>2</Paragraphs>
  <TotalTime>215</TotalTime>
  <ScaleCrop>false</ScaleCrop>
  <LinksUpToDate>false</LinksUpToDate>
  <CharactersWithSpaces>1686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2022-11-08T23:22:27Z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FB92249E8639496BAFC4EFC48C7C0792</vt:lpwstr>
  </property>
</Properties>
</file>