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205"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8"/>
        <w:gridCol w:w="1055"/>
        <w:gridCol w:w="893"/>
        <w:gridCol w:w="9373"/>
        <w:gridCol w:w="1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515" w:hRule="atLeast"/>
        </w:trPr>
        <w:tc>
          <w:tcPr>
            <w:tcW w:w="1518" w:type="dxa"/>
            <w:vMerge w:val="restart"/>
            <w:shd w:val="clear" w:color="auto" w:fill="auto"/>
            <w:vAlign w:val="center"/>
          </w:tcPr>
          <w:p>
            <w:pPr>
              <w:shd w:val="clear"/>
              <w:spacing w:before="120"/>
              <w:jc w:val="center"/>
              <w:rPr>
                <w:sz w:val="24"/>
                <w:szCs w:val="24"/>
              </w:rPr>
            </w:pPr>
            <w:bookmarkStart w:id="3" w:name="_GoBack"/>
            <w:r>
              <w:rPr>
                <w:rFonts w:hint="eastAsia"/>
                <w:sz w:val="24"/>
                <w:szCs w:val="24"/>
              </w:rPr>
              <w:t>过程与活动、</w:t>
            </w:r>
          </w:p>
          <w:p>
            <w:pPr>
              <w:shd w:val="clear"/>
              <w:jc w:val="center"/>
            </w:pPr>
            <w:r>
              <w:rPr>
                <w:rFonts w:hint="eastAsia"/>
                <w:sz w:val="24"/>
                <w:szCs w:val="24"/>
              </w:rPr>
              <w:t>抽样计划</w:t>
            </w:r>
          </w:p>
        </w:tc>
        <w:tc>
          <w:tcPr>
            <w:tcW w:w="1055" w:type="dxa"/>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266" w:type="dxa"/>
            <w:gridSpan w:val="2"/>
            <w:shd w:val="clear" w:color="auto" w:fill="auto"/>
            <w:vAlign w:val="center"/>
          </w:tcPr>
          <w:p>
            <w:pPr>
              <w:shd w:val="clear"/>
              <w:rPr>
                <w:rFonts w:hint="eastAsia" w:eastAsia="宋体"/>
                <w:sz w:val="24"/>
                <w:szCs w:val="24"/>
                <w:lang w:val="en-US" w:eastAsia="zh-CN"/>
              </w:rPr>
            </w:pPr>
            <w:r>
              <w:rPr>
                <w:rFonts w:hint="eastAsia"/>
                <w:sz w:val="24"/>
                <w:szCs w:val="24"/>
              </w:rPr>
              <w:t xml:space="preserve">受审核部门：领导层 </w:t>
            </w:r>
            <w:r>
              <w:rPr>
                <w:sz w:val="24"/>
                <w:szCs w:val="24"/>
              </w:rPr>
              <w:t xml:space="preserve">       </w:t>
            </w:r>
            <w:r>
              <w:rPr>
                <w:rFonts w:hint="eastAsia"/>
                <w:sz w:val="24"/>
                <w:szCs w:val="24"/>
                <w:lang w:val="en-US" w:eastAsia="zh-CN"/>
              </w:rPr>
              <w:t xml:space="preserve">主管领导：何先国 </w:t>
            </w:r>
            <w:r>
              <w:rPr>
                <w:sz w:val="24"/>
                <w:szCs w:val="24"/>
              </w:rPr>
              <w:t xml:space="preserve">   </w:t>
            </w:r>
            <w:r>
              <w:rPr>
                <w:rFonts w:hint="eastAsia"/>
                <w:sz w:val="24"/>
                <w:szCs w:val="24"/>
              </w:rPr>
              <w:t>陪同人员：</w:t>
            </w:r>
            <w:r>
              <w:rPr>
                <w:rFonts w:hint="eastAsia"/>
                <w:sz w:val="24"/>
                <w:szCs w:val="24"/>
                <w:lang w:val="en-US" w:eastAsia="zh-CN"/>
              </w:rPr>
              <w:t>母春茂</w:t>
            </w:r>
          </w:p>
        </w:tc>
        <w:tc>
          <w:tcPr>
            <w:tcW w:w="1366" w:type="dxa"/>
            <w:gridSpan w:val="2"/>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03"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pStyle w:val="12"/>
              <w:shd w:val="clear"/>
              <w:rPr>
                <w:rFonts w:hint="default" w:eastAsia="宋体"/>
                <w:lang w:val="en-US" w:eastAsia="zh-CN"/>
              </w:rPr>
            </w:pPr>
            <w:r>
              <w:rPr>
                <w:rFonts w:hint="eastAsia"/>
                <w:sz w:val="21"/>
                <w:szCs w:val="21"/>
              </w:rPr>
              <w:t>审核员：</w:t>
            </w:r>
            <w:r>
              <w:rPr>
                <w:rFonts w:hint="eastAsia"/>
                <w:sz w:val="21"/>
                <w:szCs w:val="21"/>
                <w:lang w:val="en-US" w:eastAsia="zh-CN"/>
              </w:rPr>
              <w:t xml:space="preserve">肖新龙      </w:t>
            </w:r>
            <w:r>
              <w:rPr>
                <w:rFonts w:hint="eastAsia"/>
                <w:sz w:val="21"/>
                <w:szCs w:val="21"/>
              </w:rPr>
              <w:t>审核日期：</w:t>
            </w:r>
            <w:r>
              <w:rPr>
                <w:rFonts w:hint="eastAsia"/>
                <w:sz w:val="21"/>
                <w:szCs w:val="21"/>
                <w:lang w:val="en-US" w:eastAsia="zh-CN"/>
              </w:rPr>
              <w:t>2022-08-22日</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516" w:hRule="atLeast"/>
        </w:trPr>
        <w:tc>
          <w:tcPr>
            <w:tcW w:w="1518" w:type="dxa"/>
            <w:vMerge w:val="continue"/>
            <w:shd w:val="clear" w:color="auto" w:fill="auto"/>
            <w:vAlign w:val="center"/>
          </w:tcPr>
          <w:p>
            <w:pPr>
              <w:shd w:val="clear"/>
            </w:pPr>
          </w:p>
        </w:tc>
        <w:tc>
          <w:tcPr>
            <w:tcW w:w="1055" w:type="dxa"/>
            <w:vMerge w:val="continue"/>
            <w:shd w:val="clear" w:color="auto" w:fill="auto"/>
            <w:vAlign w:val="center"/>
          </w:tcPr>
          <w:p>
            <w:pPr>
              <w:shd w:val="clear"/>
            </w:pPr>
          </w:p>
        </w:tc>
        <w:tc>
          <w:tcPr>
            <w:tcW w:w="10266" w:type="dxa"/>
            <w:gridSpan w:val="2"/>
            <w:shd w:val="clear" w:color="auto" w:fill="auto"/>
            <w:vAlign w:val="center"/>
          </w:tcPr>
          <w:p>
            <w:pPr>
              <w:keepNext w:val="0"/>
              <w:keepLines w:val="0"/>
              <w:widowControl/>
              <w:suppressLineNumbers w:val="0"/>
              <w:jc w:val="left"/>
              <w:rPr>
                <w:rFonts w:hint="eastAsia"/>
              </w:rPr>
            </w:pPr>
            <w:r>
              <w:rPr>
                <w:rFonts w:hint="eastAsia"/>
              </w:rPr>
              <w:t>审核条款：</w:t>
            </w:r>
          </w:p>
          <w:p>
            <w:pPr>
              <w:keepNext w:val="0"/>
              <w:keepLines w:val="0"/>
              <w:widowControl/>
              <w:suppressLineNumbers w:val="0"/>
              <w:jc w:val="left"/>
            </w:pPr>
            <w:r>
              <w:rPr>
                <w:rFonts w:hint="default"/>
                <w:lang w:val="en-US" w:eastAsia="zh-CN"/>
              </w:rPr>
              <w:t>QMS</w:t>
            </w:r>
            <w:r>
              <w:rPr>
                <w:rFonts w:hint="eastAsia"/>
                <w:lang w:val="en-US" w:eastAsia="zh-CN"/>
              </w:rPr>
              <w:t>：</w:t>
            </w:r>
            <w:r>
              <w:rPr>
                <w:rFonts w:hint="default"/>
                <w:lang w:val="en-US" w:eastAsia="zh-CN"/>
              </w:rPr>
              <w:t xml:space="preserve">4.1/4.2/4.3/4.4/5.1/5.2/5.3/6.1/6.2/6.3/7.1.1/7.4/8.1/9.1.1/9.2/9.3/10.1/10.2/10.3 </w:t>
            </w:r>
          </w:p>
          <w:p>
            <w:pPr>
              <w:keepNext w:val="0"/>
              <w:keepLines w:val="0"/>
              <w:widowControl/>
              <w:suppressLineNumbers w:val="0"/>
              <w:jc w:val="left"/>
              <w:rPr>
                <w:rFonts w:hint="default"/>
                <w:lang w:val="en-US" w:eastAsia="zh-CN"/>
              </w:rPr>
            </w:pPr>
            <w:r>
              <w:rPr>
                <w:rFonts w:hint="default"/>
                <w:lang w:val="en-US" w:eastAsia="zh-CN"/>
              </w:rPr>
              <w:t>FSMS</w:t>
            </w:r>
            <w:r>
              <w:rPr>
                <w:rFonts w:hint="eastAsia"/>
                <w:lang w:val="en-US" w:eastAsia="zh-CN"/>
              </w:rPr>
              <w:t>：</w:t>
            </w:r>
            <w:r>
              <w:rPr>
                <w:rFonts w:hint="default"/>
                <w:lang w:val="en-US" w:eastAsia="zh-CN"/>
              </w:rPr>
              <w:t>4.1/4.2/4.3/4.4/5.1/5.2/5.3/6.1/6.2/6.3/7.1.1/7.4/8.1/9.1.1/9.2/9.3/10.1/10.2</w:t>
            </w:r>
          </w:p>
          <w:p>
            <w:pPr>
              <w:pStyle w:val="12"/>
              <w:rPr>
                <w:rFonts w:hint="eastAsia" w:eastAsia="宋体"/>
                <w:lang w:val="en-US" w:eastAsia="zh-CN"/>
              </w:rPr>
            </w:pPr>
            <w:r>
              <w:rPr>
                <w:rFonts w:hint="eastAsia" w:ascii="宋体" w:hAnsi="宋体"/>
                <w:b/>
                <w:bCs/>
                <w:sz w:val="21"/>
                <w:szCs w:val="21"/>
                <w:lang w:val="en-US" w:eastAsia="zh-CN"/>
              </w:rPr>
              <w:t>证书恢复</w:t>
            </w:r>
            <w:r>
              <w:rPr>
                <w:rFonts w:hint="eastAsia" w:ascii="宋体" w:hAnsi="宋体"/>
                <w:b/>
                <w:bCs/>
                <w:sz w:val="21"/>
                <w:szCs w:val="21"/>
              </w:rPr>
              <w:t>确认内容</w:t>
            </w:r>
            <w:r>
              <w:rPr>
                <w:rFonts w:hint="eastAsia" w:ascii="宋体" w:hAnsi="宋体"/>
                <w:b/>
                <w:bCs/>
                <w:sz w:val="21"/>
                <w:szCs w:val="21"/>
                <w:lang w:eastAsia="zh-CN"/>
              </w:rPr>
              <w:t>、</w:t>
            </w:r>
            <w:r>
              <w:rPr>
                <w:rFonts w:hint="eastAsia"/>
                <w:sz w:val="21"/>
                <w:szCs w:val="21"/>
              </w:rPr>
              <w:t>标准/规范/法规的执行情况、上次审核不符合项的验证、认证证书、标志的使用情况、投诉或事故、监督抽查情况、体系变动</w:t>
            </w:r>
            <w:r>
              <w:rPr>
                <w:rFonts w:hint="eastAsia"/>
                <w:sz w:val="21"/>
                <w:szCs w:val="21"/>
                <w:lang w:eastAsia="zh-CN"/>
              </w:rPr>
              <w:t>、</w:t>
            </w:r>
            <w:r>
              <w:rPr>
                <w:rFonts w:hint="eastAsia"/>
                <w:sz w:val="21"/>
                <w:szCs w:val="21"/>
                <w:lang w:val="en-US" w:eastAsia="zh-CN"/>
              </w:rPr>
              <w:t>初审不符合项验证等</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516" w:hRule="atLeast"/>
        </w:trPr>
        <w:tc>
          <w:tcPr>
            <w:tcW w:w="1518" w:type="dxa"/>
            <w:shd w:val="clear" w:color="auto" w:fill="auto"/>
            <w:vAlign w:val="center"/>
          </w:tcPr>
          <w:p>
            <w:r>
              <w:rPr>
                <w:rFonts w:hint="eastAsia"/>
                <w:lang w:val="en-US" w:eastAsia="zh-CN"/>
              </w:rPr>
              <w:t>证书暂停恢复的各项要求</w:t>
            </w:r>
          </w:p>
        </w:tc>
        <w:tc>
          <w:tcPr>
            <w:tcW w:w="1055" w:type="dxa"/>
            <w:shd w:val="clear" w:color="auto" w:fill="auto"/>
            <w:vAlign w:val="center"/>
          </w:tcPr>
          <w:p/>
        </w:tc>
        <w:tc>
          <w:tcPr>
            <w:tcW w:w="10266" w:type="dxa"/>
            <w:gridSpan w:val="2"/>
            <w:shd w:val="clear" w:color="auto" w:fill="auto"/>
            <w:vAlign w:val="center"/>
          </w:tcPr>
          <w:p>
            <w:pPr>
              <w:pStyle w:val="2"/>
              <w:spacing w:line="360" w:lineRule="auto"/>
              <w:rPr>
                <w:rFonts w:hint="default"/>
                <w:b/>
                <w:bCs/>
                <w:color w:val="0000FF"/>
                <w:lang w:val="en-US" w:eastAsia="zh-CN"/>
              </w:rPr>
            </w:pPr>
            <w:r>
              <w:rPr>
                <w:rFonts w:hint="default"/>
                <w:b/>
                <w:bCs/>
                <w:color w:val="0000FF"/>
                <w:lang w:val="en-US" w:eastAsia="zh-CN"/>
              </w:rPr>
              <w:t>证书恢复确认内容：</w:t>
            </w:r>
          </w:p>
          <w:p>
            <w:pPr>
              <w:pStyle w:val="2"/>
              <w:spacing w:line="360" w:lineRule="auto"/>
              <w:rPr>
                <w:rFonts w:hint="eastAsia"/>
                <w:color w:val="0000FF"/>
                <w:lang w:val="en-US" w:eastAsia="zh-CN"/>
              </w:rPr>
            </w:pPr>
            <w:r>
              <w:rPr>
                <w:rFonts w:hint="eastAsia"/>
                <w:color w:val="0000FF"/>
                <w:lang w:val="en-US" w:eastAsia="zh-CN"/>
              </w:rPr>
              <w:t>与企业负责人及代表确认：</w:t>
            </w:r>
          </w:p>
          <w:p>
            <w:pPr>
              <w:pStyle w:val="2"/>
              <w:numPr>
                <w:ilvl w:val="0"/>
                <w:numId w:val="1"/>
              </w:numPr>
              <w:spacing w:line="360" w:lineRule="auto"/>
              <w:rPr>
                <w:rFonts w:hint="eastAsia"/>
                <w:color w:val="0000FF"/>
                <w:lang w:val="en-US" w:eastAsia="zh-CN"/>
              </w:rPr>
            </w:pPr>
            <w:r>
              <w:rPr>
                <w:rFonts w:hint="default"/>
                <w:color w:val="0000FF"/>
                <w:lang w:val="en-US" w:eastAsia="zh-CN"/>
              </w:rPr>
              <w:t>企业</w:t>
            </w:r>
            <w:r>
              <w:rPr>
                <w:rFonts w:hint="eastAsia"/>
                <w:color w:val="0000FF"/>
                <w:lang w:val="en-US" w:eastAsia="zh-CN"/>
              </w:rPr>
              <w:t>基本具备</w:t>
            </w:r>
            <w:r>
              <w:rPr>
                <w:rFonts w:hint="default"/>
                <w:color w:val="0000FF"/>
                <w:lang w:val="en-US" w:eastAsia="zh-CN"/>
              </w:rPr>
              <w:t>执行相关法律法规及其他要求的能力</w:t>
            </w:r>
            <w:r>
              <w:rPr>
                <w:rFonts w:hint="eastAsia"/>
                <w:color w:val="0000FF"/>
                <w:lang w:val="en-US" w:eastAsia="zh-CN"/>
              </w:rPr>
              <w:t>；</w:t>
            </w:r>
          </w:p>
          <w:p>
            <w:pPr>
              <w:pStyle w:val="2"/>
              <w:numPr>
                <w:ilvl w:val="0"/>
                <w:numId w:val="1"/>
              </w:numPr>
              <w:spacing w:line="360" w:lineRule="auto"/>
              <w:rPr>
                <w:rFonts w:hint="eastAsia"/>
                <w:color w:val="0000FF"/>
                <w:lang w:val="en-US" w:eastAsia="zh-CN"/>
              </w:rPr>
            </w:pPr>
            <w:r>
              <w:rPr>
                <w:rFonts w:hint="eastAsia"/>
                <w:color w:val="0000FF"/>
                <w:lang w:val="en-US" w:eastAsia="zh-CN"/>
              </w:rPr>
              <w:t>证书暂停期间监管部门未</w:t>
            </w:r>
            <w:r>
              <w:rPr>
                <w:rFonts w:hint="default"/>
                <w:color w:val="0000FF"/>
                <w:lang w:val="en-US" w:eastAsia="zh-CN"/>
              </w:rPr>
              <w:t>对企业质量、环境、安全监督抽查情况</w:t>
            </w:r>
            <w:r>
              <w:rPr>
                <w:rFonts w:hint="eastAsia"/>
                <w:color w:val="0000FF"/>
                <w:lang w:val="en-US" w:eastAsia="zh-CN"/>
              </w:rPr>
              <w:t>，无不符合情况；</w:t>
            </w:r>
          </w:p>
          <w:p>
            <w:pPr>
              <w:pStyle w:val="2"/>
              <w:numPr>
                <w:ilvl w:val="0"/>
                <w:numId w:val="1"/>
              </w:numPr>
              <w:spacing w:line="360" w:lineRule="auto"/>
              <w:rPr>
                <w:rFonts w:hint="eastAsia"/>
                <w:color w:val="0000FF"/>
                <w:lang w:val="en-US" w:eastAsia="zh-CN"/>
              </w:rPr>
            </w:pPr>
            <w:r>
              <w:rPr>
                <w:rFonts w:hint="eastAsia"/>
                <w:color w:val="0000FF"/>
                <w:lang w:val="en-US" w:eastAsia="zh-CN"/>
              </w:rPr>
              <w:t>暂停期间未发生</w:t>
            </w:r>
            <w:r>
              <w:rPr>
                <w:rFonts w:hint="default"/>
                <w:color w:val="0000FF"/>
                <w:lang w:val="en-US" w:eastAsia="zh-CN"/>
              </w:rPr>
              <w:t>重大质量环境安全事故、</w:t>
            </w:r>
            <w:r>
              <w:rPr>
                <w:rFonts w:hint="eastAsia"/>
                <w:color w:val="0000FF"/>
                <w:lang w:val="en-US" w:eastAsia="zh-CN"/>
              </w:rPr>
              <w:t>未发生</w:t>
            </w:r>
            <w:r>
              <w:rPr>
                <w:rFonts w:hint="default"/>
                <w:color w:val="0000FF"/>
                <w:lang w:val="en-US" w:eastAsia="zh-CN"/>
              </w:rPr>
              <w:t>主管部门处罚、通报情况</w:t>
            </w:r>
            <w:r>
              <w:rPr>
                <w:rFonts w:hint="eastAsia"/>
                <w:color w:val="0000FF"/>
                <w:lang w:val="en-US" w:eastAsia="zh-CN"/>
              </w:rPr>
              <w:t>；</w:t>
            </w:r>
          </w:p>
          <w:p>
            <w:pPr>
              <w:pStyle w:val="2"/>
              <w:numPr>
                <w:ilvl w:val="0"/>
                <w:numId w:val="1"/>
              </w:numPr>
              <w:spacing w:line="360" w:lineRule="auto"/>
              <w:rPr>
                <w:rFonts w:hint="eastAsia"/>
                <w:color w:val="0000FF"/>
                <w:lang w:val="en-US" w:eastAsia="zh-CN"/>
              </w:rPr>
            </w:pPr>
            <w:r>
              <w:rPr>
                <w:rFonts w:hint="default"/>
                <w:color w:val="0000FF"/>
                <w:lang w:val="en-US" w:eastAsia="zh-CN"/>
              </w:rPr>
              <w:t>体系运行</w:t>
            </w:r>
            <w:r>
              <w:rPr>
                <w:rFonts w:hint="eastAsia"/>
                <w:color w:val="0000FF"/>
                <w:lang w:val="en-US" w:eastAsia="zh-CN"/>
              </w:rPr>
              <w:t>基本正常；</w:t>
            </w:r>
          </w:p>
          <w:p>
            <w:pPr>
              <w:pStyle w:val="2"/>
              <w:numPr>
                <w:ilvl w:val="0"/>
                <w:numId w:val="1"/>
              </w:numPr>
              <w:spacing w:line="360" w:lineRule="auto"/>
              <w:rPr>
                <w:rFonts w:hint="eastAsia"/>
                <w:color w:val="0000FF"/>
                <w:lang w:val="en-US" w:eastAsia="zh-CN"/>
              </w:rPr>
            </w:pPr>
            <w:r>
              <w:rPr>
                <w:rFonts w:hint="default"/>
                <w:color w:val="0000FF"/>
                <w:lang w:val="en-US" w:eastAsia="zh-CN"/>
              </w:rPr>
              <w:t>组织</w:t>
            </w:r>
            <w:r>
              <w:rPr>
                <w:rFonts w:hint="eastAsia"/>
                <w:color w:val="0000FF"/>
                <w:lang w:val="en-US" w:eastAsia="zh-CN"/>
              </w:rPr>
              <w:t>经营场所未发生变化、各部门主要负责人发生变化，人员能力评价见7.2条款审核记录；</w:t>
            </w:r>
          </w:p>
          <w:p>
            <w:pPr>
              <w:pStyle w:val="2"/>
              <w:numPr>
                <w:ilvl w:val="0"/>
                <w:numId w:val="1"/>
              </w:numPr>
              <w:spacing w:line="360" w:lineRule="auto"/>
              <w:rPr>
                <w:rFonts w:hint="eastAsia"/>
                <w:color w:val="0000FF"/>
                <w:highlight w:val="none"/>
                <w:lang w:val="en-US" w:eastAsia="zh-CN"/>
              </w:rPr>
            </w:pPr>
            <w:r>
              <w:rPr>
                <w:rFonts w:hint="default"/>
                <w:color w:val="0000FF"/>
                <w:highlight w:val="none"/>
                <w:lang w:val="en-US" w:eastAsia="zh-CN"/>
              </w:rPr>
              <w:t>暂停期间</w:t>
            </w:r>
            <w:r>
              <w:rPr>
                <w:rFonts w:hint="eastAsia"/>
                <w:color w:val="0000FF"/>
                <w:highlight w:val="none"/>
                <w:lang w:val="en-US" w:eastAsia="zh-CN"/>
              </w:rPr>
              <w:t>组织标示未使用</w:t>
            </w:r>
            <w:r>
              <w:rPr>
                <w:rFonts w:hint="default"/>
                <w:color w:val="0000FF"/>
                <w:highlight w:val="none"/>
                <w:lang w:val="en-US" w:eastAsia="zh-CN"/>
              </w:rPr>
              <w:t>证书</w:t>
            </w:r>
            <w:r>
              <w:rPr>
                <w:rFonts w:hint="eastAsia"/>
                <w:color w:val="0000FF"/>
                <w:highlight w:val="none"/>
                <w:lang w:val="en-US" w:eastAsia="zh-CN"/>
              </w:rPr>
              <w:t>，也未发生</w:t>
            </w:r>
            <w:r>
              <w:rPr>
                <w:rFonts w:hint="default"/>
                <w:color w:val="0000FF"/>
                <w:highlight w:val="none"/>
                <w:lang w:val="en-US" w:eastAsia="zh-CN"/>
              </w:rPr>
              <w:t>重大服务投诉情况等</w:t>
            </w:r>
            <w:r>
              <w:rPr>
                <w:rFonts w:hint="eastAsia"/>
                <w:color w:val="0000FF"/>
                <w:highlight w:val="none"/>
                <w:lang w:val="en-US" w:eastAsia="zh-CN"/>
              </w:rPr>
              <w:t>。</w:t>
            </w:r>
          </w:p>
          <w:p>
            <w:pPr>
              <w:pStyle w:val="2"/>
              <w:numPr>
                <w:ilvl w:val="0"/>
                <w:numId w:val="1"/>
              </w:numPr>
              <w:spacing w:line="360" w:lineRule="auto"/>
              <w:rPr>
                <w:rFonts w:hint="default"/>
                <w:lang w:val="en-US" w:eastAsia="zh-CN"/>
              </w:rPr>
            </w:pPr>
            <w:r>
              <w:rPr>
                <w:rFonts w:hint="eastAsia"/>
                <w:color w:val="0000FF"/>
                <w:lang w:val="en-US" w:eastAsia="zh-CN"/>
              </w:rPr>
              <w:t>监督暂停期间证书使用及管理基本规范，</w:t>
            </w:r>
            <w:r>
              <w:rPr>
                <w:rFonts w:hint="eastAsia"/>
                <w:color w:val="0000FF"/>
                <w:u w:val="single"/>
                <w:lang w:val="en-US" w:eastAsia="zh-CN"/>
              </w:rPr>
              <w:t>具体见《暂停恢复确认表》</w:t>
            </w:r>
          </w:p>
        </w:tc>
        <w:tc>
          <w:tcPr>
            <w:tcW w:w="1366" w:type="dxa"/>
            <w:gridSpan w:val="2"/>
            <w:shd w:val="clear" w:color="auto" w:fill="auto"/>
          </w:tcPr>
          <w:p>
            <w:pPr>
              <w:rPr>
                <w:rFonts w:hint="default" w:eastAsia="宋体"/>
                <w:lang w:val="en-US" w:eastAsia="zh-CN"/>
              </w:rPr>
            </w:pPr>
            <w:r>
              <w:rPr>
                <w:rFonts w:hint="eastAsia"/>
                <w:lang w:val="en-US" w:eastAsia="zh-CN"/>
              </w:rPr>
              <w:t>基本满足证书暂停恢复的各项要求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rPr>
                <w:highlight w:val="none"/>
              </w:rPr>
            </w:pPr>
            <w:r>
              <w:rPr>
                <w:rFonts w:hint="eastAsia"/>
                <w:highlight w:val="none"/>
              </w:rPr>
              <w:t>理解组织及其环境</w:t>
            </w:r>
          </w:p>
        </w:tc>
        <w:tc>
          <w:tcPr>
            <w:tcW w:w="1055" w:type="dxa"/>
            <w:vMerge w:val="restart"/>
            <w:shd w:val="clear" w:color="auto" w:fill="auto"/>
          </w:tcPr>
          <w:p>
            <w:pPr>
              <w:shd w:val="clear"/>
              <w:rPr>
                <w:highlight w:val="none"/>
              </w:rPr>
            </w:pPr>
            <w:r>
              <w:rPr>
                <w:rFonts w:hint="eastAsia"/>
                <w:highlight w:val="none"/>
              </w:rPr>
              <w:t xml:space="preserve">Q4.1 </w:t>
            </w:r>
          </w:p>
          <w:p>
            <w:pPr>
              <w:shd w:val="clear"/>
              <w:rPr>
                <w:highlight w:val="none"/>
              </w:rPr>
            </w:pPr>
            <w:r>
              <w:rPr>
                <w:rFonts w:hint="eastAsia"/>
                <w:highlight w:val="none"/>
              </w:rPr>
              <w:t>F4.1</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t xml:space="preserve"> </w:t>
            </w:r>
            <w:r>
              <w:rPr>
                <w:highlight w:val="none"/>
              </w:rPr>
              <w:sym w:font="Wingdings" w:char="00FE"/>
            </w:r>
            <w:r>
              <w:rPr>
                <w:rFonts w:hint="eastAsia"/>
                <w:highlight w:val="none"/>
                <w:lang w:eastAsia="zh-CN"/>
              </w:rPr>
              <w:t>《管理手册》</w:t>
            </w:r>
            <w:r>
              <w:rPr>
                <w:rFonts w:hint="eastAsia"/>
                <w:highlight w:val="none"/>
              </w:rPr>
              <w:t>第4.1章、</w:t>
            </w:r>
            <w:r>
              <w:rPr>
                <w:highlight w:val="none"/>
              </w:rPr>
              <w:sym w:font="Wingdings" w:char="00A8"/>
            </w:r>
            <w:r>
              <w:rPr>
                <w:rFonts w:hint="eastAsia"/>
                <w:highlight w:val="none"/>
              </w:rPr>
              <w:t>组织内外部环境要素识别表、</w:t>
            </w:r>
            <w:r>
              <w:rPr>
                <w:highlight w:val="none"/>
              </w:rPr>
              <w:sym w:font="Wingdings" w:char="00A8"/>
            </w:r>
            <w:r>
              <w:rPr>
                <w:rFonts w:hint="eastAsia"/>
                <w:highlight w:val="none"/>
              </w:rPr>
              <w:t>《公司环境分析控制程序 》</w:t>
            </w:r>
          </w:p>
        </w:tc>
        <w:tc>
          <w:tcPr>
            <w:tcW w:w="1366"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796"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color w:val="000000"/>
                <w:szCs w:val="21"/>
                <w:highlight w:val="none"/>
              </w:rPr>
            </w:pPr>
            <w:r>
              <w:rPr>
                <w:rFonts w:hint="eastAsia"/>
                <w:color w:val="000000"/>
                <w:szCs w:val="21"/>
                <w:highlight w:val="none"/>
              </w:rPr>
              <w:t>与最高管理者</w:t>
            </w:r>
            <w:r>
              <w:rPr>
                <w:rFonts w:hint="eastAsia"/>
                <w:color w:val="000000"/>
                <w:szCs w:val="21"/>
                <w:highlight w:val="none"/>
                <w:lang w:val="en-US" w:eastAsia="zh-CN"/>
              </w:rPr>
              <w:t>现场</w:t>
            </w:r>
            <w:r>
              <w:rPr>
                <w:rFonts w:hint="eastAsia"/>
                <w:color w:val="000000"/>
                <w:szCs w:val="21"/>
                <w:highlight w:val="none"/>
              </w:rPr>
              <w:t>沟通：</w:t>
            </w:r>
          </w:p>
          <w:p>
            <w:pPr>
              <w:shd w:val="clear"/>
              <w:rPr>
                <w:color w:val="000000"/>
                <w:szCs w:val="21"/>
                <w:highlight w:val="none"/>
              </w:rPr>
            </w:pPr>
            <w:r>
              <w:rPr>
                <w:rFonts w:hint="eastAsia"/>
                <w:color w:val="000000"/>
                <w:szCs w:val="21"/>
                <w:highlight w:val="none"/>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外部环境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A3"/>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列举主要的内容</w:t>
                  </w:r>
                </w:p>
              </w:tc>
              <w:tc>
                <w:tcPr>
                  <w:tcW w:w="7212" w:type="dxa"/>
                </w:tcPr>
                <w:p>
                  <w:pPr>
                    <w:pStyle w:val="12"/>
                    <w:rPr>
                      <w:rFonts w:hint="default"/>
                      <w:lang w:val="en-US" w:eastAsia="zh-CN"/>
                    </w:rPr>
                  </w:pPr>
                  <w:r>
                    <w:rPr>
                      <w:rFonts w:hint="eastAsia"/>
                      <w:lang w:val="en-US" w:eastAsia="zh-CN"/>
                    </w:rPr>
                    <w:t>国家所有、按照总部要求实施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shd w:val="clear"/>
                    <w:rPr>
                      <w:highlight w:val="none"/>
                    </w:rPr>
                  </w:pPr>
                  <w:r>
                    <w:rPr>
                      <w:rFonts w:hint="eastAsia"/>
                      <w:highlight w:val="none"/>
                    </w:rPr>
                    <w:t>内部环境</w:t>
                  </w:r>
                </w:p>
              </w:tc>
              <w:tc>
                <w:tcPr>
                  <w:tcW w:w="7212"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69" w:type="dxa"/>
                </w:tcPr>
                <w:p>
                  <w:pPr>
                    <w:shd w:val="clear"/>
                    <w:rPr>
                      <w:highlight w:val="none"/>
                    </w:rPr>
                  </w:pPr>
                  <w:r>
                    <w:rPr>
                      <w:rFonts w:hint="eastAsia"/>
                      <w:highlight w:val="none"/>
                    </w:rPr>
                    <w:t>列举主要的内容</w:t>
                  </w:r>
                </w:p>
              </w:tc>
              <w:tc>
                <w:tcPr>
                  <w:tcW w:w="7212" w:type="dxa"/>
                </w:tcPr>
                <w:p>
                  <w:pPr>
                    <w:shd w:val="clear"/>
                    <w:rPr>
                      <w:rFonts w:hint="default" w:eastAsia="宋体"/>
                      <w:highlight w:val="none"/>
                      <w:lang w:val="en-US" w:eastAsia="zh-CN"/>
                    </w:rPr>
                  </w:pPr>
                  <w:r>
                    <w:rPr>
                      <w:rFonts w:hint="eastAsia"/>
                      <w:highlight w:val="none"/>
                      <w:lang w:val="en-US" w:eastAsia="zh-CN"/>
                    </w:rPr>
                    <w:t>主要以粮食仓储管理为主，仓储部人员经验丰富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69" w:type="dxa"/>
                </w:tcPr>
                <w:p>
                  <w:pPr>
                    <w:shd w:val="clear"/>
                    <w:rPr>
                      <w:highlight w:val="none"/>
                    </w:rPr>
                  </w:pPr>
                  <w:r>
                    <w:rPr>
                      <w:rFonts w:hint="eastAsia"/>
                      <w:color w:val="000000"/>
                      <w:szCs w:val="21"/>
                      <w:highlight w:val="none"/>
                    </w:rPr>
                    <w:t>组织优势说明</w:t>
                  </w:r>
                </w:p>
              </w:tc>
              <w:tc>
                <w:tcPr>
                  <w:tcW w:w="7212" w:type="dxa"/>
                </w:tcPr>
                <w:p>
                  <w:pPr>
                    <w:shd w:val="clear"/>
                    <w:rPr>
                      <w:rFonts w:hint="default" w:eastAsia="宋体"/>
                      <w:highlight w:val="none"/>
                      <w:lang w:val="en-US" w:eastAsia="zh-CN"/>
                    </w:rPr>
                  </w:pPr>
                  <w:r>
                    <w:rPr>
                      <w:rFonts w:hint="eastAsia"/>
                      <w:highlight w:val="none"/>
                      <w:lang w:val="en-US" w:eastAsia="zh-CN"/>
                    </w:rPr>
                    <w:t>具备粮食管理的经验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69" w:type="dxa"/>
                </w:tcPr>
                <w:p>
                  <w:pPr>
                    <w:shd w:val="clear"/>
                    <w:rPr>
                      <w:highlight w:val="none"/>
                    </w:rPr>
                  </w:pPr>
                  <w:r>
                    <w:rPr>
                      <w:rFonts w:hint="eastAsia"/>
                      <w:color w:val="000000"/>
                      <w:szCs w:val="21"/>
                      <w:highlight w:val="none"/>
                    </w:rPr>
                    <w:t>组织劣势说明</w:t>
                  </w:r>
                </w:p>
              </w:tc>
              <w:tc>
                <w:tcPr>
                  <w:tcW w:w="7212" w:type="dxa"/>
                </w:tcPr>
                <w:p>
                  <w:pPr>
                    <w:shd w:val="clea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粮食系统流程要求比较繁琐，对体系的实施运行结合度偏差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69" w:type="dxa"/>
                </w:tcPr>
                <w:p>
                  <w:pPr>
                    <w:shd w:val="clear"/>
                    <w:rPr>
                      <w:highlight w:val="none"/>
                    </w:rPr>
                  </w:pPr>
                  <w:r>
                    <w:rPr>
                      <w:rFonts w:hint="eastAsia"/>
                      <w:color w:val="000000"/>
                      <w:szCs w:val="21"/>
                      <w:highlight w:val="none"/>
                    </w:rPr>
                    <w:t>主要风险的说明</w:t>
                  </w:r>
                </w:p>
              </w:tc>
              <w:tc>
                <w:tcPr>
                  <w:tcW w:w="7212" w:type="dxa"/>
                </w:tcPr>
                <w:p>
                  <w:pPr>
                    <w:shd w:val="clear"/>
                    <w:rPr>
                      <w:rFonts w:hint="default" w:eastAsia="宋体"/>
                      <w:highlight w:val="none"/>
                      <w:lang w:val="en-US" w:eastAsia="zh-CN"/>
                    </w:rPr>
                  </w:pPr>
                  <w:r>
                    <w:rPr>
                      <w:rFonts w:hint="eastAsia"/>
                      <w:highlight w:val="none"/>
                      <w:lang w:val="en-US" w:eastAsia="zh-CN"/>
                    </w:rPr>
                    <w:t>经营风险、仓储风险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69" w:type="dxa"/>
                </w:tcPr>
                <w:p>
                  <w:pPr>
                    <w:shd w:val="clear"/>
                    <w:rPr>
                      <w:highlight w:val="none"/>
                    </w:rPr>
                  </w:pPr>
                  <w:r>
                    <w:rPr>
                      <w:rFonts w:hint="eastAsia"/>
                      <w:color w:val="000000"/>
                      <w:szCs w:val="21"/>
                      <w:highlight w:val="none"/>
                    </w:rPr>
                    <w:t>机遇的说明</w:t>
                  </w:r>
                </w:p>
              </w:tc>
              <w:tc>
                <w:tcPr>
                  <w:tcW w:w="7212" w:type="dxa"/>
                </w:tcPr>
                <w:p>
                  <w:pPr>
                    <w:shd w:val="clear"/>
                    <w:rPr>
                      <w:rFonts w:hint="default" w:eastAsia="宋体"/>
                      <w:highlight w:val="none"/>
                      <w:lang w:val="en-US" w:eastAsia="zh-CN"/>
                    </w:rPr>
                  </w:pPr>
                  <w:r>
                    <w:rPr>
                      <w:rFonts w:hint="eastAsia"/>
                      <w:highlight w:val="none"/>
                      <w:lang w:val="en-US" w:eastAsia="zh-CN"/>
                    </w:rPr>
                    <w:t>通过体系建立、持续保持，提升内部管理</w:t>
                  </w:r>
                </w:p>
              </w:tc>
            </w:tr>
          </w:tbl>
          <w:p>
            <w:pPr>
              <w:shd w:val="clear"/>
              <w:rPr>
                <w:color w:val="000000"/>
                <w:szCs w:val="21"/>
                <w:highlight w:val="none"/>
              </w:rPr>
            </w:pPr>
          </w:p>
          <w:p>
            <w:pPr>
              <w:shd w:val="clear"/>
              <w:rPr>
                <w:rFonts w:hint="default" w:eastAsia="宋体"/>
                <w:color w:val="000000"/>
                <w:szCs w:val="21"/>
                <w:highlight w:val="none"/>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ascii="宋体" w:hAnsi="宋体"/>
                <w:highlight w:val="none"/>
                <w:lang w:val="en-US" w:eastAsia="zh-CN"/>
              </w:rPr>
              <w:t>组织环境内部因素分析表</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p>
        </w:tc>
        <w:tc>
          <w:tcPr>
            <w:tcW w:w="1366"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rPr>
                <w:rFonts w:hint="default" w:eastAsia="宋体"/>
                <w:lang w:val="en-US" w:eastAsia="zh-CN"/>
              </w:rPr>
            </w:pPr>
            <w:r>
              <w:rPr>
                <w:rFonts w:hint="eastAsia"/>
              </w:rPr>
              <w:t>理解相关方的需求和期望</w:t>
            </w:r>
            <w:r>
              <w:rPr>
                <w:rFonts w:hint="eastAsia"/>
                <w:lang w:val="en-US" w:eastAsia="zh-CN"/>
              </w:rPr>
              <w:t>/合规义务</w:t>
            </w:r>
          </w:p>
        </w:tc>
        <w:tc>
          <w:tcPr>
            <w:tcW w:w="1055" w:type="dxa"/>
            <w:vMerge w:val="restart"/>
            <w:shd w:val="clear" w:color="auto" w:fill="auto"/>
          </w:tcPr>
          <w:p>
            <w:pPr>
              <w:shd w:val="clear"/>
            </w:pPr>
            <w:r>
              <w:rPr>
                <w:rFonts w:hint="eastAsia"/>
              </w:rPr>
              <w:t xml:space="preserve">Q4.2 </w:t>
            </w:r>
          </w:p>
          <w:p>
            <w:pPr>
              <w:shd w:val="clear"/>
              <w:rPr>
                <w:rFonts w:hint="eastAsia"/>
              </w:rPr>
            </w:pPr>
            <w:r>
              <w:rPr>
                <w:rFonts w:hint="eastAsia"/>
              </w:rPr>
              <w:t>F4.2</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如：《相关方需求和期望控制程序》、</w:t>
            </w:r>
            <w:r>
              <w:rPr/>
              <w:sym w:font="Wingdings" w:char="00FE"/>
            </w:r>
            <w:r>
              <w:rPr>
                <w:rFonts w:hint="eastAsia"/>
                <w:lang w:eastAsia="zh-CN"/>
              </w:rPr>
              <w:t>《管理手册》</w:t>
            </w:r>
            <w:r>
              <w:rPr>
                <w:rFonts w:hint="eastAsia"/>
              </w:rPr>
              <w:t>第4.2</w:t>
            </w:r>
            <w:r>
              <w:rPr>
                <w:rFonts w:hint="eastAsia"/>
                <w:lang w:val="en-US" w:eastAsia="zh-CN"/>
              </w:rPr>
              <w:t>条款</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9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w:t>
            </w:r>
          </w:p>
          <w:tbl>
            <w:tblPr>
              <w:tblStyle w:val="9"/>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t>重要的相关方</w:t>
                  </w:r>
                </w:p>
              </w:tc>
              <w:tc>
                <w:tcPr>
                  <w:tcW w:w="2701" w:type="dxa"/>
                </w:tcPr>
                <w:p>
                  <w:pPr>
                    <w:shd w:val="clear"/>
                    <w:rPr>
                      <w:highlight w:val="none"/>
                    </w:rPr>
                  </w:pPr>
                  <w:r>
                    <w:rPr>
                      <w:rFonts w:hint="eastAsia"/>
                      <w:highlight w:val="none"/>
                    </w:rPr>
                    <w:t>相关方名称举例</w:t>
                  </w:r>
                </w:p>
              </w:tc>
              <w:tc>
                <w:tcPr>
                  <w:tcW w:w="4729" w:type="dxa"/>
                </w:tcPr>
                <w:p>
                  <w:pPr>
                    <w:shd w:val="clea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shd w:val="clear"/>
                    <w:rPr>
                      <w:rFonts w:hint="default" w:eastAsia="宋体"/>
                      <w:highlight w:val="none"/>
                      <w:lang w:val="en-US" w:eastAsia="zh-CN"/>
                    </w:rPr>
                  </w:pPr>
                  <w:r>
                    <w:rPr>
                      <w:rFonts w:hint="eastAsia"/>
                      <w:highlight w:val="none"/>
                      <w:lang w:val="en-US" w:eastAsia="zh-CN"/>
                    </w:rPr>
                    <w:t>习水县发展和改革局</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7"/>
                    <w:shd w:val="clear"/>
                    <w:ind w:left="0" w:leftChars="0" w:firstLine="0" w:firstLineChars="0"/>
                    <w:rPr>
                      <w:rFonts w:hint="default" w:eastAsia="宋体"/>
                      <w:highlight w:val="none"/>
                      <w:lang w:val="en-US" w:eastAsia="zh-CN"/>
                    </w:rPr>
                  </w:pPr>
                  <w:r>
                    <w:rPr>
                      <w:rFonts w:hint="eastAsia"/>
                      <w:u w:val="single"/>
                      <w:lang w:val="en-US" w:eastAsia="zh-CN"/>
                    </w:rPr>
                    <w:t>湖北省粮食有限公司、菏泽市军粮供应有限公司等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shd w:val="clea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shd w:val="clear"/>
                    <w:rPr>
                      <w:highlight w:val="none"/>
                    </w:rPr>
                  </w:pPr>
                  <w:r>
                    <w:rPr>
                      <w:rFonts w:hint="eastAsia"/>
                      <w:highlight w:val="none"/>
                    </w:rPr>
                    <w:t>☑顾客</w:t>
                  </w:r>
                </w:p>
              </w:tc>
              <w:tc>
                <w:tcPr>
                  <w:tcW w:w="2701" w:type="dxa"/>
                </w:tcPr>
                <w:p>
                  <w:pPr>
                    <w:pStyle w:val="7"/>
                    <w:shd w:val="clear"/>
                    <w:ind w:left="0" w:leftChars="0" w:firstLine="0" w:firstLineChars="0"/>
                    <w:rPr>
                      <w:rFonts w:hint="default" w:eastAsia="宋体"/>
                      <w:highlight w:val="none"/>
                      <w:lang w:val="en-US" w:eastAsia="zh-CN"/>
                    </w:rPr>
                  </w:pPr>
                  <w:r>
                    <w:rPr>
                      <w:rFonts w:hint="eastAsia"/>
                      <w:highlight w:val="none"/>
                      <w:lang w:val="en-US" w:eastAsia="zh-CN"/>
                    </w:rPr>
                    <w:t>自贡市沿滩区富源达米加工厂等</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shd w:val="clea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shd w:val="clear"/>
                    <w:rPr>
                      <w:rFonts w:hint="default" w:eastAsia="宋体"/>
                      <w:highlight w:val="none"/>
                      <w:lang w:val="en-US" w:eastAsia="zh-CN"/>
                    </w:rPr>
                  </w:pPr>
                  <w:r>
                    <w:rPr>
                      <w:rFonts w:hint="eastAsia" w:ascii="宋体" w:hAnsi="宋体" w:cs="宋体"/>
                      <w:szCs w:val="21"/>
                      <w:highlight w:val="none"/>
                      <w:lang w:val="en-US" w:eastAsia="zh-CN"/>
                    </w:rPr>
                    <w:t>——</w:t>
                  </w:r>
                </w:p>
              </w:tc>
              <w:tc>
                <w:tcPr>
                  <w:tcW w:w="4729" w:type="dxa"/>
                </w:tcPr>
                <w:p>
                  <w:pPr>
                    <w:shd w:val="clear"/>
                    <w:rPr>
                      <w:highlight w:val="none"/>
                    </w:rPr>
                  </w:pPr>
                  <w:r>
                    <w:rPr>
                      <w:rFonts w:hint="eastAsia"/>
                      <w:highlight w:val="none"/>
                    </w:rPr>
                    <w:t>☑良好的使用感受</w:t>
                  </w:r>
                </w:p>
                <w:p>
                  <w:pPr>
                    <w:shd w:val="clea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szCs w:val="24"/>
                      <w:highlight w:val="none"/>
                    </w:rPr>
                  </w:pPr>
                  <w:r>
                    <w:rPr>
                      <w:rFonts w:hint="eastAsia"/>
                      <w:highlight w:val="none"/>
                    </w:rPr>
                    <w:sym w:font="Wingdings 2" w:char="0052"/>
                  </w:r>
                  <w:r>
                    <w:rPr>
                      <w:rFonts w:hint="eastAsia"/>
                      <w:highlight w:val="none"/>
                    </w:rPr>
                    <w:t>员工</w:t>
                  </w:r>
                </w:p>
              </w:tc>
              <w:tc>
                <w:tcPr>
                  <w:tcW w:w="2701" w:type="dxa"/>
                </w:tcPr>
                <w:p>
                  <w:pPr>
                    <w:shd w:val="clear"/>
                    <w:rPr>
                      <w:rFonts w:hint="default" w:eastAsia="宋体"/>
                      <w:szCs w:val="24"/>
                      <w:highlight w:val="none"/>
                      <w:lang w:val="en-US" w:eastAsia="zh-CN"/>
                    </w:rPr>
                  </w:pPr>
                  <w:r>
                    <w:rPr>
                      <w:rFonts w:hint="eastAsia"/>
                      <w:szCs w:val="24"/>
                      <w:highlight w:val="none"/>
                      <w:lang w:val="en-US" w:eastAsia="zh-CN"/>
                    </w:rPr>
                    <w:t>组织内部员工</w:t>
                  </w:r>
                </w:p>
              </w:tc>
              <w:tc>
                <w:tcPr>
                  <w:tcW w:w="4729" w:type="dxa"/>
                </w:tcPr>
                <w:p>
                  <w:pPr>
                    <w:shd w:val="clear"/>
                    <w:rPr>
                      <w:highlight w:val="none"/>
                    </w:rPr>
                  </w:pPr>
                  <w:r>
                    <w:rPr>
                      <w:rFonts w:hint="eastAsia"/>
                      <w:highlight w:val="none"/>
                    </w:rPr>
                    <w:t>☑组织的持续经营、自我发展</w:t>
                  </w:r>
                </w:p>
                <w:p>
                  <w:pPr>
                    <w:shd w:val="clea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lang w:eastAsia="zh-CN"/>
                    </w:rPr>
                    <w:sym w:font="Wingdings 2" w:char="0052"/>
                  </w:r>
                  <w:r>
                    <w:rPr>
                      <w:rFonts w:hint="eastAsia"/>
                      <w:highlight w:val="none"/>
                    </w:rPr>
                    <w:t>投资方</w:t>
                  </w:r>
                </w:p>
              </w:tc>
              <w:tc>
                <w:tcPr>
                  <w:tcW w:w="2701" w:type="dxa"/>
                </w:tcPr>
                <w:p>
                  <w:pPr>
                    <w:shd w:val="clear"/>
                    <w:rPr>
                      <w:rFonts w:hint="eastAsia" w:eastAsia="宋体"/>
                      <w:highlight w:val="none"/>
                      <w:lang w:eastAsia="zh-CN"/>
                    </w:rPr>
                  </w:pPr>
                  <w:r>
                    <w:rPr>
                      <w:rFonts w:hint="eastAsia"/>
                      <w:highlight w:val="none"/>
                      <w:lang w:val="en-US" w:eastAsia="zh-CN"/>
                    </w:rPr>
                    <w:t>总部</w:t>
                  </w:r>
                </w:p>
              </w:tc>
              <w:tc>
                <w:tcPr>
                  <w:tcW w:w="4729" w:type="dxa"/>
                </w:tcPr>
                <w:p>
                  <w:pPr>
                    <w:shd w:val="clea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shd w:val="clear"/>
                    <w:rPr>
                      <w:highlight w:val="none"/>
                    </w:rPr>
                  </w:pPr>
                  <w:r>
                    <w:rPr>
                      <w:rFonts w:hint="eastAsia"/>
                      <w:highlight w:val="none"/>
                      <w:lang w:eastAsia="zh-CN"/>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hd w:val="clear"/>
                    <w:rPr>
                      <w:highlight w:val="none"/>
                    </w:rPr>
                  </w:pPr>
                  <w:r>
                    <w:rPr>
                      <w:rFonts w:hint="eastAsia"/>
                      <w:highlight w:val="none"/>
                    </w:rPr>
                    <w:sym w:font="Wingdings 2" w:char="00A3"/>
                  </w:r>
                  <w:r>
                    <w:rPr>
                      <w:rFonts w:hint="eastAsia"/>
                      <w:highlight w:val="none"/>
                    </w:rPr>
                    <w:t>社区</w:t>
                  </w:r>
                </w:p>
              </w:tc>
              <w:tc>
                <w:tcPr>
                  <w:tcW w:w="2701" w:type="dxa"/>
                </w:tcPr>
                <w:p>
                  <w:pPr>
                    <w:shd w:val="clear"/>
                    <w:rPr>
                      <w:rFonts w:hint="default" w:eastAsia="宋体"/>
                      <w:highlight w:val="none"/>
                      <w:lang w:val="en-US" w:eastAsia="zh-CN"/>
                    </w:rPr>
                  </w:pPr>
                </w:p>
              </w:tc>
              <w:tc>
                <w:tcPr>
                  <w:tcW w:w="4729" w:type="dxa"/>
                </w:tcPr>
                <w:p>
                  <w:pPr>
                    <w:shd w:val="clear"/>
                    <w:rPr>
                      <w:highlight w:val="none"/>
                    </w:rPr>
                  </w:pPr>
                  <w:r>
                    <w:rPr>
                      <w:rFonts w:hint="eastAsia"/>
                      <w:highlight w:val="none"/>
                    </w:rPr>
                    <w:sym w:font="Wingdings 2" w:char="0052"/>
                  </w:r>
                  <w:r>
                    <w:rPr>
                      <w:rFonts w:hint="eastAsia"/>
                      <w:highlight w:val="none"/>
                    </w:rPr>
                    <w:t>不因食品安全问题影响周围人员的就业</w:t>
                  </w:r>
                </w:p>
                <w:p>
                  <w:pPr>
                    <w:shd w:val="clear"/>
                    <w:rPr>
                      <w:rFonts w:hint="default" w:eastAsia="宋体"/>
                      <w:highlight w:val="none"/>
                      <w:lang w:val="en-US" w:eastAsia="zh-CN"/>
                    </w:rPr>
                  </w:pPr>
                  <w:r>
                    <w:rPr>
                      <w:rFonts w:hint="eastAsia"/>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hd w:val="clear"/>
                    <w:rPr>
                      <w:highlight w:val="none"/>
                    </w:rPr>
                  </w:pPr>
                  <w:r>
                    <w:rPr>
                      <w:rFonts w:hint="eastAsia"/>
                      <w:highlight w:val="none"/>
                    </w:rPr>
                    <w:sym w:font="Wingdings 2" w:char="00A3"/>
                  </w:r>
                  <w:r>
                    <w:rPr>
                      <w:rFonts w:hint="eastAsia"/>
                      <w:highlight w:val="none"/>
                    </w:rPr>
                    <w:t>其他</w:t>
                  </w:r>
                </w:p>
              </w:tc>
              <w:tc>
                <w:tcPr>
                  <w:tcW w:w="2701" w:type="dxa"/>
                </w:tcPr>
                <w:p>
                  <w:pPr>
                    <w:shd w:val="clear"/>
                    <w:rPr>
                      <w:rFonts w:hint="default" w:eastAsia="宋体"/>
                      <w:highlight w:val="none"/>
                      <w:lang w:val="en-US" w:eastAsia="zh-CN"/>
                    </w:rPr>
                  </w:pPr>
                  <w:r>
                    <w:rPr>
                      <w:rFonts w:hint="eastAsia"/>
                      <w:highlight w:val="none"/>
                      <w:lang w:val="en-US" w:eastAsia="zh-CN"/>
                    </w:rPr>
                    <w:t>——</w:t>
                  </w:r>
                </w:p>
              </w:tc>
              <w:tc>
                <w:tcPr>
                  <w:tcW w:w="4729" w:type="dxa"/>
                </w:tcPr>
                <w:p>
                  <w:pPr>
                    <w:shd w:val="clear"/>
                    <w:rPr>
                      <w:rFonts w:hint="default" w:eastAsia="宋体"/>
                      <w:highlight w:val="none"/>
                      <w:lang w:val="en-US" w:eastAsia="zh-CN"/>
                    </w:rPr>
                  </w:pPr>
                  <w:r>
                    <w:rPr>
                      <w:rFonts w:hint="eastAsia"/>
                      <w:highlight w:val="none"/>
                    </w:rPr>
                    <w:sym w:font="Wingdings 2" w:char="00A3"/>
                  </w:r>
                  <w:r>
                    <w:rPr>
                      <w:rFonts w:hint="eastAsia"/>
                      <w:highlight w:val="none"/>
                    </w:rPr>
                    <w:t>不因食品安全问题影响周围人员的就业</w:t>
                  </w:r>
                  <w:r>
                    <w:rPr>
                      <w:rFonts w:hint="eastAsia"/>
                      <w:highlight w:val="none"/>
                      <w:lang w:val="en-US" w:eastAsia="zh-CN"/>
                    </w:rPr>
                    <w:t>/企业经营</w:t>
                  </w:r>
                </w:p>
                <w:p>
                  <w:pPr>
                    <w:shd w:val="clear"/>
                    <w:rPr>
                      <w:highlight w:val="none"/>
                    </w:rPr>
                  </w:pPr>
                  <w:r>
                    <w:rPr>
                      <w:rFonts w:hint="eastAsia"/>
                      <w:highlight w:val="none"/>
                    </w:rPr>
                    <w:sym w:font="Wingdings 2" w:char="00A3"/>
                  </w:r>
                </w:p>
              </w:tc>
            </w:tr>
          </w:tbl>
          <w:p>
            <w:pPr>
              <w:shd w:val="clear"/>
              <w:rPr>
                <w:rFonts w:hint="eastAsia"/>
              </w:rPr>
            </w:pPr>
          </w:p>
          <w:p>
            <w:pPr>
              <w:shd w:val="clea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ascii="宋体" w:hAnsi="宋体"/>
                <w:lang w:val="en-US" w:eastAsia="zh-CN"/>
              </w:rPr>
              <w:t>相关方要求或期望识别表</w:t>
            </w:r>
            <w:r>
              <w:rPr>
                <w:rFonts w:hint="eastAsia" w:ascii="宋体" w:hAnsi="宋体"/>
              </w:rPr>
              <w:t>》、</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pPr>
            <w:r>
              <w:rPr>
                <w:rFonts w:hint="eastAsia"/>
              </w:rPr>
              <w:t>确定质量/食品安全管理体系的范围</w:t>
            </w:r>
          </w:p>
        </w:tc>
        <w:tc>
          <w:tcPr>
            <w:tcW w:w="1055" w:type="dxa"/>
            <w:vMerge w:val="restart"/>
            <w:shd w:val="clear" w:color="auto" w:fill="auto"/>
          </w:tcPr>
          <w:p>
            <w:pPr>
              <w:shd w:val="clear"/>
            </w:pPr>
            <w:r>
              <w:rPr>
                <w:rFonts w:hint="eastAsia"/>
              </w:rPr>
              <w:t>Q4.3</w:t>
            </w:r>
          </w:p>
          <w:p>
            <w:pPr>
              <w:shd w:val="clear"/>
              <w:rPr>
                <w:rFonts w:hint="eastAsia"/>
              </w:rPr>
            </w:pPr>
            <w:r>
              <w:rPr>
                <w:rFonts w:hint="eastAsia"/>
              </w:rPr>
              <w:t>F4.3</w:t>
            </w:r>
          </w:p>
          <w:p>
            <w:pPr>
              <w:pStyle w:val="2"/>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《管理手册》</w:t>
            </w:r>
            <w:r>
              <w:rPr>
                <w:rFonts w:hint="eastAsia"/>
              </w:rPr>
              <w:t>第4.3章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组织应明确相关管理体系的范围；</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范围的项目</w:t>
                  </w:r>
                </w:p>
              </w:tc>
              <w:tc>
                <w:tcPr>
                  <w:tcW w:w="5446" w:type="dxa"/>
                </w:tcPr>
                <w:p>
                  <w:pPr>
                    <w:shd w:val="clear"/>
                  </w:pPr>
                  <w:r>
                    <w:rPr>
                      <w:rFonts w:hint="eastAsia"/>
                    </w:rPr>
                    <w:t>内容描述</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产品/服务的活动</w:t>
                  </w:r>
                </w:p>
              </w:tc>
              <w:tc>
                <w:tcPr>
                  <w:tcW w:w="5446" w:type="dxa"/>
                </w:tcPr>
                <w:p>
                  <w:pPr>
                    <w:shd w:val="clear"/>
                    <w:rPr>
                      <w:szCs w:val="21"/>
                    </w:rPr>
                  </w:pPr>
                  <w:r>
                    <w:rPr>
                      <w:sz w:val="20"/>
                    </w:rPr>
                    <w:t>初级农产品（散装高粱、稻谷、玉米、小麦）销售（运输和贮存</w:t>
                  </w:r>
                  <w:r>
                    <w:rPr>
                      <w:rFonts w:hint="eastAsia"/>
                      <w:sz w:val="20"/>
                      <w:lang w:eastAsia="zh-CN"/>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11" w:type="dxa"/>
                </w:tcPr>
                <w:p>
                  <w:pPr>
                    <w:shd w:val="clear"/>
                  </w:pPr>
                  <w:r>
                    <w:rPr>
                      <w:rFonts w:hint="eastAsia"/>
                    </w:rPr>
                    <w:t xml:space="preserve">审核范围描述 </w:t>
                  </w:r>
                </w:p>
              </w:tc>
              <w:tc>
                <w:tcPr>
                  <w:tcW w:w="5446" w:type="dxa"/>
                </w:tcPr>
                <w:p>
                  <w:pPr>
                    <w:rPr>
                      <w:sz w:val="20"/>
                    </w:rPr>
                  </w:pPr>
                  <w:r>
                    <w:rPr>
                      <w:sz w:val="20"/>
                    </w:rPr>
                    <w:t>Q：初级农产品（散装高粱、稻谷、玉米、小麦）销售</w:t>
                  </w:r>
                </w:p>
                <w:p>
                  <w:pPr>
                    <w:shd w:val="clear"/>
                    <w:autoSpaceDE w:val="0"/>
                    <w:autoSpaceDN w:val="0"/>
                    <w:adjustRightInd w:val="0"/>
                    <w:jc w:val="left"/>
                    <w:rPr>
                      <w:rFonts w:hint="eastAsia" w:eastAsia="宋体"/>
                      <w:lang w:eastAsia="zh-CN"/>
                    </w:rPr>
                  </w:pPr>
                  <w:r>
                    <w:rPr>
                      <w:sz w:val="20"/>
                    </w:rPr>
                    <w:t>F：位于贵州省遵义市习水县杉王街道机械仓/贵州省习水县民化镇三元村水井坪的习水县粮油储备库仓储区的初级农产品（散装高粱、稻谷、玉米、小麦）销售（运输和贮存</w:t>
                  </w:r>
                  <w:r>
                    <w:rPr>
                      <w:rFonts w:hint="eastAsia"/>
                      <w:sz w:val="20"/>
                      <w:lang w:eastAsia="zh-CN"/>
                    </w:rPr>
                    <w:t>）</w:t>
                  </w:r>
                </w:p>
              </w:tc>
              <w:tc>
                <w:tcPr>
                  <w:tcW w:w="1686" w:type="dxa"/>
                </w:tcPr>
                <w:p>
                  <w:pPr>
                    <w:shd w:val="clea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bookmarkStart w:id="0" w:name="注册地址"/>
                  <w:r>
                    <w:rPr>
                      <w:rFonts w:asciiTheme="minorEastAsia" w:hAnsiTheme="minorEastAsia" w:eastAsiaTheme="minorEastAsia"/>
                      <w:sz w:val="20"/>
                    </w:rPr>
                    <w:t>贵州省遵义市习水县杉王街道机械仓</w:t>
                  </w:r>
                  <w:bookmarkEnd w:id="0"/>
                </w:p>
              </w:tc>
              <w:tc>
                <w:tcPr>
                  <w:tcW w:w="1686" w:type="dxa"/>
                </w:tcPr>
                <w:p>
                  <w:pPr>
                    <w:shd w:val="clear"/>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shd w:val="clear"/>
                  </w:pPr>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bookmarkStart w:id="1" w:name="生产地址"/>
                  <w:r>
                    <w:rPr>
                      <w:rFonts w:asciiTheme="minorEastAsia" w:hAnsiTheme="minorEastAsia" w:eastAsiaTheme="minorEastAsia"/>
                      <w:sz w:val="20"/>
                    </w:rPr>
                    <w:t>经营地址1：贵州省遵义市习水县杉王街道机械仓（老库）/经营地址2：贵州省习水县民化镇三元村水井坪（新库）</w:t>
                  </w:r>
                  <w:bookmarkEnd w:id="1"/>
                </w:p>
              </w:tc>
              <w:tc>
                <w:tcPr>
                  <w:tcW w:w="1686" w:type="dxa"/>
                </w:tcPr>
                <w:p>
                  <w:pPr>
                    <w:shd w:val="clea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临时现场</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多场所</w:t>
                  </w:r>
                </w:p>
              </w:tc>
              <w:tc>
                <w:tcPr>
                  <w:tcW w:w="5446" w:type="dxa"/>
                </w:tcPr>
                <w:p>
                  <w:pPr>
                    <w:shd w:val="clear"/>
                  </w:pPr>
                  <w:r>
                    <w:rPr>
                      <w:rFonts w:hint="eastAsia"/>
                    </w:rPr>
                    <w:t>——</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组织单元（部门/分支）</w:t>
                  </w:r>
                </w:p>
              </w:tc>
              <w:tc>
                <w:tcPr>
                  <w:tcW w:w="5446"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shd w:val="clear"/>
                    <w:rPr>
                      <w:u w:val="single"/>
                    </w:rPr>
                  </w:pPr>
                  <w:r>
                    <w:rPr>
                      <w:rFonts w:hint="eastAsia"/>
                    </w:rPr>
                    <w:sym w:font="Wingdings" w:char="00A8"/>
                  </w:r>
                  <w:r>
                    <w:rPr>
                      <w:rFonts w:hint="eastAsia"/>
                    </w:rPr>
                    <w:t xml:space="preserve">分支机构，如： </w:t>
                  </w:r>
                  <w:r>
                    <w:rPr>
                      <w:rFonts w:hint="eastAsia"/>
                      <w:u w:val="single"/>
                    </w:rPr>
                    <w:t xml:space="preserve">                  </w:t>
                  </w:r>
                </w:p>
                <w:p>
                  <w:pPr>
                    <w:shd w:val="clear"/>
                  </w:pPr>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shd w:val="clear"/>
                  </w:pPr>
                  <w:r>
                    <w:rPr>
                      <w:rFonts w:hint="eastAsia"/>
                    </w:rPr>
                    <w:t>时间</w:t>
                  </w:r>
                </w:p>
              </w:tc>
              <w:tc>
                <w:tcPr>
                  <w:tcW w:w="5446" w:type="dxa"/>
                </w:tcPr>
                <w:p>
                  <w:pPr>
                    <w:shd w:val="clea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u w:val="single"/>
                      <w:lang w:val="en-US" w:eastAsia="zh-CN"/>
                    </w:rPr>
                    <w:t xml:space="preserve">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lang w:eastAsia="zh-CN"/>
                    </w:rPr>
                    <w:t>——</w:t>
                  </w:r>
                  <w:r>
                    <w:rPr>
                      <w:rFonts w:hint="eastAsia"/>
                      <w:lang w:val="en-US" w:eastAsia="zh-CN"/>
                    </w:rPr>
                    <w:t>未发生变化</w:t>
                  </w:r>
                </w:p>
              </w:tc>
              <w:tc>
                <w:tcPr>
                  <w:tcW w:w="1686"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zCs w:val="24"/>
                      <w:highlight w:val="none"/>
                    </w:rPr>
                  </w:pPr>
                  <w:r>
                    <w:rPr>
                      <w:rFonts w:hint="eastAsia"/>
                      <w:highlight w:val="none"/>
                    </w:rPr>
                    <w:t>不适用ISO9001的条款</w:t>
                  </w:r>
                </w:p>
              </w:tc>
              <w:tc>
                <w:tcPr>
                  <w:tcW w:w="5446" w:type="dxa"/>
                </w:tcPr>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8.3产品和服务的设计和开发</w:t>
                  </w:r>
                </w:p>
              </w:tc>
              <w:tc>
                <w:tcPr>
                  <w:tcW w:w="1686" w:type="dxa"/>
                </w:tcPr>
                <w:p>
                  <w:pPr>
                    <w:shd w:val="clear"/>
                    <w:rPr>
                      <w:rFonts w:hint="default" w:eastAsia="宋体"/>
                      <w:highlight w:val="none"/>
                      <w:lang w:val="en-US" w:eastAsia="zh-CN"/>
                    </w:rPr>
                  </w:pP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hd w:val="clear"/>
                    <w:rPr>
                      <w:strike w:val="0"/>
                      <w:dstrike w:val="0"/>
                      <w:szCs w:val="24"/>
                    </w:rPr>
                  </w:pPr>
                  <w:r>
                    <w:rPr>
                      <w:rFonts w:hint="eastAsia"/>
                      <w:strike w:val="0"/>
                      <w:dstrike w:val="0"/>
                    </w:rPr>
                    <w:t>不适用的理由（可多选）</w:t>
                  </w:r>
                </w:p>
              </w:tc>
              <w:tc>
                <w:tcPr>
                  <w:tcW w:w="5446" w:type="dxa"/>
                  <w:vAlign w:val="center"/>
                </w:tcPr>
                <w:p>
                  <w:pPr>
                    <w:shd w:val="clear"/>
                    <w:rPr>
                      <w:strike w:val="0"/>
                      <w:dstrike w:val="0"/>
                    </w:rPr>
                  </w:pPr>
                  <w:r>
                    <w:rPr>
                      <w:rFonts w:hint="eastAsia"/>
                      <w:strike w:val="0"/>
                      <w:dstrike w:val="0"/>
                    </w:rPr>
                    <w:t xml:space="preserve">□受审核组织没有设计开发的责任    </w:t>
                  </w:r>
                </w:p>
                <w:p>
                  <w:pPr>
                    <w:shd w:val="clear"/>
                    <w:rPr>
                      <w:strike w:val="0"/>
                      <w:dstrike w:val="0"/>
                    </w:rPr>
                  </w:pPr>
                  <w:r>
                    <w:rPr>
                      <w:rFonts w:hint="eastAsia"/>
                      <w:strike w:val="0"/>
                      <w:dstrike w:val="0"/>
                    </w:rPr>
                    <w:t xml:space="preserve">□受审核组织没有设计开发的能力   </w:t>
                  </w:r>
                </w:p>
                <w:p>
                  <w:pPr>
                    <w:shd w:val="clear"/>
                    <w:rPr>
                      <w:strike w:val="0"/>
                      <w:dstrike w:val="0"/>
                    </w:rPr>
                  </w:pPr>
                  <w:r>
                    <w:rPr>
                      <w:rFonts w:hint="eastAsia"/>
                      <w:strike w:val="0"/>
                      <w:dstrike w:val="0"/>
                    </w:rPr>
                    <w:t>□受审核组织没有设计开发修改的权力</w:t>
                  </w:r>
                </w:p>
                <w:p>
                  <w:pPr>
                    <w:shd w:val="clear"/>
                    <w:rPr>
                      <w:strike w:val="0"/>
                      <w:dstrike w:val="0"/>
                    </w:rPr>
                  </w:pPr>
                  <w:r>
                    <w:rPr>
                      <w:rFonts w:hint="eastAsia"/>
                      <w:strike w:val="0"/>
                      <w:dstrike w:val="0"/>
                    </w:rPr>
                    <w:sym w:font="Wingdings 2" w:char="00A3"/>
                  </w:r>
                  <w:r>
                    <w:rPr>
                      <w:rFonts w:hint="eastAsia"/>
                      <w:strike w:val="0"/>
                      <w:dstrike w:val="0"/>
                    </w:rPr>
                    <w:t>受审核组织按照</w:t>
                  </w:r>
                  <w:r>
                    <w:rPr>
                      <w:rFonts w:hint="eastAsia"/>
                      <w:strike w:val="0"/>
                      <w:dstrike w:val="0"/>
                    </w:rPr>
                    <w:sym w:font="Wingdings 2" w:char="00A3"/>
                  </w:r>
                  <w:r>
                    <w:rPr>
                      <w:rFonts w:hint="eastAsia"/>
                      <w:strike w:val="0"/>
                      <w:dstrike w:val="0"/>
                    </w:rPr>
                    <w:t>顾客</w:t>
                  </w:r>
                  <w:r>
                    <w:rPr>
                      <w:rFonts w:hint="eastAsia"/>
                      <w:strike w:val="0"/>
                      <w:dstrike w:val="0"/>
                    </w:rPr>
                    <w:sym w:font="Wingdings 2" w:char="00A3"/>
                  </w:r>
                  <w:r>
                    <w:rPr>
                      <w:rFonts w:hint="eastAsia"/>
                      <w:strike w:val="0"/>
                      <w:dstrike w:val="0"/>
                    </w:rPr>
                    <w:t>图纸和合同要求提供生产和服务</w:t>
                  </w:r>
                </w:p>
                <w:p>
                  <w:pPr>
                    <w:shd w:val="clear"/>
                    <w:rPr>
                      <w:strike w:val="0"/>
                      <w:dstrike w:val="0"/>
                    </w:rPr>
                  </w:pPr>
                  <w:r>
                    <w:rPr>
                      <w:rFonts w:hint="eastAsia"/>
                      <w:strike w:val="0"/>
                      <w:dstrike w:val="0"/>
                    </w:rPr>
                    <w:sym w:font="Wingdings 2" w:char="0052"/>
                  </w:r>
                  <w:r>
                    <w:rPr>
                      <w:rFonts w:hint="eastAsia"/>
                      <w:strike w:val="0"/>
                      <w:dstrike w:val="0"/>
                    </w:rPr>
                    <w:t>受审核组织按照公司总部的技术要求提供生产和服务</w:t>
                  </w:r>
                </w:p>
                <w:p>
                  <w:pPr>
                    <w:shd w:val="clear"/>
                    <w:rPr>
                      <w:strike w:val="0"/>
                      <w:dstrike w:val="0"/>
                    </w:rPr>
                  </w:pPr>
                  <w:r>
                    <w:rPr>
                      <w:rFonts w:ascii="宋体" w:hAnsi="宋体"/>
                      <w:strike w:val="0"/>
                      <w:dstrike w:val="0"/>
                    </w:rPr>
                    <w:fldChar w:fldCharType="begin"/>
                  </w:r>
                  <w:r>
                    <w:rPr>
                      <w:rFonts w:ascii="宋体" w:hAnsi="宋体"/>
                      <w:strike w:val="0"/>
                      <w:dstrike w:val="0"/>
                    </w:rPr>
                    <w:instrText xml:space="preserve"> </w:instrText>
                  </w:r>
                  <w:r>
                    <w:rPr>
                      <w:rFonts w:hint="eastAsia" w:ascii="宋体" w:hAnsi="宋体"/>
                      <w:strike w:val="0"/>
                      <w:dstrike w:val="0"/>
                    </w:rPr>
                    <w:instrText xml:space="preserve">eq \o\ac(□)</w:instrText>
                  </w:r>
                  <w:r>
                    <w:rPr>
                      <w:rFonts w:ascii="宋体" w:hAnsi="宋体"/>
                      <w:strike w:val="0"/>
                      <w:dstrike w:val="0"/>
                    </w:rPr>
                    <w:fldChar w:fldCharType="end"/>
                  </w:r>
                  <w:r>
                    <w:rPr>
                      <w:rFonts w:hint="eastAsia"/>
                      <w:strike w:val="0"/>
                      <w:dstrike w:val="0"/>
                    </w:rPr>
                    <w:t>受审核组织按照传统工艺提供生产和服务</w:t>
                  </w:r>
                </w:p>
                <w:p>
                  <w:pPr>
                    <w:shd w:val="clear"/>
                    <w:rPr>
                      <w:strike w:val="0"/>
                      <w:dstrike w:val="0"/>
                    </w:rPr>
                  </w:pPr>
                  <w:r>
                    <w:rPr>
                      <w:rFonts w:hint="eastAsia"/>
                      <w:strike w:val="0"/>
                      <w:dstrike w:val="0"/>
                    </w:rPr>
                    <w:sym w:font="Wingdings 2" w:char="00A3"/>
                  </w:r>
                  <w:r>
                    <w:rPr>
                      <w:rFonts w:hint="eastAsia"/>
                      <w:strike w:val="0"/>
                      <w:dstrike w:val="0"/>
                    </w:rPr>
                    <w:t>其他：</w:t>
                  </w:r>
                </w:p>
              </w:tc>
              <w:tc>
                <w:tcPr>
                  <w:tcW w:w="1686" w:type="dxa"/>
                </w:tcPr>
                <w:p>
                  <w:pPr>
                    <w:shd w:val="clear"/>
                    <w:rPr>
                      <w:rFonts w:hint="eastAsia" w:eastAsia="宋体"/>
                      <w:strike w:val="0"/>
                      <w:dstrike w:val="0"/>
                      <w:lang w:val="en-US" w:eastAsia="zh-CN"/>
                    </w:rPr>
                  </w:pPr>
                </w:p>
              </w:tc>
            </w:tr>
          </w:tbl>
          <w:p>
            <w:pPr>
              <w:shd w:val="clear"/>
            </w:pPr>
          </w:p>
          <w:p>
            <w:pPr>
              <w:shd w:val="clear"/>
              <w:rPr>
                <w:color w:val="000000"/>
                <w:szCs w:val="21"/>
              </w:rPr>
            </w:pPr>
            <w:r>
              <w:rPr>
                <w:rFonts w:hint="eastAsia"/>
                <w:color w:val="000000"/>
                <w:szCs w:val="21"/>
              </w:rPr>
              <w:t>在企业的</w:t>
            </w:r>
            <w:r>
              <w:rPr>
                <w:rFonts w:hint="eastAsia"/>
                <w:color w:val="000000"/>
                <w:szCs w:val="21"/>
                <w:lang w:eastAsia="zh-CN"/>
              </w:rPr>
              <w:t>《管理手册》</w:t>
            </w:r>
            <w:r>
              <w:rPr>
                <w:rFonts w:hint="eastAsia"/>
                <w:color w:val="000000"/>
                <w:szCs w:val="21"/>
              </w:rPr>
              <w:t>中有描述。</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jc w:val="left"/>
            </w:pPr>
            <w:r>
              <w:rPr>
                <w:rFonts w:hint="eastAsia"/>
              </w:rPr>
              <w:t>质量/食品安全管理体系及其过程</w:t>
            </w:r>
          </w:p>
        </w:tc>
        <w:tc>
          <w:tcPr>
            <w:tcW w:w="1055" w:type="dxa"/>
            <w:vMerge w:val="restart"/>
            <w:shd w:val="clear" w:color="auto" w:fill="auto"/>
          </w:tcPr>
          <w:p>
            <w:pPr>
              <w:shd w:val="clear"/>
            </w:pPr>
            <w:r>
              <w:rPr>
                <w:rFonts w:hint="eastAsia"/>
              </w:rPr>
              <w:t xml:space="preserve">Q4.4 F4.4 </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《管理手册》</w:t>
            </w:r>
            <w:r>
              <w:rPr>
                <w:rFonts w:hint="eastAsia"/>
              </w:rPr>
              <w:t>第4.4章、</w:t>
            </w:r>
            <w:r>
              <w:rPr/>
              <w:sym w:font="Wingdings" w:char="00A8"/>
            </w:r>
            <w:r>
              <w:rPr>
                <w:rFonts w:hint="eastAsia"/>
              </w:rPr>
              <w:t>《过程清单》</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lang w:val="en-US" w:eastAsia="zh-CN"/>
              </w:rPr>
              <w:t xml:space="preserve"> </w:t>
            </w:r>
            <w:r>
              <w:rPr>
                <w:rFonts w:hint="eastAsia"/>
              </w:rPr>
              <w:sym w:font="Wingdings 2" w:char="00A3"/>
            </w:r>
            <w:r>
              <w:rPr>
                <w:rFonts w:hint="eastAsia"/>
              </w:rPr>
              <w:t>设备能力</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w:t>
            </w:r>
            <w:r>
              <w:rPr>
                <w:rFonts w:hint="eastAsia"/>
                <w:lang w:val="en-US" w:eastAsia="zh-CN"/>
              </w:rPr>
              <w:t xml:space="preserve"> </w:t>
            </w:r>
            <w:r>
              <w:rPr>
                <w:rFonts w:hint="eastAsia"/>
              </w:rPr>
              <w:t xml:space="preserve"> </w:t>
            </w:r>
            <w:r>
              <w:rPr>
                <w:rFonts w:hint="eastAsia"/>
              </w:rPr>
              <w:sym w:font="Wingdings 2" w:char="0052"/>
            </w:r>
            <w:r>
              <w:rPr>
                <w:rFonts w:hint="eastAsia"/>
              </w:rPr>
              <w:t>检测水平</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合同评审</w:t>
            </w:r>
            <w:r>
              <w:rPr>
                <w:rFonts w:hint="eastAsia"/>
                <w:lang w:val="en-US" w:eastAsia="zh-CN"/>
              </w:rPr>
              <w:t xml:space="preserve"> </w:t>
            </w:r>
            <w:r>
              <w:rPr>
                <w:rFonts w:hint="eastAsia"/>
              </w:rPr>
              <w:t xml:space="preserve"> </w:t>
            </w:r>
            <w:r>
              <w:rPr>
                <w:rFonts w:hint="eastAsia"/>
              </w:rPr>
              <w:sym w:font="Wingdings 2" w:char="00A3"/>
            </w:r>
            <w:r>
              <w:rPr>
                <w:rFonts w:hint="eastAsia"/>
              </w:rPr>
              <w:t xml:space="preserve">知识保密 </w:t>
            </w:r>
          </w:p>
          <w:p>
            <w:pPr>
              <w:shd w:val="clear"/>
              <w:spacing w:before="40" w:after="40"/>
              <w:rPr>
                <w:rFonts w:hint="default" w:eastAsia="宋体"/>
                <w:lang w:val="en-US" w:eastAsia="zh-CN"/>
              </w:rPr>
            </w:pPr>
            <w:r>
              <w:rPr>
                <w:rFonts w:hint="eastAsia"/>
              </w:rPr>
              <w:sym w:font="Wingdings 2" w:char="00A3"/>
            </w:r>
            <w:r>
              <w:rPr>
                <w:rFonts w:hint="eastAsia"/>
              </w:rPr>
              <w:t>新产品设计开发</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原材料采购</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外部供方控制</w:t>
            </w:r>
            <w:r>
              <w:rPr>
                <w:rFonts w:hint="eastAsia"/>
                <w:lang w:val="en-US" w:eastAsia="zh-CN"/>
              </w:rPr>
              <w:t xml:space="preserve"> </w:t>
            </w:r>
            <w:r>
              <w:rPr>
                <w:rFonts w:hint="eastAsia"/>
              </w:rPr>
              <w:t xml:space="preserve"> </w:t>
            </w:r>
            <w:r>
              <w:rPr>
                <w:rFonts w:hint="eastAsia"/>
              </w:rPr>
              <w:sym w:font="Wingdings 2" w:char="0052"/>
            </w:r>
            <w:r>
              <w:rPr>
                <w:rFonts w:hint="eastAsia"/>
              </w:rPr>
              <w:t>生产/服务控制</w:t>
            </w:r>
            <w:r>
              <w:rPr>
                <w:rFonts w:hint="eastAsia"/>
                <w:lang w:val="en-US" w:eastAsia="zh-CN"/>
              </w:rPr>
              <w:t xml:space="preserve"> </w:t>
            </w:r>
            <w:r>
              <w:rPr>
                <w:rFonts w:hint="eastAsia"/>
              </w:rPr>
              <w:t xml:space="preserve"> </w:t>
            </w:r>
            <w:r>
              <w:rPr>
                <w:rFonts w:hint="eastAsia"/>
              </w:rPr>
              <w:sym w:font="Wingdings 2" w:char="00A3"/>
            </w:r>
            <w:r>
              <w:rPr>
                <w:rFonts w:hint="eastAsia"/>
              </w:rPr>
              <w:t>其他</w:t>
            </w:r>
            <w:r>
              <w:rPr>
                <w:rFonts w:hint="eastAsia"/>
                <w:lang w:val="en-US" w:eastAsia="zh-CN"/>
              </w:rPr>
              <w:t xml:space="preserve"> </w:t>
            </w:r>
          </w:p>
          <w:p>
            <w:pPr>
              <w:pStyle w:val="2"/>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shd w:val="clear"/>
              <w:spacing w:before="40" w:after="40"/>
              <w:jc w:val="left"/>
              <w:rPr>
                <w:rFonts w:hint="eastAsia" w:eastAsia="宋体"/>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szCs w:val="18"/>
                <w:u w:val="single"/>
                <w:lang w:val="en-US" w:eastAsia="zh-CN"/>
              </w:rPr>
              <w:t>无</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特种设备管理 ☑控制措施组合确认  ☑PRP和危害控制措施的效果验证  □其他</w:t>
            </w:r>
            <w:r>
              <w:rPr>
                <w:rFonts w:hint="eastAsia"/>
                <w:lang w:eastAsia="zh-CN"/>
              </w:rPr>
              <w:t>——</w:t>
            </w:r>
            <w:r>
              <w:rPr>
                <w:rFonts w:hint="eastAsia"/>
                <w:lang w:val="en-US" w:eastAsia="zh-CN"/>
              </w:rPr>
              <w:t>车辆管理</w:t>
            </w:r>
          </w:p>
          <w:p>
            <w:pPr>
              <w:pStyle w:val="2"/>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shd w:val="clear"/>
              <w:spacing w:before="40" w:after="40"/>
              <w:jc w:val="left"/>
              <w:rPr>
                <w:rFonts w:hint="eastAsia" w:eastAsia="宋体"/>
                <w:highlight w:val="none"/>
                <w:u w:val="single"/>
                <w:lang w:val="en-US" w:eastAsia="zh-CN"/>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szCs w:val="18"/>
                <w:u w:val="single"/>
                <w:lang w:val="en-US" w:eastAsia="zh-CN"/>
              </w:rPr>
              <w:t>无</w:t>
            </w:r>
          </w:p>
          <w:p>
            <w:pPr>
              <w:shd w:val="clear"/>
              <w:spacing w:before="40" w:after="40"/>
              <w:rPr>
                <w:rFonts w:hint="eastAsia"/>
                <w:lang w:val="en-GB"/>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Q5.1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《管理手册》</w:t>
            </w:r>
            <w:r>
              <w:rPr>
                <w:rFonts w:hint="eastAsia"/>
              </w:rPr>
              <w:t>第5.1章和“总经理岗位职责”</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shd w:val="clear"/>
              <w:rPr>
                <w:color w:val="000000"/>
                <w:szCs w:val="21"/>
              </w:rPr>
            </w:pPr>
          </w:p>
          <w:p>
            <w:pPr>
              <w:shd w:val="clea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pPr>
            <w:r>
              <w:rPr>
                <w:rFonts w:hint="eastAsia"/>
              </w:rPr>
              <w:t>领导作用与承诺</w:t>
            </w:r>
          </w:p>
        </w:tc>
        <w:tc>
          <w:tcPr>
            <w:tcW w:w="1055" w:type="dxa"/>
            <w:vMerge w:val="restart"/>
            <w:shd w:val="clear" w:color="auto" w:fill="auto"/>
          </w:tcPr>
          <w:p>
            <w:pPr>
              <w:shd w:val="clear"/>
            </w:pPr>
            <w:r>
              <w:rPr>
                <w:rFonts w:hint="eastAsia"/>
              </w:rPr>
              <w:t>F5.1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《管理手册》</w:t>
            </w:r>
            <w:r>
              <w:rPr>
                <w:rFonts w:hint="eastAsia"/>
              </w:rPr>
              <w:t>第5.1章和“总经理岗位职责”</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与最高管理者沟通其领导作用与承诺：</w:t>
            </w:r>
          </w:p>
          <w:p>
            <w:pPr>
              <w:shd w:val="clear"/>
              <w:rPr>
                <w:color w:val="000000"/>
                <w:szCs w:val="21"/>
                <w:shd w:val="clear" w:color="FFFFFF" w:fill="D9D9D9"/>
              </w:rPr>
            </w:pPr>
            <w:r>
              <w:rPr>
                <w:rFonts w:hint="eastAsia"/>
                <w:color w:val="000000"/>
                <w:szCs w:val="21"/>
                <w:shd w:val="clear" w:color="FFFFFF" w:fill="D9D9D9"/>
              </w:rPr>
              <w:t>2018版标准</w:t>
            </w:r>
          </w:p>
          <w:p>
            <w:pPr>
              <w:shd w:val="clea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shd w:val="clea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hd w:val="clear"/>
              <w:snapToGrid w:val="0"/>
              <w:spacing w:line="240" w:lineRule="atLeast"/>
              <w:rPr>
                <w:rFonts w:ascii="黑体" w:eastAsia="黑体"/>
                <w:szCs w:val="21"/>
              </w:rPr>
            </w:pPr>
          </w:p>
          <w:p>
            <w:pPr>
              <w:shd w:val="clea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443" w:hRule="atLeast"/>
        </w:trPr>
        <w:tc>
          <w:tcPr>
            <w:tcW w:w="1518" w:type="dxa"/>
            <w:vMerge w:val="restart"/>
            <w:shd w:val="clear" w:color="auto" w:fill="auto"/>
          </w:tcPr>
          <w:p>
            <w:pPr>
              <w:shd w:val="clear"/>
            </w:pPr>
            <w:r>
              <w:rPr>
                <w:rFonts w:hint="eastAsia"/>
              </w:rPr>
              <w:t>以顾客为关注焦点</w:t>
            </w:r>
          </w:p>
          <w:p>
            <w:pPr>
              <w:shd w:val="clear"/>
            </w:pPr>
          </w:p>
        </w:tc>
        <w:tc>
          <w:tcPr>
            <w:tcW w:w="1055" w:type="dxa"/>
            <w:vMerge w:val="restart"/>
            <w:shd w:val="clear" w:color="auto" w:fill="auto"/>
          </w:tcPr>
          <w:p>
            <w:pPr>
              <w:shd w:val="clear"/>
            </w:pPr>
            <w:r>
              <w:rPr>
                <w:rFonts w:hint="eastAsia"/>
              </w:rPr>
              <w:t>Q5.1.2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《管理手册》</w:t>
            </w:r>
            <w:r>
              <w:rPr>
                <w:rFonts w:hint="eastAsia"/>
              </w:rPr>
              <w:t>第5.</w:t>
            </w:r>
            <w:r>
              <w:t>1.2</w:t>
            </w:r>
            <w:r>
              <w:rPr>
                <w:rFonts w:hint="eastAsia"/>
              </w:rPr>
              <w:t>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82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color w:val="000000"/>
                <w:szCs w:val="21"/>
              </w:rPr>
            </w:pPr>
            <w:r>
              <w:rPr>
                <w:rFonts w:hint="eastAsia"/>
                <w:color w:val="000000"/>
                <w:szCs w:val="21"/>
              </w:rPr>
              <w:t xml:space="preserve"> 最高管理者应证实其以顾客为关注焦点的领导作用和承诺：</w:t>
            </w:r>
          </w:p>
          <w:p>
            <w:pPr>
              <w:shd w:val="clear"/>
              <w:rPr>
                <w:color w:val="000000"/>
                <w:szCs w:val="21"/>
              </w:rPr>
            </w:pPr>
            <w:r>
              <w:rPr>
                <w:rFonts w:hint="eastAsia"/>
                <w:color w:val="000000"/>
                <w:szCs w:val="21"/>
              </w:rPr>
              <w:t xml:space="preserve">a）确定、理解并持续地满足顾客要求以及适用的法律法规要求； </w:t>
            </w:r>
          </w:p>
          <w:p>
            <w:pPr>
              <w:shd w:val="clear"/>
              <w:rPr>
                <w:color w:val="000000"/>
                <w:szCs w:val="21"/>
              </w:rPr>
            </w:pPr>
            <w:r>
              <w:rPr>
                <w:rFonts w:hint="eastAsia"/>
                <w:color w:val="000000"/>
                <w:szCs w:val="21"/>
              </w:rPr>
              <w:t xml:space="preserve">b）确定和应对能够影响产品和服务的符合性以及增强顾客满意能力的风险和机遇； </w:t>
            </w:r>
          </w:p>
          <w:p>
            <w:pPr>
              <w:shd w:val="clear"/>
              <w:rPr>
                <w:color w:val="000000"/>
                <w:szCs w:val="21"/>
              </w:rPr>
            </w:pPr>
            <w:r>
              <w:rPr>
                <w:rFonts w:hint="eastAsia"/>
                <w:color w:val="000000"/>
                <w:szCs w:val="21"/>
              </w:rPr>
              <w:t xml:space="preserve">c）始终致力于增强顾客满意。 </w:t>
            </w:r>
          </w:p>
          <w:p>
            <w:pPr>
              <w:shd w:val="clear"/>
              <w:rPr>
                <w:color w:val="000000"/>
                <w:szCs w:val="21"/>
              </w:rPr>
            </w:pPr>
            <w:r>
              <w:rPr>
                <w:rFonts w:hint="eastAsia"/>
              </w:rPr>
              <w:t>通过的方式——</w:t>
            </w:r>
          </w:p>
          <w:p>
            <w:pPr>
              <w:shd w:val="clea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pPr>
              <w:shd w:val="clear"/>
            </w:pP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pPr>
            <w:r>
              <w:rPr>
                <w:rFonts w:hint="eastAsia"/>
              </w:rPr>
              <w:t>质量/食品安全方针</w:t>
            </w:r>
          </w:p>
        </w:tc>
        <w:tc>
          <w:tcPr>
            <w:tcW w:w="1055" w:type="dxa"/>
            <w:vMerge w:val="restart"/>
            <w:shd w:val="clear" w:color="auto" w:fill="auto"/>
          </w:tcPr>
          <w:p>
            <w:pPr>
              <w:shd w:val="clear"/>
            </w:pPr>
            <w:r>
              <w:rPr>
                <w:rFonts w:hint="eastAsia"/>
              </w:rPr>
              <w:t>Q5.2</w:t>
            </w:r>
          </w:p>
          <w:p>
            <w:pPr>
              <w:shd w:val="clear"/>
              <w:rPr>
                <w:rFonts w:hint="eastAsia"/>
              </w:rPr>
            </w:pPr>
            <w:r>
              <w:rPr>
                <w:rFonts w:hint="eastAsia"/>
              </w:rPr>
              <w:t>F5.2</w:t>
            </w:r>
          </w:p>
          <w:p>
            <w:pPr>
              <w:pStyle w:val="2"/>
              <w:shd w:val="clear"/>
              <w:rPr>
                <w:rFonts w:hint="default" w:eastAsia="宋体"/>
                <w:lang w:val="en-US" w:eastAsia="zh-CN"/>
              </w:rP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《管理手册》</w:t>
            </w:r>
            <w:r>
              <w:rPr>
                <w:rFonts w:hint="eastAsia"/>
              </w:rPr>
              <w:t>第5.2章和“0.2 公司方针和目标”</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74"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rFonts w:hint="eastAsia"/>
                <w:b/>
                <w:bCs/>
                <w:color w:val="000000"/>
                <w:szCs w:val="18"/>
                <w:highlight w:val="none"/>
                <w:lang w:val="en-US" w:eastAsia="zh-CN"/>
              </w:rPr>
            </w:pPr>
          </w:p>
          <w:p>
            <w:pPr>
              <w:spacing w:line="360" w:lineRule="auto"/>
              <w:jc w:val="left"/>
              <w:rPr>
                <w:rFonts w:ascii="宋体" w:hAnsi="宋体"/>
                <w:sz w:val="24"/>
                <w:szCs w:val="24"/>
                <w:u w:val="single"/>
              </w:rPr>
            </w:pPr>
            <w:r>
              <w:rPr>
                <w:rFonts w:hint="eastAsia" w:ascii="宋体" w:hAnsi="宋体"/>
                <w:sz w:val="24"/>
                <w:szCs w:val="24"/>
                <w:u w:val="single"/>
              </w:rPr>
              <w:t>“绿色精品、健康人生；诚信为本、质量至上；不断改进，持续发展”</w:t>
            </w:r>
          </w:p>
          <w:p>
            <w:pPr>
              <w:shd w:val="clea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shd w:val="clea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相应的质量</w:t>
            </w:r>
            <w:r>
              <w:rPr>
                <w:rFonts w:hint="eastAsia"/>
              </w:rPr>
              <w:t>/食品安全</w:t>
            </w:r>
            <w:r>
              <w:rPr>
                <w:rFonts w:hint="eastAsia"/>
                <w:lang w:val="en-GB"/>
              </w:rPr>
              <w:t>目标提供了框架。</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pPr>
              <w:shd w:val="clear"/>
            </w:pPr>
            <w:r>
              <w:rPr>
                <w:rFonts w:hint="eastAsia"/>
              </w:rPr>
              <w:t>☑包括满足适用食品安全要求的承诺，包括立法/执法要求和顾客的相互同意的食品安全要求（FSMS）</w:t>
            </w:r>
          </w:p>
          <w:p>
            <w:pPr>
              <w:shd w:val="clear"/>
              <w:rPr>
                <w:rFonts w:hint="eastAsia" w:eastAsia="宋体"/>
                <w:lang w:val="en-GB"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w:t>
            </w:r>
            <w:r>
              <w:rPr>
                <w:rFonts w:hint="eastAsia"/>
                <w:lang w:val="en-US" w:eastAsia="zh-CN"/>
              </w:rPr>
              <w:t>管理体系</w:t>
            </w:r>
            <w:r>
              <w:rPr>
                <w:rFonts w:hint="eastAsia"/>
              </w:rPr>
              <w:t>的承诺</w:t>
            </w:r>
            <w:r>
              <w:rPr>
                <w:rFonts w:hint="eastAsia"/>
                <w:lang w:eastAsia="zh-CN"/>
              </w:rPr>
              <w:t>；</w:t>
            </w:r>
          </w:p>
          <w:p>
            <w:pPr>
              <w:shd w:val="clear"/>
            </w:pPr>
            <w:r>
              <w:rPr>
                <w:rFonts w:hint="eastAsia"/>
              </w:rPr>
              <w:t>☑应对内部和外部沟通（FSMS）</w:t>
            </w:r>
          </w:p>
          <w:p>
            <w:pPr>
              <w:shd w:val="clear"/>
              <w:rPr>
                <w:color w:val="0000FF"/>
              </w:rPr>
            </w:pPr>
            <w:r>
              <w:rPr>
                <w:rFonts w:hint="eastAsia"/>
              </w:rPr>
              <w:t>☑解决需求确保食品安全相关的能力（FSMS）</w:t>
            </w:r>
          </w:p>
          <w:p>
            <w:pPr>
              <w:pStyle w:val="2"/>
              <w:shd w:val="clear"/>
            </w:pP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shd w:val="clea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FE"/>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r>
              <w:rPr>
                <w:rFonts w:hint="eastAsia"/>
                <w:lang w:eastAsia="zh-CN"/>
              </w:rPr>
              <w:t>——</w:t>
            </w:r>
            <w:r>
              <w:rPr>
                <w:rFonts w:hint="eastAsia"/>
                <w:lang w:val="en-US" w:eastAsia="zh-CN"/>
              </w:rPr>
              <w:t>合同、招投标等</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pPr>
            <w:r>
              <w:rPr>
                <w:rFonts w:hint="eastAsia"/>
              </w:rPr>
              <w:t>组织的岗位、职责和权限</w:t>
            </w:r>
          </w:p>
          <w:p>
            <w:pPr>
              <w:shd w:val="clear"/>
            </w:pPr>
          </w:p>
        </w:tc>
        <w:tc>
          <w:tcPr>
            <w:tcW w:w="1055" w:type="dxa"/>
            <w:vMerge w:val="restart"/>
            <w:shd w:val="clear" w:color="auto" w:fill="auto"/>
          </w:tcPr>
          <w:p>
            <w:pPr>
              <w:shd w:val="clear"/>
            </w:pPr>
            <w:r>
              <w:rPr>
                <w:rFonts w:hint="eastAsia"/>
              </w:rPr>
              <w:t>Q5.3</w:t>
            </w:r>
          </w:p>
          <w:p>
            <w:pPr>
              <w:shd w:val="clear"/>
              <w:rPr>
                <w:rFonts w:hint="eastAsia"/>
              </w:rPr>
            </w:pPr>
            <w:r>
              <w:rPr>
                <w:rFonts w:hint="eastAsia"/>
              </w:rPr>
              <w:t>F5.3</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《管理手册》</w:t>
            </w:r>
            <w:r>
              <w:rPr>
                <w:rFonts w:hint="eastAsia"/>
              </w:rPr>
              <w:t>第5.3章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6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最高管理者确定了组织架构及相关岗位的职责、权限，并进行了全员的沟通和理解；</w:t>
            </w:r>
          </w:p>
          <w:p>
            <w:pPr>
              <w:shd w:val="clear"/>
            </w:pPr>
            <w:r>
              <w:rPr>
                <w:rFonts w:hint="eastAsia"/>
              </w:rPr>
              <w:t>如：</w:t>
            </w:r>
          </w:p>
          <w:p>
            <w:pPr>
              <w:pStyle w:val="2"/>
              <w:shd w:val="clea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56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3" w:type="dxa"/>
                </w:tcPr>
                <w:p>
                  <w:pPr>
                    <w:shd w:val="clear"/>
                  </w:pPr>
                  <w:r>
                    <w:rPr>
                      <w:rFonts w:hint="eastAsia"/>
                    </w:rPr>
                    <w:t>过程名称</w:t>
                  </w:r>
                </w:p>
              </w:tc>
              <w:tc>
                <w:tcPr>
                  <w:tcW w:w="1864" w:type="dxa"/>
                </w:tcPr>
                <w:p>
                  <w:pPr>
                    <w:shd w:val="clear"/>
                  </w:pPr>
                  <w:r>
                    <w:rPr>
                      <w:rFonts w:hint="eastAsia"/>
                    </w:rPr>
                    <w:t>主管部门名称</w:t>
                  </w:r>
                </w:p>
              </w:tc>
              <w:tc>
                <w:tcPr>
                  <w:tcW w:w="2561" w:type="dxa"/>
                </w:tcPr>
                <w:p>
                  <w:pPr>
                    <w:shd w:val="clear"/>
                  </w:pPr>
                  <w:r>
                    <w:rPr>
                      <w:rFonts w:hint="eastAsia"/>
                    </w:rPr>
                    <w:t>过程名称</w:t>
                  </w:r>
                </w:p>
              </w:tc>
              <w:tc>
                <w:tcPr>
                  <w:tcW w:w="2035" w:type="dxa"/>
                </w:tcPr>
                <w:p>
                  <w:pPr>
                    <w:shd w:val="clea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食品安全管理体系</w:t>
                  </w:r>
                  <w:r>
                    <w:rPr>
                      <w:rFonts w:hint="eastAsia"/>
                      <w:lang w:val="en-US" w:eastAsia="zh-CN"/>
                    </w:rPr>
                    <w:t>/HACCP体系</w:t>
                  </w:r>
                  <w:r>
                    <w:rPr>
                      <w:rFonts w:hint="eastAsia"/>
                    </w:rPr>
                    <w:t>策划和推动</w:t>
                  </w:r>
                </w:p>
              </w:tc>
              <w:tc>
                <w:tcPr>
                  <w:tcW w:w="1864" w:type="dxa"/>
                </w:tcPr>
                <w:p>
                  <w:pPr>
                    <w:shd w:val="clear"/>
                    <w:rPr>
                      <w:rFonts w:hint="default" w:eastAsia="宋体"/>
                      <w:lang w:val="en-US" w:eastAsia="zh-CN"/>
                    </w:rPr>
                  </w:pPr>
                  <w:r>
                    <w:rPr>
                      <w:rFonts w:hint="eastAsia"/>
                    </w:rPr>
                    <w:t>食品安全小组</w:t>
                  </w:r>
                </w:p>
              </w:tc>
              <w:tc>
                <w:tcPr>
                  <w:tcW w:w="2561" w:type="dxa"/>
                  <w:vAlign w:val="top"/>
                </w:tcPr>
                <w:p>
                  <w:pPr>
                    <w:shd w:val="clear"/>
                    <w:rPr>
                      <w:rFonts w:ascii="Times New Roman" w:hAnsi="Times New Roman" w:eastAsia="宋体" w:cs="Times New Roman"/>
                      <w:kern w:val="2"/>
                      <w:sz w:val="21"/>
                      <w:lang w:val="en-US" w:eastAsia="zh-CN" w:bidi="ar-SA"/>
                    </w:rPr>
                  </w:pPr>
                  <w:r>
                    <w:rPr>
                      <w:rFonts w:hint="eastAsia"/>
                    </w:rPr>
                    <w:t>生产/服务设计开发过程</w:t>
                  </w:r>
                </w:p>
              </w:tc>
              <w:tc>
                <w:tcPr>
                  <w:tcW w:w="2035"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hint="eastAsia" w:ascii="Times New Roman" w:hAnsi="Times New Roman" w:eastAsia="宋体" w:cs="Times New Roman"/>
                      <w:kern w:val="2"/>
                      <w:sz w:val="21"/>
                      <w:lang w:val="en-US" w:eastAsia="zh-CN" w:bidi="ar-SA"/>
                    </w:rPr>
                  </w:pPr>
                  <w:r>
                    <w:rPr>
                      <w:rFonts w:hint="eastAsia"/>
                    </w:rPr>
                    <w:t>质量管理体系策划和推动</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rPr>
                    <w:t>食品安全小组</w:t>
                  </w:r>
                </w:p>
              </w:tc>
              <w:tc>
                <w:tcPr>
                  <w:tcW w:w="2561" w:type="dxa"/>
                  <w:vAlign w:val="top"/>
                </w:tcPr>
                <w:p>
                  <w:pPr>
                    <w:shd w:val="clear"/>
                    <w:rPr>
                      <w:rFonts w:hint="eastAsia" w:ascii="Times New Roman" w:hAnsi="Times New Roman" w:eastAsia="宋体" w:cs="Times New Roman"/>
                      <w:kern w:val="2"/>
                      <w:sz w:val="21"/>
                      <w:lang w:val="en-US" w:eastAsia="zh-CN" w:bidi="ar-SA"/>
                    </w:rPr>
                  </w:pPr>
                  <w:r>
                    <w:rPr>
                      <w:rFonts w:hint="eastAsia"/>
                    </w:rPr>
                    <w:t>生产/服务放行过程</w:t>
                  </w:r>
                </w:p>
              </w:tc>
              <w:tc>
                <w:tcPr>
                  <w:tcW w:w="2035" w:type="dxa"/>
                  <w:vAlign w:val="top"/>
                </w:tcPr>
                <w:p>
                  <w:pPr>
                    <w:shd w:val="clea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仓储部以及总部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采购控制</w:t>
                  </w:r>
                </w:p>
              </w:tc>
              <w:tc>
                <w:tcPr>
                  <w:tcW w:w="1864" w:type="dxa"/>
                </w:tcPr>
                <w:p>
                  <w:pPr>
                    <w:shd w:val="clear"/>
                    <w:rPr>
                      <w:rFonts w:hint="default" w:eastAsia="宋体"/>
                      <w:lang w:val="en-US" w:eastAsia="zh-CN"/>
                    </w:rPr>
                  </w:pPr>
                  <w:r>
                    <w:rPr>
                      <w:rFonts w:hint="eastAsia"/>
                      <w:lang w:val="en-US" w:eastAsia="zh-CN"/>
                    </w:rPr>
                    <w:t>购销部</w:t>
                  </w:r>
                </w:p>
              </w:tc>
              <w:tc>
                <w:tcPr>
                  <w:tcW w:w="2561" w:type="dxa"/>
                </w:tcPr>
                <w:p>
                  <w:pPr>
                    <w:shd w:val="clear"/>
                  </w:pPr>
                  <w:r>
                    <w:rPr>
                      <w:rFonts w:hint="eastAsia"/>
                    </w:rPr>
                    <w:t>FSMS验证和确认</w:t>
                  </w:r>
                </w:p>
              </w:tc>
              <w:tc>
                <w:tcPr>
                  <w:tcW w:w="2035" w:type="dxa"/>
                </w:tcPr>
                <w:p>
                  <w:pPr>
                    <w:shd w:val="clea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pPr>
                    <w:shd w:val="clear"/>
                  </w:pPr>
                  <w:r>
                    <w:rPr>
                      <w:rFonts w:hint="eastAsia"/>
                    </w:rPr>
                    <w:t>人员健康</w:t>
                  </w:r>
                </w:p>
              </w:tc>
              <w:tc>
                <w:tcPr>
                  <w:tcW w:w="1864" w:type="dxa"/>
                </w:tcPr>
                <w:p>
                  <w:pPr>
                    <w:shd w:val="clear"/>
                    <w:rPr>
                      <w:rFonts w:hint="default" w:eastAsia="宋体"/>
                      <w:lang w:val="en-US" w:eastAsia="zh-CN"/>
                    </w:rPr>
                  </w:pPr>
                  <w:r>
                    <w:rPr>
                      <w:rFonts w:hint="eastAsia"/>
                      <w:lang w:val="en-US" w:eastAsia="zh-CN"/>
                    </w:rPr>
                    <w:t>综合部</w:t>
                  </w:r>
                </w:p>
              </w:tc>
              <w:tc>
                <w:tcPr>
                  <w:tcW w:w="2561" w:type="dxa"/>
                </w:tcPr>
                <w:p>
                  <w:pPr>
                    <w:shd w:val="clear"/>
                  </w:pPr>
                  <w:r>
                    <w:rPr>
                      <w:rFonts w:hint="eastAsia"/>
                    </w:rPr>
                    <w:t>基础设施</w:t>
                  </w:r>
                </w:p>
              </w:tc>
              <w:tc>
                <w:tcPr>
                  <w:tcW w:w="2035" w:type="dxa"/>
                </w:tcPr>
                <w:p>
                  <w:pPr>
                    <w:shd w:val="clear"/>
                    <w:rPr>
                      <w:rFonts w:hint="default" w:eastAsia="宋体"/>
                      <w:lang w:val="en-US" w:eastAsia="zh-CN"/>
                    </w:rPr>
                  </w:pPr>
                  <w:r>
                    <w:rPr>
                      <w:rFonts w:hint="eastAsia"/>
                      <w:lang w:val="en-US" w:eastAsia="zh-CN"/>
                    </w:rPr>
                    <w:t>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Align w:val="top"/>
                </w:tcPr>
                <w:p>
                  <w:pPr>
                    <w:shd w:val="clear"/>
                    <w:rPr>
                      <w:rFonts w:ascii="Times New Roman" w:hAnsi="Times New Roman" w:eastAsia="宋体" w:cs="Times New Roman"/>
                      <w:kern w:val="2"/>
                      <w:sz w:val="21"/>
                      <w:lang w:val="en-US" w:eastAsia="zh-CN" w:bidi="ar-SA"/>
                    </w:rPr>
                  </w:pPr>
                  <w:r>
                    <w:rPr>
                      <w:rFonts w:hint="eastAsia"/>
                    </w:rPr>
                    <w:t>外部供方控制</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购销部</w:t>
                  </w:r>
                </w:p>
              </w:tc>
              <w:tc>
                <w:tcPr>
                  <w:tcW w:w="2561" w:type="dxa"/>
                  <w:vAlign w:val="top"/>
                </w:tcPr>
                <w:p>
                  <w:pPr>
                    <w:shd w:val="clear"/>
                    <w:rPr>
                      <w:rFonts w:ascii="Times New Roman" w:hAnsi="Times New Roman" w:eastAsia="宋体" w:cs="Times New Roman"/>
                      <w:kern w:val="2"/>
                      <w:sz w:val="21"/>
                      <w:lang w:val="en-US" w:eastAsia="zh-CN" w:bidi="ar-SA"/>
                    </w:rPr>
                  </w:pPr>
                  <w:r>
                    <w:rPr>
                      <w:rFonts w:hint="eastAsia"/>
                    </w:rPr>
                    <w:t>OPRP和HACCP的实施</w:t>
                  </w:r>
                </w:p>
              </w:tc>
              <w:tc>
                <w:tcPr>
                  <w:tcW w:w="2035" w:type="dxa"/>
                  <w:vAlign w:val="top"/>
                </w:tcPr>
                <w:p>
                  <w:pPr>
                    <w:shd w:val="clear"/>
                    <w:rPr>
                      <w:rFonts w:hint="default" w:ascii="Times New Roman" w:hAnsi="Times New Roman" w:eastAsia="宋体" w:cs="Times New Roman"/>
                      <w:kern w:val="2"/>
                      <w:sz w:val="21"/>
                      <w:lang w:val="en-US" w:eastAsia="zh-CN" w:bidi="ar-SA"/>
                    </w:rPr>
                  </w:pPr>
                  <w:r>
                    <w:rPr>
                      <w:rFonts w:hint="eastAsia"/>
                      <w:lang w:val="en-US" w:eastAsia="zh-CN"/>
                    </w:rPr>
                    <w:t>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r>
                    <w:rPr>
                      <w:rFonts w:hint="eastAsia"/>
                    </w:rPr>
                    <w:t>顾客满意调查分析</w:t>
                  </w:r>
                </w:p>
              </w:tc>
              <w:tc>
                <w:tcPr>
                  <w:tcW w:w="186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购销部</w:t>
                  </w:r>
                </w:p>
              </w:tc>
              <w:tc>
                <w:tcPr>
                  <w:tcW w:w="2561" w:type="dxa"/>
                  <w:vAlign w:val="top"/>
                </w:tcPr>
                <w:p>
                  <w:pPr>
                    <w:shd w:val="clear"/>
                    <w:rPr>
                      <w:rFonts w:ascii="Times New Roman" w:hAnsi="Times New Roman" w:eastAsia="宋体" w:cs="Times New Roman"/>
                      <w:kern w:val="2"/>
                      <w:sz w:val="21"/>
                      <w:lang w:val="en-US" w:eastAsia="zh-CN" w:bidi="ar-SA"/>
                    </w:rPr>
                  </w:pPr>
                  <w:r>
                    <w:rPr>
                      <w:rFonts w:hint="eastAsia"/>
                    </w:rPr>
                    <w:t>生产/服务提供过程</w:t>
                  </w:r>
                </w:p>
              </w:tc>
              <w:tc>
                <w:tcPr>
                  <w:tcW w:w="203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rPr>
                      <w:rFonts w:ascii="Times New Roman" w:hAnsi="Times New Roman" w:eastAsia="宋体" w:cs="Times New Roman"/>
                      <w:kern w:val="2"/>
                      <w:sz w:val="21"/>
                      <w:lang w:val="en-US" w:eastAsia="zh-CN" w:bidi="ar-SA"/>
                    </w:rPr>
                  </w:pPr>
                </w:p>
              </w:tc>
              <w:tc>
                <w:tcPr>
                  <w:tcW w:w="1864" w:type="dxa"/>
                  <w:vAlign w:val="top"/>
                </w:tcPr>
                <w:p>
                  <w:pPr>
                    <w:shd w:val="clear"/>
                    <w:rPr>
                      <w:rFonts w:hint="default" w:ascii="Times New Roman" w:hAnsi="Times New Roman" w:eastAsia="宋体" w:cs="Times New Roman"/>
                      <w:kern w:val="2"/>
                      <w:sz w:val="21"/>
                      <w:lang w:val="en-US" w:eastAsia="zh-CN" w:bidi="ar-SA"/>
                    </w:rPr>
                  </w:pPr>
                </w:p>
              </w:tc>
              <w:tc>
                <w:tcPr>
                  <w:tcW w:w="2561" w:type="dxa"/>
                  <w:vAlign w:val="top"/>
                </w:tcPr>
                <w:p>
                  <w:pPr>
                    <w:shd w:val="clear"/>
                    <w:rPr>
                      <w:rFonts w:ascii="Times New Roman" w:hAnsi="Times New Roman" w:eastAsia="宋体" w:cs="Times New Roman"/>
                      <w:kern w:val="2"/>
                      <w:sz w:val="21"/>
                      <w:lang w:val="en-US" w:eastAsia="zh-CN" w:bidi="ar-SA"/>
                    </w:rPr>
                  </w:pPr>
                </w:p>
              </w:tc>
              <w:tc>
                <w:tcPr>
                  <w:tcW w:w="2035" w:type="dxa"/>
                  <w:vAlign w:val="top"/>
                </w:tcPr>
                <w:p>
                  <w:pPr>
                    <w:shd w:val="clear"/>
                    <w:rPr>
                      <w:rFonts w:hint="eastAsia" w:ascii="Times New Roman" w:hAnsi="Times New Roman" w:eastAsia="宋体" w:cs="Times New Roman"/>
                      <w:kern w:val="2"/>
                      <w:sz w:val="21"/>
                      <w:lang w:val="en-US" w:eastAsia="zh-CN" w:bidi="ar-SA"/>
                    </w:rPr>
                  </w:pPr>
                </w:p>
              </w:tc>
            </w:tr>
          </w:tbl>
          <w:p>
            <w:pPr>
              <w:shd w:val="clear"/>
            </w:pP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673" w:hRule="atLeast"/>
        </w:trPr>
        <w:tc>
          <w:tcPr>
            <w:tcW w:w="1518" w:type="dxa"/>
            <w:shd w:val="clear" w:color="auto" w:fill="auto"/>
          </w:tcPr>
          <w:p>
            <w:pPr>
              <w:shd w:val="clear"/>
            </w:pPr>
          </w:p>
        </w:tc>
        <w:tc>
          <w:tcPr>
            <w:tcW w:w="1055" w:type="dxa"/>
            <w:shd w:val="clear" w:color="auto" w:fill="auto"/>
          </w:tcPr>
          <w:p>
            <w:pPr>
              <w:shd w:val="clear"/>
            </w:pPr>
          </w:p>
        </w:tc>
        <w:tc>
          <w:tcPr>
            <w:tcW w:w="893" w:type="dxa"/>
            <w:shd w:val="clear" w:color="auto" w:fill="auto"/>
          </w:tcPr>
          <w:p>
            <w:pPr>
              <w:shd w:val="clear"/>
            </w:pPr>
          </w:p>
        </w:tc>
        <w:tc>
          <w:tcPr>
            <w:tcW w:w="9373" w:type="dxa"/>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u w:val="single"/>
                <w:lang w:val="en-US" w:eastAsia="zh-CN"/>
              </w:rPr>
              <w:t>涂兰兰女士</w:t>
            </w:r>
            <w:r>
              <w:rPr>
                <w:rFonts w:hint="eastAsia"/>
                <w:u w:val="single"/>
              </w:rPr>
              <w:t xml:space="preserve">     </w:t>
            </w:r>
            <w:r>
              <w:rPr>
                <w:rFonts w:hint="eastAsia"/>
              </w:rPr>
              <w:t>，</w:t>
            </w:r>
          </w:p>
          <w:p>
            <w:pPr>
              <w:shd w:val="clear"/>
            </w:pPr>
          </w:p>
          <w:p>
            <w:pPr>
              <w:shd w:val="clear"/>
            </w:pP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体系</w:t>
            </w:r>
            <w:r>
              <w:t>的有效性和适宜性。</w:t>
            </w:r>
          </w:p>
          <w:p>
            <w:pPr>
              <w:shd w:val="clear"/>
            </w:pPr>
          </w:p>
          <w:p>
            <w:pPr>
              <w:shd w:val="clear"/>
            </w:pPr>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366" w:type="dxa"/>
            <w:gridSpan w:val="2"/>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443" w:hRule="atLeast"/>
        </w:trPr>
        <w:tc>
          <w:tcPr>
            <w:tcW w:w="1518" w:type="dxa"/>
            <w:vMerge w:val="restart"/>
            <w:shd w:val="clear" w:color="auto" w:fill="auto"/>
          </w:tcPr>
          <w:p>
            <w:pPr>
              <w:shd w:val="clear"/>
              <w:rPr>
                <w:color w:val="000000"/>
                <w:szCs w:val="21"/>
              </w:rPr>
            </w:pPr>
            <w:r>
              <w:rPr>
                <w:rFonts w:hint="eastAsia"/>
                <w:color w:val="000000"/>
                <w:szCs w:val="21"/>
              </w:rPr>
              <w:t>应对风险和机遇的措施</w:t>
            </w:r>
          </w:p>
          <w:p>
            <w:pPr>
              <w:shd w:val="clear"/>
            </w:pPr>
          </w:p>
        </w:tc>
        <w:tc>
          <w:tcPr>
            <w:tcW w:w="1055" w:type="dxa"/>
            <w:vMerge w:val="restart"/>
            <w:shd w:val="clear" w:color="auto" w:fill="auto"/>
          </w:tcPr>
          <w:p>
            <w:pPr>
              <w:shd w:val="clear"/>
              <w:rPr>
                <w:color w:val="000000"/>
                <w:szCs w:val="21"/>
              </w:rPr>
            </w:pPr>
            <w:r>
              <w:rPr>
                <w:rFonts w:hint="eastAsia"/>
                <w:color w:val="000000"/>
                <w:szCs w:val="21"/>
              </w:rPr>
              <w:t>Q6.1</w:t>
            </w:r>
          </w:p>
          <w:p>
            <w:pPr>
              <w:shd w:val="clear"/>
            </w:pPr>
            <w:r>
              <w:rPr>
                <w:rFonts w:hint="eastAsia"/>
                <w:color w:val="000000"/>
                <w:szCs w:val="21"/>
              </w:rPr>
              <w:t>F6.1.1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lang w:eastAsia="zh-CN"/>
              </w:rPr>
              <w:t>《管理手册》</w:t>
            </w:r>
            <w:r>
              <w:rPr>
                <w:rFonts w:hint="eastAsia"/>
              </w:rPr>
              <w:t>第6.1章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3276"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Pr>
              <w:shd w:val="clear"/>
            </w:pPr>
          </w:p>
          <w:p>
            <w:pPr>
              <w:shd w:val="clear"/>
            </w:pPr>
            <w:r>
              <w:rPr>
                <w:rFonts w:hint="eastAsia"/>
              </w:rPr>
              <w:t xml:space="preserve">应对风险的措施类型包括：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Pr>
              <w:shd w:val="clear"/>
            </w:pPr>
          </w:p>
          <w:p>
            <w:pPr>
              <w:shd w:val="clear"/>
            </w:pPr>
            <w:r>
              <w:rPr>
                <w:rFonts w:hint="eastAsia"/>
              </w:rPr>
              <w:t>列举2~3项应对主要风险的描述：</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491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2" w:type="dxa"/>
                </w:tcPr>
                <w:p>
                  <w:pPr>
                    <w:shd w:val="clear"/>
                  </w:pPr>
                  <w:r>
                    <w:rPr>
                      <w:rFonts w:hint="eastAsia"/>
                    </w:rPr>
                    <w:t>主要的风险描述</w:t>
                  </w:r>
                </w:p>
              </w:tc>
              <w:tc>
                <w:tcPr>
                  <w:tcW w:w="4913" w:type="dxa"/>
                </w:tcPr>
                <w:p>
                  <w:pPr>
                    <w:shd w:val="clear"/>
                    <w:rPr>
                      <w:szCs w:val="24"/>
                    </w:rPr>
                  </w:pPr>
                  <w:r>
                    <w:rPr>
                      <w:rFonts w:hint="eastAsia"/>
                    </w:rPr>
                    <w:t>应对措施</w:t>
                  </w:r>
                </w:p>
              </w:tc>
              <w:tc>
                <w:tcPr>
                  <w:tcW w:w="1717" w:type="dxa"/>
                </w:tcPr>
                <w:p>
                  <w:pPr>
                    <w:shd w:val="clea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shd w:val="clear"/>
                    <w:rPr>
                      <w:rFonts w:hint="default" w:eastAsia="宋体"/>
                      <w:szCs w:val="24"/>
                      <w:lang w:val="en-US" w:eastAsia="zh-CN"/>
                    </w:rPr>
                  </w:pPr>
                  <w:r>
                    <w:rPr>
                      <w:rFonts w:hint="eastAsia"/>
                      <w:szCs w:val="24"/>
                      <w:lang w:val="en-US" w:eastAsia="zh-CN"/>
                    </w:rPr>
                    <w:t>经营风险</w:t>
                  </w:r>
                </w:p>
              </w:tc>
              <w:tc>
                <w:tcPr>
                  <w:tcW w:w="4913" w:type="dxa"/>
                </w:tcPr>
                <w:p>
                  <w:pPr>
                    <w:pStyle w:val="12"/>
                    <w:numPr>
                      <w:ilvl w:val="0"/>
                      <w:numId w:val="2"/>
                    </w:numPr>
                    <w:shd w:val="clear"/>
                    <w:ind w:left="0" w:leftChars="0" w:firstLine="0" w:firstLineChars="0"/>
                    <w:rPr>
                      <w:rFonts w:hint="default"/>
                      <w:lang w:val="en-US" w:eastAsia="zh-CN"/>
                    </w:rPr>
                  </w:pPr>
                  <w:r>
                    <w:rPr>
                      <w:rFonts w:hint="eastAsia"/>
                      <w:lang w:val="en-US" w:eastAsia="zh-CN"/>
                    </w:rPr>
                    <w:t>严格按照国家相关规定进行粮食仓储管理；</w:t>
                  </w:r>
                </w:p>
                <w:p>
                  <w:pPr>
                    <w:pStyle w:val="12"/>
                    <w:numPr>
                      <w:ilvl w:val="0"/>
                      <w:numId w:val="2"/>
                    </w:numPr>
                    <w:shd w:val="clear"/>
                    <w:ind w:left="0" w:leftChars="0" w:firstLine="0" w:firstLineChars="0"/>
                    <w:rPr>
                      <w:rFonts w:hint="default"/>
                      <w:lang w:val="en-US" w:eastAsia="zh-CN"/>
                    </w:rPr>
                  </w:pPr>
                  <w:r>
                    <w:rPr>
                      <w:rFonts w:hint="eastAsia"/>
                      <w:lang w:val="en-US" w:eastAsia="zh-CN"/>
                    </w:rPr>
                    <w:t>严格控制粮情管控</w:t>
                  </w:r>
                </w:p>
              </w:tc>
              <w:tc>
                <w:tcPr>
                  <w:tcW w:w="1717" w:type="dxa"/>
                </w:tcPr>
                <w:p>
                  <w:pPr>
                    <w:shd w:val="clea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tcPr>
                <w:p>
                  <w:pPr>
                    <w:shd w:val="clear"/>
                    <w:rPr>
                      <w:rFonts w:hint="default" w:eastAsia="宋体"/>
                      <w:szCs w:val="24"/>
                      <w:lang w:val="en-US" w:eastAsia="zh-CN"/>
                    </w:rPr>
                  </w:pPr>
                </w:p>
              </w:tc>
              <w:tc>
                <w:tcPr>
                  <w:tcW w:w="4913" w:type="dxa"/>
                </w:tcPr>
                <w:p>
                  <w:pPr>
                    <w:pStyle w:val="12"/>
                    <w:numPr>
                      <w:ilvl w:val="0"/>
                      <w:numId w:val="0"/>
                    </w:numPr>
                    <w:shd w:val="clear"/>
                    <w:rPr>
                      <w:rFonts w:hint="default"/>
                      <w:lang w:val="en-US" w:eastAsia="zh-CN"/>
                    </w:rPr>
                  </w:pPr>
                </w:p>
              </w:tc>
              <w:tc>
                <w:tcPr>
                  <w:tcW w:w="1717" w:type="dxa"/>
                </w:tcPr>
                <w:p>
                  <w:pPr>
                    <w:shd w:val="clear"/>
                  </w:pPr>
                </w:p>
              </w:tc>
            </w:tr>
          </w:tbl>
          <w:p>
            <w:pPr>
              <w:shd w:val="clear"/>
            </w:pPr>
          </w:p>
          <w:p>
            <w:pPr>
              <w:pStyle w:val="12"/>
              <w:shd w:val="clear"/>
            </w:pPr>
          </w:p>
          <w:p>
            <w:pPr>
              <w:pStyle w:val="12"/>
              <w:shd w:val="clear"/>
            </w:pPr>
          </w:p>
          <w:p>
            <w:pPr>
              <w:pStyle w:val="12"/>
              <w:shd w:val="clear"/>
            </w:pPr>
          </w:p>
          <w:p>
            <w:pPr>
              <w:pStyle w:val="12"/>
              <w:shd w:val="clear"/>
            </w:pPr>
          </w:p>
          <w:p>
            <w:pPr>
              <w:pStyle w:val="12"/>
              <w:shd w:val="clear"/>
            </w:pPr>
          </w:p>
          <w:p>
            <w:pPr>
              <w:pStyle w:val="12"/>
              <w:shd w:val="clear"/>
            </w:pPr>
          </w:p>
          <w:p>
            <w:pPr>
              <w:pStyle w:val="12"/>
              <w:shd w:val="clear"/>
            </w:pPr>
          </w:p>
          <w:p>
            <w:pPr>
              <w:shd w:val="clear"/>
            </w:pPr>
            <w:r>
              <w:rPr>
                <w:rFonts w:hint="eastAsia"/>
              </w:rPr>
              <w:t xml:space="preserve">应对机遇的措施类型包括： </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pPr>
              <w:shd w:val="clear"/>
            </w:pPr>
            <w:r>
              <w:rPr>
                <w:rFonts w:hint="eastAsia"/>
              </w:rPr>
              <w:t>列举2~3项应对重要机遇的描述：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395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top"/>
                </w:tcPr>
                <w:p>
                  <w:pPr>
                    <w:shd w:val="clear"/>
                    <w:rPr>
                      <w:highlight w:val="none"/>
                    </w:rPr>
                  </w:pPr>
                  <w:r>
                    <w:rPr>
                      <w:rFonts w:hint="eastAsia"/>
                      <w:highlight w:val="none"/>
                    </w:rPr>
                    <w:t>主要的机遇描述</w:t>
                  </w:r>
                </w:p>
              </w:tc>
              <w:tc>
                <w:tcPr>
                  <w:tcW w:w="3951" w:type="dxa"/>
                  <w:vAlign w:val="top"/>
                </w:tcPr>
                <w:p>
                  <w:pPr>
                    <w:shd w:val="clear"/>
                    <w:rPr>
                      <w:szCs w:val="24"/>
                      <w:highlight w:val="none"/>
                    </w:rPr>
                  </w:pPr>
                  <w:r>
                    <w:rPr>
                      <w:rFonts w:hint="eastAsia"/>
                      <w:highlight w:val="none"/>
                    </w:rPr>
                    <w:t>应对措施</w:t>
                  </w:r>
                </w:p>
              </w:tc>
              <w:tc>
                <w:tcPr>
                  <w:tcW w:w="1717" w:type="dxa"/>
                  <w:vAlign w:val="top"/>
                </w:tcPr>
                <w:p>
                  <w:pPr>
                    <w:shd w:val="clea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54" w:type="dxa"/>
                  <w:vAlign w:val="top"/>
                </w:tcPr>
                <w:p>
                  <w:pPr>
                    <w:shd w:val="clear"/>
                    <w:rPr>
                      <w:rFonts w:hint="default" w:eastAsia="宋体"/>
                      <w:highlight w:val="none"/>
                      <w:lang w:val="en-US" w:eastAsia="zh-CN"/>
                    </w:rPr>
                  </w:pPr>
                  <w:r>
                    <w:rPr>
                      <w:rFonts w:hint="eastAsia"/>
                      <w:szCs w:val="24"/>
                      <w:highlight w:val="none"/>
                      <w:lang w:val="en-US" w:eastAsia="zh-CN"/>
                    </w:rPr>
                    <w:t>国家对食品安全的重视、粮食是国家的重点关注项</w:t>
                  </w:r>
                </w:p>
              </w:tc>
              <w:tc>
                <w:tcPr>
                  <w:tcW w:w="3951" w:type="dxa"/>
                  <w:vAlign w:val="top"/>
                </w:tcPr>
                <w:p>
                  <w:pPr>
                    <w:pStyle w:val="7"/>
                    <w:numPr>
                      <w:ilvl w:val="0"/>
                      <w:numId w:val="3"/>
                    </w:numPr>
                    <w:shd w:val="clear"/>
                    <w:jc w:val="left"/>
                    <w:rPr>
                      <w:rFonts w:hint="eastAsia"/>
                      <w:highlight w:val="none"/>
                      <w:lang w:val="en-US" w:eastAsia="zh-CN"/>
                    </w:rPr>
                  </w:pPr>
                  <w:r>
                    <w:rPr>
                      <w:rFonts w:hint="eastAsia"/>
                      <w:highlight w:val="none"/>
                      <w:lang w:val="en-US" w:eastAsia="zh-CN"/>
                    </w:rPr>
                    <w:t>不断提高自身的管理能力；</w:t>
                  </w:r>
                </w:p>
                <w:p>
                  <w:pPr>
                    <w:pStyle w:val="7"/>
                    <w:numPr>
                      <w:ilvl w:val="0"/>
                      <w:numId w:val="3"/>
                    </w:numPr>
                    <w:shd w:val="clear"/>
                    <w:jc w:val="left"/>
                    <w:rPr>
                      <w:rFonts w:hint="default"/>
                      <w:highlight w:val="none"/>
                      <w:lang w:val="en-US" w:eastAsia="zh-CN"/>
                    </w:rPr>
                  </w:pPr>
                  <w:r>
                    <w:rPr>
                      <w:rFonts w:hint="eastAsia"/>
                      <w:highlight w:val="none"/>
                      <w:lang w:val="en-US" w:eastAsia="zh-CN"/>
                    </w:rPr>
                    <w:t>加强粮食安全的管理</w:t>
                  </w:r>
                </w:p>
              </w:tc>
              <w:tc>
                <w:tcPr>
                  <w:tcW w:w="1717" w:type="dxa"/>
                  <w:vAlign w:val="top"/>
                </w:tcPr>
                <w:p>
                  <w:pPr>
                    <w:shd w:val="clea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top"/>
                </w:tcPr>
                <w:p>
                  <w:pPr>
                    <w:shd w:val="clear"/>
                    <w:rPr>
                      <w:rFonts w:hint="default" w:eastAsia="宋体"/>
                      <w:szCs w:val="24"/>
                      <w:highlight w:val="none"/>
                      <w:lang w:val="en-US" w:eastAsia="zh-CN"/>
                    </w:rPr>
                  </w:pPr>
                </w:p>
              </w:tc>
              <w:tc>
                <w:tcPr>
                  <w:tcW w:w="3951" w:type="dxa"/>
                  <w:vAlign w:val="top"/>
                </w:tcPr>
                <w:p>
                  <w:pPr>
                    <w:numPr>
                      <w:ilvl w:val="0"/>
                      <w:numId w:val="0"/>
                    </w:numPr>
                    <w:shd w:val="clear"/>
                    <w:rPr>
                      <w:rFonts w:hint="default" w:eastAsia="宋体"/>
                      <w:highlight w:val="none"/>
                      <w:lang w:val="en-US" w:eastAsia="zh-CN"/>
                    </w:rPr>
                  </w:pPr>
                </w:p>
              </w:tc>
              <w:tc>
                <w:tcPr>
                  <w:tcW w:w="1717" w:type="dxa"/>
                  <w:vAlign w:val="top"/>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4" w:type="dxa"/>
                  <w:vAlign w:val="top"/>
                </w:tcPr>
                <w:p>
                  <w:pPr>
                    <w:shd w:val="clear"/>
                    <w:rPr>
                      <w:szCs w:val="24"/>
                      <w:highlight w:val="none"/>
                    </w:rPr>
                  </w:pPr>
                </w:p>
              </w:tc>
              <w:tc>
                <w:tcPr>
                  <w:tcW w:w="3951" w:type="dxa"/>
                  <w:vAlign w:val="top"/>
                </w:tcPr>
                <w:p>
                  <w:pPr>
                    <w:shd w:val="clear"/>
                    <w:rPr>
                      <w:highlight w:val="none"/>
                    </w:rPr>
                  </w:pPr>
                </w:p>
              </w:tc>
              <w:tc>
                <w:tcPr>
                  <w:tcW w:w="1717" w:type="dxa"/>
                  <w:vAlign w:val="top"/>
                </w:tcPr>
                <w:p>
                  <w:pPr>
                    <w:shd w:val="clear"/>
                    <w:rPr>
                      <w:highlight w:val="none"/>
                    </w:rPr>
                  </w:pPr>
                </w:p>
              </w:tc>
            </w:tr>
          </w:tbl>
          <w:p>
            <w:pPr>
              <w:pStyle w:val="12"/>
              <w:shd w:val="clear"/>
            </w:pPr>
          </w:p>
          <w:p>
            <w:pPr>
              <w:shd w:val="clear"/>
              <w:rPr>
                <w:rFonts w:hint="eastAsia" w:eastAsia="宋体"/>
                <w:lang w:eastAsia="zh-CN"/>
              </w:rPr>
            </w:pPr>
            <w:r>
              <w:rPr>
                <w:rFonts w:hint="eastAsia"/>
              </w:rPr>
              <w:t>FSMS</w:t>
            </w:r>
            <w:r>
              <w:rPr>
                <w:rFonts w:hint="eastAsia"/>
                <w:lang w:eastAsia="zh-CN"/>
              </w:rPr>
              <w:t>：</w:t>
            </w:r>
          </w:p>
          <w:p>
            <w:pPr>
              <w:shd w:val="clea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Pr>
              <w:shd w:val="clear"/>
            </w:pPr>
          </w:p>
          <w:p>
            <w:pPr>
              <w:shd w:val="clea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A8"/>
            </w:r>
            <w:r>
              <w:rPr>
                <w:rFonts w:hint="eastAsia"/>
                <w:u w:val="single"/>
              </w:rPr>
              <w:t xml:space="preserve">停电  </w:t>
            </w:r>
            <w:r>
              <w:rPr>
                <w:rFonts w:hint="eastAsia"/>
                <w:u w:val="single"/>
              </w:rPr>
              <w:sym w:font="Wingdings" w:char="00A8"/>
            </w:r>
            <w:r>
              <w:rPr>
                <w:rFonts w:hint="eastAsia"/>
                <w:u w:val="single"/>
              </w:rPr>
              <w:t xml:space="preserve"> 停蒸汽   </w:t>
            </w:r>
          </w:p>
          <w:p>
            <w:pPr>
              <w:shd w:val="clear"/>
            </w:pPr>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 xml:space="preserve">其他—食品供应链的突变            </w:t>
            </w:r>
          </w:p>
          <w:p>
            <w:pPr>
              <w:shd w:val="clear"/>
            </w:pP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shd w:val="clea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pPr>
              <w:shd w:val="clear"/>
            </w:pPr>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214" w:hRule="atLeast"/>
        </w:trPr>
        <w:tc>
          <w:tcPr>
            <w:tcW w:w="1518" w:type="dxa"/>
            <w:vMerge w:val="restart"/>
            <w:shd w:val="clear" w:color="auto" w:fill="auto"/>
          </w:tcPr>
          <w:p>
            <w:pPr>
              <w:shd w:val="clear"/>
            </w:pPr>
          </w:p>
        </w:tc>
        <w:tc>
          <w:tcPr>
            <w:tcW w:w="1055" w:type="dxa"/>
            <w:shd w:val="clear" w:color="auto" w:fill="auto"/>
          </w:tcPr>
          <w:p>
            <w:pPr>
              <w:shd w:val="clear"/>
            </w:pPr>
            <w:r>
              <w:rPr>
                <w:rFonts w:hint="eastAsia"/>
                <w:color w:val="000000"/>
                <w:szCs w:val="21"/>
              </w:rPr>
              <w:t>F6.1.2</w:t>
            </w: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ascii="CIDFont+F5" w:hAnsi="CIDFont+F5" w:eastAsia="CIDFont+F5"/>
              </w:rPr>
            </w:pPr>
            <w:r>
              <w:rPr>
                <w:rFonts w:hint="eastAsia" w:ascii="CIDFont+F5" w:hAnsi="CIDFont+F5" w:eastAsia="CIDFont+F5"/>
              </w:rPr>
              <w:t>该组织策划了：</w:t>
            </w:r>
          </w:p>
          <w:p>
            <w:pPr>
              <w:shd w:val="clea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《质量和食品安全过程风险和机遇与应对评估分析表》；</w:t>
            </w:r>
          </w:p>
          <w:p>
            <w:pPr>
              <w:shd w:val="clear"/>
              <w:jc w:val="left"/>
              <w:rPr>
                <w:rFonts w:ascii="CIDFont+F5" w:hAnsi="CIDFont+F5" w:eastAsia="CIDFont+F5"/>
              </w:rPr>
            </w:pPr>
            <w:r>
              <w:rPr>
                <w:rFonts w:hint="eastAsia" w:ascii="CIDFont+F5" w:hAnsi="CIDFont+F5" w:eastAsia="CIDFont+F5"/>
              </w:rPr>
              <w:t>b) 并进行了:</w:t>
            </w:r>
          </w:p>
          <w:p>
            <w:pPr>
              <w:shd w:val="clea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366" w:type="dxa"/>
            <w:gridSpan w:val="2"/>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1540" w:hRule="atLeast"/>
        </w:trPr>
        <w:tc>
          <w:tcPr>
            <w:tcW w:w="1518" w:type="dxa"/>
            <w:vMerge w:val="continue"/>
            <w:shd w:val="clear" w:color="auto" w:fill="auto"/>
          </w:tcPr>
          <w:p>
            <w:pPr>
              <w:shd w:val="clear"/>
            </w:pPr>
          </w:p>
        </w:tc>
        <w:tc>
          <w:tcPr>
            <w:tcW w:w="1055" w:type="dxa"/>
            <w:shd w:val="clear" w:color="auto" w:fill="auto"/>
          </w:tcPr>
          <w:p>
            <w:pPr>
              <w:shd w:val="clear"/>
            </w:pPr>
            <w:r>
              <w:rPr>
                <w:rFonts w:hint="eastAsia"/>
                <w:color w:val="000000"/>
                <w:szCs w:val="21"/>
              </w:rPr>
              <w:t>F6.1.3</w:t>
            </w:r>
          </w:p>
        </w:tc>
        <w:tc>
          <w:tcPr>
            <w:tcW w:w="893" w:type="dxa"/>
            <w:shd w:val="clear" w:color="auto" w:fill="auto"/>
          </w:tcPr>
          <w:p>
            <w:pPr>
              <w:shd w:val="clear"/>
            </w:pPr>
            <w:r>
              <w:rPr>
                <w:rFonts w:hint="eastAsia"/>
              </w:rPr>
              <w:t>运行证据</w:t>
            </w:r>
          </w:p>
        </w:tc>
        <w:tc>
          <w:tcPr>
            <w:tcW w:w="9373" w:type="dxa"/>
            <w:shd w:val="clear" w:color="auto" w:fill="auto"/>
          </w:tcPr>
          <w:p>
            <w:pPr>
              <w:shd w:val="clear"/>
              <w:jc w:val="left"/>
              <w:rPr>
                <w:rFonts w:ascii="CIDFont+F5" w:hAnsi="CIDFont+F5" w:eastAsia="CIDFont+F5"/>
              </w:rPr>
            </w:pPr>
            <w:r>
              <w:rPr>
                <w:rFonts w:hint="eastAsia" w:ascii="CIDFont+F5" w:hAnsi="CIDFont+F5" w:eastAsia="CIDFont+F5"/>
              </w:rPr>
              <w:t>该组织为应对风险和机遇而采取的行动与以下方面相称：</w:t>
            </w:r>
          </w:p>
          <w:p>
            <w:pPr>
              <w:shd w:val="clea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shd w:val="clea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366" w:type="dxa"/>
            <w:gridSpan w:val="2"/>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1055" w:type="dxa"/>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rFonts w:hint="eastAsia" w:eastAsia="宋体"/>
                <w:highlight w:val="none"/>
                <w:lang w:eastAsia="zh-CN"/>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《质量和食品安全目标及分解考核记录》</w:t>
            </w:r>
            <w:r>
              <w:rPr>
                <w:rFonts w:hint="eastAsia"/>
                <w:highlight w:val="none"/>
                <w:lang w:eastAsia="zh-CN"/>
              </w:rPr>
              <w:t>、</w:t>
            </w:r>
            <w:r>
              <w:rPr>
                <w:highlight w:val="none"/>
              </w:rPr>
              <w:sym w:font="Wingdings" w:char="00A8"/>
            </w:r>
            <w:r>
              <w:rPr>
                <w:rFonts w:hint="eastAsia"/>
                <w:highlight w:val="none"/>
                <w:lang w:eastAsia="zh-CN"/>
              </w:rPr>
              <w:t>《目标完成情况分析报告》</w:t>
            </w:r>
          </w:p>
        </w:tc>
        <w:tc>
          <w:tcPr>
            <w:tcW w:w="1366"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822"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组织建立了与方针一致的文件化的管理目标。为实现总的质量</w:t>
            </w:r>
            <w:r>
              <w:rPr>
                <w:rFonts w:hint="eastAsia" w:ascii="宋体" w:hAnsi="宋体"/>
                <w:szCs w:val="21"/>
                <w:highlight w:val="none"/>
              </w:rPr>
              <w:t>/食品安全</w:t>
            </w:r>
            <w:r>
              <w:rPr>
                <w:rFonts w:hint="eastAsia"/>
                <w:highlight w:val="none"/>
              </w:rPr>
              <w:t>目标而建立的各层级质量</w:t>
            </w:r>
            <w:r>
              <w:rPr>
                <w:rFonts w:hint="eastAsia" w:ascii="宋体" w:hAnsi="宋体"/>
                <w:szCs w:val="21"/>
                <w:highlight w:val="none"/>
              </w:rPr>
              <w:t>/食品安全</w:t>
            </w:r>
            <w:r>
              <w:rPr>
                <w:rFonts w:hint="eastAsia"/>
                <w:highlight w:val="none"/>
              </w:rPr>
              <w:t>目标具体、有针对性、可测量并且可实现。</w:t>
            </w:r>
          </w:p>
          <w:p>
            <w:pPr>
              <w:shd w:val="clear"/>
              <w:rPr>
                <w:rFonts w:hint="eastAsia"/>
                <w:highlight w:val="none"/>
              </w:rPr>
            </w:pPr>
            <w:r>
              <w:rPr>
                <w:rFonts w:hint="eastAsia"/>
                <w:highlight w:val="none"/>
              </w:rPr>
              <w:t>总质量</w:t>
            </w:r>
            <w:r>
              <w:rPr>
                <w:rFonts w:hint="eastAsia" w:ascii="宋体" w:hAnsi="宋体"/>
                <w:szCs w:val="21"/>
                <w:highlight w:val="none"/>
              </w:rPr>
              <w:t>/食品安全</w:t>
            </w:r>
            <w:r>
              <w:rPr>
                <w:rFonts w:hint="eastAsia"/>
                <w:highlight w:val="none"/>
              </w:rPr>
              <w:t>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1110"/>
              <w:gridCol w:w="299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44"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目标</w:t>
                  </w:r>
                </w:p>
              </w:tc>
              <w:tc>
                <w:tcPr>
                  <w:tcW w:w="111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考核频次</w:t>
                  </w:r>
                </w:p>
              </w:tc>
              <w:tc>
                <w:tcPr>
                  <w:tcW w:w="2990" w:type="dxa"/>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2094" w:type="dxa"/>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完成情况（</w:t>
                  </w:r>
                  <w:r>
                    <w:rPr>
                      <w:rFonts w:hint="eastAsia"/>
                      <w:color w:val="000000"/>
                      <w:szCs w:val="18"/>
                      <w:lang w:val="en-US" w:eastAsia="zh-CN"/>
                    </w:rPr>
                    <w:t>2021年度-2022年度第1-2季度</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544"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监管部门</w:t>
                  </w:r>
                  <w:r>
                    <w:rPr>
                      <w:rFonts w:hint="eastAsia" w:ascii="宋体" w:hAnsi="宋体" w:eastAsia="宋体" w:cs="宋体"/>
                      <w:color w:val="auto"/>
                      <w:kern w:val="0"/>
                      <w:sz w:val="21"/>
                      <w:szCs w:val="21"/>
                    </w:rPr>
                    <w:t>抽检合格率100%</w:t>
                  </w:r>
                </w:p>
              </w:tc>
              <w:tc>
                <w:tcPr>
                  <w:tcW w:w="1110" w:type="dxa"/>
                  <w:vAlign w:val="center"/>
                </w:tcPr>
                <w:p>
                  <w:pPr>
                    <w:spacing w:line="300" w:lineRule="exact"/>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季度</w:t>
                  </w:r>
                </w:p>
              </w:tc>
              <w:tc>
                <w:tcPr>
                  <w:tcW w:w="2990" w:type="dxa"/>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监管部门抽检合格次数/监管部门抽检次数*100%</w:t>
                  </w:r>
                </w:p>
              </w:tc>
              <w:tc>
                <w:tcPr>
                  <w:tcW w:w="209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44"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食品安全投诉率低于1%</w:t>
                  </w:r>
                </w:p>
              </w:tc>
              <w:tc>
                <w:tcPr>
                  <w:tcW w:w="1110" w:type="dxa"/>
                  <w:vAlign w:val="center"/>
                </w:tcPr>
                <w:p>
                  <w:pPr>
                    <w:spacing w:line="300" w:lineRule="exact"/>
                    <w:rPr>
                      <w:rFonts w:hint="eastAsia" w:ascii="Calibri" w:hAnsi="Calibri" w:eastAsia="宋体" w:cs="Times New Roman"/>
                      <w:bCs/>
                      <w:kern w:val="2"/>
                      <w:sz w:val="21"/>
                      <w:szCs w:val="21"/>
                      <w:lang w:val="en-US" w:eastAsia="zh-CN" w:bidi="ar-SA"/>
                    </w:rPr>
                  </w:pPr>
                  <w:r>
                    <w:rPr>
                      <w:rFonts w:hint="eastAsia" w:ascii="宋体" w:hAnsi="宋体" w:eastAsia="宋体" w:cs="宋体"/>
                      <w:color w:val="auto"/>
                      <w:kern w:val="0"/>
                      <w:sz w:val="21"/>
                      <w:szCs w:val="21"/>
                      <w:lang w:val="en-US" w:eastAsia="zh-CN" w:bidi="ar-SA"/>
                    </w:rPr>
                    <w:t>季度</w:t>
                  </w:r>
                </w:p>
              </w:tc>
              <w:tc>
                <w:tcPr>
                  <w:tcW w:w="2990" w:type="dxa"/>
                  <w:vAlign w:val="center"/>
                </w:tcPr>
                <w:p>
                  <w:pPr>
                    <w:spacing w:line="300" w:lineRule="exact"/>
                    <w:rPr>
                      <w:rFonts w:hint="eastAsia" w:ascii="Calibri" w:hAnsi="Calibri" w:eastAsia="宋体" w:cs="Times New Roman"/>
                      <w:bCs/>
                      <w:kern w:val="2"/>
                      <w:sz w:val="21"/>
                      <w:szCs w:val="21"/>
                      <w:lang w:val="en-US" w:eastAsia="zh-CN" w:bidi="ar-SA"/>
                    </w:rPr>
                  </w:pPr>
                  <w:r>
                    <w:rPr>
                      <w:rFonts w:hint="eastAsia" w:ascii="Calibri" w:hAnsi="Calibri" w:eastAsia="宋体" w:cs="Times New Roman"/>
                      <w:bCs/>
                      <w:szCs w:val="21"/>
                      <w:lang w:val="en-US" w:eastAsia="zh-CN"/>
                    </w:rPr>
                    <w:t>食品安全投诉次数/产品出厂次数*100%</w:t>
                  </w:r>
                </w:p>
              </w:tc>
              <w:tc>
                <w:tcPr>
                  <w:tcW w:w="209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544"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食品安全事故为0</w:t>
                  </w:r>
                </w:p>
              </w:tc>
              <w:tc>
                <w:tcPr>
                  <w:tcW w:w="1110" w:type="dxa"/>
                  <w:vAlign w:val="center"/>
                </w:tcPr>
                <w:p>
                  <w:pPr>
                    <w:spacing w:line="300" w:lineRule="exact"/>
                    <w:rPr>
                      <w:rFonts w:hint="eastAsia" w:ascii="Calibri" w:hAnsi="Calibri" w:eastAsia="宋体" w:cs="Times New Roman"/>
                      <w:bCs/>
                      <w:kern w:val="2"/>
                      <w:sz w:val="21"/>
                      <w:szCs w:val="21"/>
                      <w:lang w:val="en-US" w:eastAsia="zh-CN" w:bidi="ar-SA"/>
                    </w:rPr>
                  </w:pPr>
                  <w:r>
                    <w:rPr>
                      <w:rFonts w:hint="eastAsia" w:ascii="宋体" w:hAnsi="宋体" w:eastAsia="宋体" w:cs="宋体"/>
                      <w:color w:val="auto"/>
                      <w:kern w:val="0"/>
                      <w:sz w:val="21"/>
                      <w:szCs w:val="21"/>
                      <w:lang w:val="en-US" w:eastAsia="zh-CN" w:bidi="ar-SA"/>
                    </w:rPr>
                    <w:t>季度</w:t>
                  </w:r>
                </w:p>
              </w:tc>
              <w:tc>
                <w:tcPr>
                  <w:tcW w:w="2990" w:type="dxa"/>
                  <w:vAlign w:val="center"/>
                </w:tcPr>
                <w:p>
                  <w:pPr>
                    <w:spacing w:line="300" w:lineRule="exact"/>
                    <w:rPr>
                      <w:rFonts w:hint="eastAsia" w:ascii="Calibri" w:hAnsi="Calibri" w:eastAsia="宋体" w:cs="Times New Roman"/>
                      <w:bCs/>
                      <w:kern w:val="2"/>
                      <w:sz w:val="21"/>
                      <w:szCs w:val="21"/>
                      <w:lang w:val="en-US" w:eastAsia="zh-CN" w:bidi="ar-SA"/>
                    </w:rPr>
                  </w:pPr>
                  <w:r>
                    <w:rPr>
                      <w:rFonts w:hint="eastAsia" w:ascii="宋体" w:hAnsi="宋体" w:eastAsia="宋体" w:cs="宋体"/>
                      <w:color w:val="auto"/>
                      <w:kern w:val="0"/>
                      <w:sz w:val="21"/>
                      <w:szCs w:val="21"/>
                    </w:rPr>
                    <w:t>按照</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实际发生次数</w:t>
                  </w:r>
                </w:p>
              </w:tc>
              <w:tc>
                <w:tcPr>
                  <w:tcW w:w="2094"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4"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顾客满意度≥96%</w:t>
                  </w:r>
                </w:p>
              </w:tc>
              <w:tc>
                <w:tcPr>
                  <w:tcW w:w="1110" w:type="dxa"/>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季度</w:t>
                  </w:r>
                </w:p>
              </w:tc>
              <w:tc>
                <w:tcPr>
                  <w:tcW w:w="2990" w:type="dxa"/>
                  <w:vAlign w:val="center"/>
                </w:tcPr>
                <w:p>
                  <w:pPr>
                    <w:spacing w:line="300" w:lineRule="exact"/>
                    <w:rPr>
                      <w:rFonts w:hint="default" w:ascii="宋体" w:hAnsi="宋体" w:eastAsia="宋体" w:cs="宋体"/>
                      <w:color w:val="auto"/>
                      <w:kern w:val="0"/>
                      <w:sz w:val="21"/>
                      <w:szCs w:val="21"/>
                      <w:lang w:val="en-US" w:eastAsia="zh-CN" w:bidi="ar-SA"/>
                    </w:rPr>
                  </w:pPr>
                  <w:r>
                    <w:rPr>
                      <w:rFonts w:hint="eastAsia" w:ascii="宋体" w:hAnsi="宋体"/>
                      <w:color w:val="auto"/>
                      <w:kern w:val="0"/>
                      <w:sz w:val="21"/>
                      <w:szCs w:val="21"/>
                      <w:lang w:eastAsia="zh-CN"/>
                    </w:rPr>
                    <w:t>调查分数之和</w:t>
                  </w:r>
                  <w:r>
                    <w:rPr>
                      <w:rFonts w:hint="eastAsia" w:ascii="宋体" w:hAnsi="宋体"/>
                      <w:color w:val="auto"/>
                      <w:kern w:val="0"/>
                      <w:sz w:val="21"/>
                      <w:szCs w:val="21"/>
                      <w:lang w:val="en-US" w:eastAsia="zh-CN"/>
                    </w:rPr>
                    <w:t>/（调查表数*100分）</w:t>
                  </w:r>
                </w:p>
              </w:tc>
              <w:tc>
                <w:tcPr>
                  <w:tcW w:w="2094"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44" w:type="dxa"/>
                </w:tcPr>
                <w:p>
                  <w:pPr>
                    <w:widowControl/>
                    <w:spacing w:before="40"/>
                    <w:jc w:val="left"/>
                    <w:rPr>
                      <w:color w:val="000000"/>
                      <w:szCs w:val="18"/>
                      <w:highlight w:val="none"/>
                    </w:rPr>
                  </w:pPr>
                </w:p>
              </w:tc>
              <w:tc>
                <w:tcPr>
                  <w:tcW w:w="1110" w:type="dxa"/>
                </w:tcPr>
                <w:p>
                  <w:pPr>
                    <w:widowControl/>
                    <w:spacing w:before="40"/>
                    <w:jc w:val="left"/>
                    <w:rPr>
                      <w:color w:val="000000"/>
                      <w:szCs w:val="18"/>
                      <w:highlight w:val="none"/>
                    </w:rPr>
                  </w:pPr>
                </w:p>
              </w:tc>
              <w:tc>
                <w:tcPr>
                  <w:tcW w:w="2990" w:type="dxa"/>
                </w:tcPr>
                <w:p>
                  <w:pPr>
                    <w:widowControl/>
                    <w:spacing w:before="40"/>
                    <w:jc w:val="left"/>
                    <w:rPr>
                      <w:color w:val="000000"/>
                      <w:szCs w:val="18"/>
                      <w:highlight w:val="none"/>
                    </w:rPr>
                  </w:pPr>
                </w:p>
              </w:tc>
              <w:tc>
                <w:tcPr>
                  <w:tcW w:w="2094"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44" w:type="dxa"/>
                </w:tcPr>
                <w:p>
                  <w:pPr>
                    <w:widowControl/>
                    <w:spacing w:before="40"/>
                    <w:jc w:val="left"/>
                    <w:rPr>
                      <w:color w:val="000000"/>
                      <w:szCs w:val="18"/>
                      <w:highlight w:val="none"/>
                    </w:rPr>
                  </w:pPr>
                </w:p>
              </w:tc>
              <w:tc>
                <w:tcPr>
                  <w:tcW w:w="1110" w:type="dxa"/>
                </w:tcPr>
                <w:p>
                  <w:pPr>
                    <w:widowControl/>
                    <w:spacing w:before="40"/>
                    <w:jc w:val="left"/>
                    <w:rPr>
                      <w:color w:val="000000"/>
                      <w:szCs w:val="18"/>
                      <w:highlight w:val="none"/>
                    </w:rPr>
                  </w:pPr>
                </w:p>
              </w:tc>
              <w:tc>
                <w:tcPr>
                  <w:tcW w:w="2990" w:type="dxa"/>
                </w:tcPr>
                <w:p>
                  <w:pPr>
                    <w:widowControl/>
                    <w:spacing w:before="40"/>
                    <w:jc w:val="left"/>
                    <w:rPr>
                      <w:color w:val="000000"/>
                      <w:szCs w:val="18"/>
                      <w:highlight w:val="none"/>
                    </w:rPr>
                  </w:pPr>
                </w:p>
              </w:tc>
              <w:tc>
                <w:tcPr>
                  <w:tcW w:w="2094" w:type="dxa"/>
                </w:tcPr>
                <w:p>
                  <w:pPr>
                    <w:widowControl/>
                    <w:spacing w:before="40"/>
                    <w:jc w:val="left"/>
                    <w:rPr>
                      <w:color w:val="000000"/>
                      <w:szCs w:val="18"/>
                      <w:highlight w:val="none"/>
                    </w:rPr>
                  </w:pPr>
                </w:p>
              </w:tc>
            </w:tr>
          </w:tbl>
          <w:p>
            <w:pPr>
              <w:shd w:val="clear"/>
              <w:rPr>
                <w:rFonts w:hint="default" w:eastAsia="宋体"/>
                <w:highlight w:val="none"/>
                <w:u w:val="none"/>
                <w:lang w:val="en-US" w:eastAsia="zh-CN"/>
              </w:rPr>
            </w:pPr>
            <w:r>
              <w:rPr>
                <w:rFonts w:ascii="宋体" w:hAnsi="宋体"/>
                <w:highlight w:val="none"/>
                <w:u w:val="none"/>
              </w:rPr>
              <w:fldChar w:fldCharType="begin"/>
            </w:r>
            <w:r>
              <w:rPr>
                <w:rFonts w:ascii="宋体" w:hAnsi="宋体"/>
                <w:highlight w:val="none"/>
                <w:u w:val="none"/>
              </w:rPr>
              <w:instrText xml:space="preserve"> </w:instrText>
            </w:r>
            <w:r>
              <w:rPr>
                <w:rFonts w:hint="eastAsia" w:ascii="宋体" w:hAnsi="宋体"/>
                <w:highlight w:val="none"/>
                <w:u w:val="none"/>
              </w:rPr>
              <w:instrText xml:space="preserve">eq \o\ac(□</w:instrText>
            </w:r>
            <w:r>
              <w:rPr>
                <w:rFonts w:hint="eastAsia" w:ascii="宋体" w:hAnsi="宋体"/>
                <w:highlight w:val="none"/>
                <w:u w:val="none"/>
                <w:lang w:eastAsia="zh-CN"/>
              </w:rPr>
              <w:instrText xml:space="preserve">,</w:instrText>
            </w:r>
            <w:r>
              <w:rPr>
                <w:rFonts w:hint="eastAsia" w:ascii="宋体" w:hAnsi="宋体"/>
                <w:position w:val="2"/>
                <w:sz w:val="13"/>
                <w:highlight w:val="none"/>
                <w:u w:val="none"/>
                <w:lang w:eastAsia="zh-CN"/>
              </w:rPr>
              <w:instrText xml:space="preserve">√</w:instrText>
            </w:r>
            <w:r>
              <w:rPr>
                <w:rFonts w:hint="eastAsia" w:ascii="宋体" w:hAnsi="宋体"/>
                <w:highlight w:val="none"/>
                <w:u w:val="none"/>
              </w:rPr>
              <w:instrText xml:space="preserve">)</w:instrText>
            </w:r>
            <w:r>
              <w:rPr>
                <w:rFonts w:ascii="宋体" w:hAnsi="宋体"/>
                <w:highlight w:val="none"/>
                <w:u w:val="none"/>
              </w:rPr>
              <w:fldChar w:fldCharType="end"/>
            </w:r>
            <w:r>
              <w:rPr>
                <w:rFonts w:hint="eastAsia"/>
                <w:highlight w:val="none"/>
                <w:u w:val="none"/>
              </w:rPr>
              <w:t>目标已实现</w:t>
            </w:r>
            <w:r>
              <w:rPr>
                <w:rFonts w:hint="eastAsia"/>
                <w:highlight w:val="none"/>
                <w:u w:val="none"/>
                <w:lang w:eastAsia="zh-CN"/>
              </w:rPr>
              <w:t>，</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366"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443" w:hRule="atLeast"/>
        </w:trPr>
        <w:tc>
          <w:tcPr>
            <w:tcW w:w="1518" w:type="dxa"/>
            <w:vMerge w:val="restart"/>
            <w:shd w:val="clear" w:color="auto" w:fill="auto"/>
          </w:tcPr>
          <w:p>
            <w:pPr>
              <w:shd w:val="clear"/>
              <w:rPr>
                <w:color w:val="000000"/>
                <w:szCs w:val="21"/>
              </w:rPr>
            </w:pPr>
            <w:r>
              <w:rPr>
                <w:rFonts w:hint="eastAsia"/>
                <w:color w:val="000000"/>
                <w:szCs w:val="21"/>
              </w:rPr>
              <w:t>变更的策划</w:t>
            </w:r>
          </w:p>
          <w:p>
            <w:pPr>
              <w:shd w:val="clear"/>
            </w:pPr>
          </w:p>
        </w:tc>
        <w:tc>
          <w:tcPr>
            <w:tcW w:w="1055" w:type="dxa"/>
            <w:vMerge w:val="restart"/>
            <w:shd w:val="clear" w:color="auto" w:fill="auto"/>
          </w:tcPr>
          <w:p>
            <w:pPr>
              <w:shd w:val="clear"/>
              <w:rPr>
                <w:color w:val="000000"/>
                <w:szCs w:val="21"/>
              </w:rPr>
            </w:pPr>
            <w:r>
              <w:rPr>
                <w:rFonts w:hint="eastAsia"/>
                <w:color w:val="000000"/>
                <w:szCs w:val="21"/>
              </w:rPr>
              <w:t>Q6.3</w:t>
            </w:r>
          </w:p>
          <w:p>
            <w:pPr>
              <w:shd w:val="clear"/>
            </w:pPr>
            <w:r>
              <w:rPr>
                <w:rFonts w:hint="eastAsia"/>
                <w:color w:val="000000"/>
                <w:szCs w:val="21"/>
              </w:rPr>
              <w:t>F6.3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管理手册</w:t>
            </w:r>
            <w:r>
              <w:rPr>
                <w:rFonts w:hint="eastAsia" w:ascii="宋体" w:hAnsi="宋体"/>
                <w:lang w:eastAsia="zh-CN"/>
              </w:rPr>
              <w:t>》</w:t>
            </w:r>
            <w:r>
              <w:rPr>
                <w:rFonts w:hint="eastAsia"/>
              </w:rPr>
              <w:t>第6.3章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355"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color w:val="000000"/>
                <w:szCs w:val="21"/>
              </w:rPr>
              <w:t xml:space="preserve"> </w:t>
            </w:r>
            <w:r>
              <w:rPr>
                <w:rFonts w:hint="eastAsia"/>
              </w:rPr>
              <w:t>组织对相关管理体系进行变更时，变更应按所策划的方式实施；审核周期内的重大变更有：</w:t>
            </w:r>
          </w:p>
          <w:p>
            <w:pPr>
              <w:shd w:val="clear"/>
              <w:spacing w:before="40" w:after="40"/>
              <w:rPr>
                <w:rFonts w:hint="eastAsia"/>
              </w:rPr>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人员能力评价见F7.2条款审核记录</w:t>
            </w:r>
            <w:r>
              <w:rPr>
                <w:rFonts w:hint="eastAsia"/>
                <w:lang w:eastAsia="zh-CN"/>
              </w:rPr>
              <w:t>）</w:t>
            </w:r>
            <w:r>
              <w:rPr>
                <w:rFonts w:hint="eastAsia"/>
                <w:lang w:val="en-US" w:eastAsia="zh-CN"/>
              </w:rPr>
              <w:t xml:space="preserve"> </w:t>
            </w:r>
            <w:r>
              <w:rPr>
                <w:rFonts w:hint="eastAsia"/>
              </w:rPr>
              <w:t xml:space="preserve"> □生产工艺/服务流程 </w:t>
            </w:r>
            <w:r>
              <w:rPr>
                <w:rFonts w:hint="eastAsia"/>
                <w:lang w:val="en-US" w:eastAsia="zh-CN"/>
              </w:rPr>
              <w:t xml:space="preserve"> </w:t>
            </w:r>
            <w:r>
              <w:rPr>
                <w:rFonts w:hint="eastAsia"/>
              </w:rPr>
              <w:sym w:font="Wingdings 2" w:char="00A3"/>
            </w:r>
            <w:r>
              <w:rPr>
                <w:rFonts w:hint="eastAsia"/>
              </w:rPr>
              <w:t xml:space="preserve">主要设备设施 □主要检测设备 </w:t>
            </w:r>
            <w:r>
              <w:rPr/>
              <w:sym w:font="Wingdings" w:char="00A8"/>
            </w:r>
            <w:r>
              <w:rPr>
                <w:rFonts w:hint="eastAsia"/>
              </w:rPr>
              <w:t>其他——</w:t>
            </w:r>
            <w:r>
              <w:rPr>
                <w:rFonts w:hint="eastAsia"/>
                <w:lang w:val="en-US" w:eastAsia="zh-CN"/>
              </w:rPr>
              <w:t>审核周期内</w:t>
            </w:r>
            <w:r>
              <w:rPr>
                <w:rFonts w:hint="eastAsia"/>
              </w:rPr>
              <w:t>未发生</w:t>
            </w:r>
          </w:p>
          <w:p>
            <w:pPr>
              <w:pStyle w:val="2"/>
              <w:shd w:val="clea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pPr>
                    <w:shd w:val="clear"/>
                  </w:pPr>
                  <w:r>
                    <w:rPr>
                      <w:rFonts w:hint="eastAsia"/>
                    </w:rPr>
                    <w:t>体系变更的内容说明</w:t>
                  </w:r>
                </w:p>
              </w:tc>
              <w:tc>
                <w:tcPr>
                  <w:tcW w:w="3632" w:type="dxa"/>
                </w:tcPr>
                <w:p>
                  <w:pPr>
                    <w:shd w:val="clear"/>
                  </w:pPr>
                </w:p>
              </w:tc>
              <w:tc>
                <w:tcPr>
                  <w:tcW w:w="3015"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评价内容</w:t>
                  </w:r>
                </w:p>
              </w:tc>
              <w:tc>
                <w:tcPr>
                  <w:tcW w:w="3632" w:type="dxa"/>
                </w:tcPr>
                <w:p>
                  <w:pPr>
                    <w:shd w:val="clear"/>
                  </w:pPr>
                  <w:r>
                    <w:rPr>
                      <w:rFonts w:hint="eastAsia"/>
                    </w:rPr>
                    <w:t>评价具体描述</w:t>
                  </w:r>
                </w:p>
              </w:tc>
              <w:tc>
                <w:tcPr>
                  <w:tcW w:w="3015" w:type="dxa"/>
                </w:tcPr>
                <w:p>
                  <w:pPr>
                    <w:shd w:val="clea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变更目的</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其潜在后果</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pPr>
                    <w:shd w:val="clear"/>
                  </w:pPr>
                  <w:r>
                    <w:rPr>
                      <w:rFonts w:hint="eastAsia"/>
                    </w:rPr>
                    <w:t>质量管理体系的完整性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资源的可获得性</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shd w:val="clear"/>
                  </w:pPr>
                  <w:r>
                    <w:rPr>
                      <w:rFonts w:hint="eastAsia"/>
                    </w:rPr>
                    <w:t>职责和权限的分配或再分配</w:t>
                  </w:r>
                </w:p>
              </w:tc>
              <w:tc>
                <w:tcPr>
                  <w:tcW w:w="3632" w:type="dxa"/>
                </w:tcPr>
                <w:p>
                  <w:pPr>
                    <w:shd w:val="clear"/>
                  </w:pPr>
                  <w:r>
                    <w:rPr>
                      <w:rFonts w:hint="eastAsia"/>
                    </w:rPr>
                    <w:t>——</w:t>
                  </w:r>
                </w:p>
              </w:tc>
              <w:tc>
                <w:tcPr>
                  <w:tcW w:w="3015" w:type="dxa"/>
                </w:tcPr>
                <w:p>
                  <w:pPr>
                    <w:shd w:val="clear"/>
                  </w:pPr>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shd w:val="clear"/>
              <w:rPr>
                <w:rFonts w:hint="default" w:eastAsia="宋体"/>
                <w:lang w:val="en-US" w:eastAsia="zh-CN"/>
              </w:rPr>
            </w:pPr>
            <w:r>
              <w:rPr>
                <w:rFonts w:hint="eastAsia"/>
                <w:lang w:val="en-US" w:eastAsia="zh-CN"/>
              </w:rPr>
              <w:t xml:space="preserve">     </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43" w:hRule="atLeast"/>
        </w:trPr>
        <w:tc>
          <w:tcPr>
            <w:tcW w:w="1518" w:type="dxa"/>
            <w:vMerge w:val="restart"/>
            <w:shd w:val="clear" w:color="auto" w:fill="auto"/>
          </w:tcPr>
          <w:p>
            <w:pPr>
              <w:shd w:val="clear"/>
            </w:pPr>
            <w:r>
              <w:rPr>
                <w:rFonts w:hint="eastAsia"/>
              </w:rPr>
              <w:t>资源（总则）</w:t>
            </w:r>
          </w:p>
        </w:tc>
        <w:tc>
          <w:tcPr>
            <w:tcW w:w="1055" w:type="dxa"/>
            <w:vMerge w:val="restart"/>
            <w:shd w:val="clear" w:color="auto" w:fill="auto"/>
          </w:tcPr>
          <w:p>
            <w:pPr>
              <w:shd w:val="clear"/>
            </w:pPr>
            <w:r>
              <w:rPr>
                <w:rFonts w:hint="eastAsia"/>
              </w:rPr>
              <w:t>Q7.1</w:t>
            </w:r>
            <w:r>
              <w:rPr>
                <w:rFonts w:hint="eastAsia"/>
                <w:lang w:val="en-US" w:eastAsia="zh-CN"/>
              </w:rPr>
              <w:t>.1</w:t>
            </w:r>
          </w:p>
          <w:p>
            <w:pPr>
              <w:shd w:val="clear"/>
              <w:rPr>
                <w:rFonts w:hint="eastAsia"/>
                <w:lang w:val="en-US" w:eastAsia="zh-CN"/>
              </w:rPr>
            </w:pPr>
            <w:r>
              <w:rPr>
                <w:rFonts w:hint="eastAsia"/>
              </w:rPr>
              <w:t>F7.1</w:t>
            </w:r>
            <w:r>
              <w:rPr>
                <w:rFonts w:hint="eastAsia"/>
                <w:lang w:val="en-US" w:eastAsia="zh-CN"/>
              </w:rPr>
              <w:t>.1</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sym w:font="Wingdings" w:char="00FE"/>
            </w:r>
            <w:r>
              <w:rPr>
                <w:rFonts w:hint="eastAsia"/>
                <w:lang w:eastAsia="zh-CN"/>
              </w:rPr>
              <w:t>《管理手册》</w:t>
            </w:r>
            <w:r>
              <w:rPr>
                <w:rFonts w:hint="eastAsia"/>
              </w:rPr>
              <w:t>第7.1章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p>
            <w:pPr>
              <w:shd w:val="clear"/>
            </w:pPr>
          </w:p>
          <w:p>
            <w:pPr>
              <w:shd w:val="clear"/>
            </w:pPr>
          </w:p>
          <w:p>
            <w:pPr>
              <w:shd w:val="clear"/>
            </w:pPr>
          </w:p>
          <w:p>
            <w:pPr>
              <w:shd w:val="clear"/>
            </w:pPr>
          </w:p>
          <w:p>
            <w:pPr>
              <w:shd w:val="clear"/>
            </w:pPr>
          </w:p>
          <w:p>
            <w:pPr>
              <w:shd w:val="clear"/>
            </w:pP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1572"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pPr>
            <w:r>
              <w:rPr>
                <w:rFonts w:hint="eastAsia"/>
              </w:rPr>
              <w:t xml:space="preserve">和最高管理层确定并提供所需的资源，以建立、实施、保持和持续改进质量管理体系。 </w:t>
            </w:r>
          </w:p>
          <w:p>
            <w:pPr>
              <w:numPr>
                <w:ilvl w:val="0"/>
                <w:numId w:val="4"/>
              </w:numPr>
              <w:shd w:val="clear"/>
            </w:pPr>
            <w:r>
              <w:rPr>
                <w:rFonts w:hint="eastAsia"/>
              </w:rPr>
              <w:t>现有内部资源的能力；</w:t>
            </w:r>
          </w:p>
          <w:p>
            <w:pPr>
              <w:ind w:firstLine="210" w:firstLineChars="100"/>
              <w:rPr>
                <w:highlight w:val="none"/>
              </w:rPr>
            </w:pPr>
            <w:r>
              <w:rPr>
                <w:rFonts w:hint="eastAsia"/>
                <w:highlight w:val="none"/>
                <w:u w:val="single"/>
                <w:lang w:val="en-US" w:eastAsia="zh-CN"/>
              </w:rPr>
              <w:t>新仓库</w:t>
            </w:r>
            <w:r>
              <w:rPr>
                <w:rFonts w:hint="eastAsia"/>
                <w:highlight w:val="none"/>
                <w:u w:val="single"/>
              </w:rPr>
              <w:t>厂区面积：</w:t>
            </w:r>
            <w:r>
              <w:rPr>
                <w:rFonts w:hint="eastAsia"/>
                <w:highlight w:val="none"/>
                <w:u w:val="single"/>
                <w:lang w:val="en-US" w:eastAsia="zh-CN"/>
              </w:rPr>
              <w:t>68 亩</w:t>
            </w:r>
            <w:r>
              <w:rPr>
                <w:rFonts w:hint="eastAsia"/>
                <w:highlight w:val="none"/>
                <w:u w:val="single"/>
              </w:rPr>
              <w:t xml:space="preserve"> ；建筑面积  </w:t>
            </w:r>
            <w:r>
              <w:rPr>
                <w:rFonts w:hint="eastAsia"/>
                <w:highlight w:val="none"/>
                <w:u w:val="single"/>
                <w:lang w:val="en-US" w:eastAsia="zh-CN"/>
              </w:rPr>
              <w:t xml:space="preserve">36亩 </w:t>
            </w:r>
            <w:r>
              <w:rPr>
                <w:rFonts w:hint="eastAsia"/>
                <w:highlight w:val="none"/>
                <w:u w:val="single"/>
              </w:rPr>
              <w:t>；</w:t>
            </w:r>
            <w:r>
              <w:rPr>
                <w:rFonts w:hint="eastAsia"/>
                <w:highlight w:val="none"/>
                <w:u w:val="single"/>
                <w:lang w:val="en-US" w:eastAsia="zh-CN"/>
              </w:rPr>
              <w:t>办公楼1栋（含1个化验室）</w:t>
            </w:r>
            <w:r>
              <w:rPr>
                <w:rFonts w:hint="eastAsia"/>
                <w:highlight w:val="none"/>
                <w:u w:val="single"/>
              </w:rPr>
              <w:t>；</w:t>
            </w:r>
            <w:r>
              <w:rPr>
                <w:rFonts w:hint="eastAsia"/>
                <w:highlight w:val="none"/>
                <w:u w:val="single"/>
                <w:lang w:val="en-US" w:eastAsia="zh-CN"/>
              </w:rPr>
              <w:t>9栋18个仓</w:t>
            </w:r>
            <w:r>
              <w:rPr>
                <w:rFonts w:hint="eastAsia"/>
                <w:highlight w:val="none"/>
                <w:u w:val="single"/>
              </w:rPr>
              <w:t>；</w:t>
            </w:r>
          </w:p>
          <w:p>
            <w:pPr>
              <w:shd w:val="clear"/>
              <w:rPr>
                <w:rFonts w:hint="eastAsia"/>
                <w:lang w:val="en-US" w:eastAsia="zh-CN"/>
              </w:rPr>
            </w:pPr>
          </w:p>
          <w:p>
            <w:pPr>
              <w:shd w:val="clear"/>
            </w:pPr>
            <w:r>
              <w:rPr>
                <w:rFonts w:hint="eastAsia"/>
              </w:rPr>
              <w:t xml:space="preserve">主要生产设备有： </w:t>
            </w:r>
            <w:r>
              <w:rPr>
                <w:rFonts w:hint="eastAsia"/>
                <w:u w:val="single"/>
                <w:lang w:val="en-US" w:eastAsia="zh-CN"/>
              </w:rPr>
              <w:t>粮食监控系统、粮仓</w:t>
            </w:r>
            <w:r>
              <w:rPr>
                <w:rFonts w:hint="eastAsia"/>
                <w:u w:val="single"/>
              </w:rPr>
              <w:t xml:space="preserve">  （列举2~4种）</w:t>
            </w:r>
          </w:p>
          <w:p>
            <w:pPr>
              <w:widowControl/>
              <w:shd w:val="clear"/>
              <w:spacing w:before="40"/>
              <w:jc w:val="left"/>
            </w:pPr>
            <w:r>
              <w:rPr>
                <w:rFonts w:hint="eastAsia"/>
              </w:rPr>
              <w:t>动力设施和辅助设施的状况，存在下列的场所：</w:t>
            </w:r>
          </w:p>
          <w:p>
            <w:pPr>
              <w:widowControl/>
              <w:shd w:val="clear"/>
              <w:spacing w:before="40"/>
              <w:ind w:firstLine="210" w:firstLineChars="100"/>
              <w:jc w:val="left"/>
            </w:pPr>
            <w:r>
              <w:rPr/>
              <w:sym w:font="Wingdings" w:char="00A8"/>
            </w:r>
            <w:r>
              <w:rPr>
                <w:rFonts w:hint="eastAsia"/>
              </w:rPr>
              <w:t xml:space="preserve">污水处理站  </w:t>
            </w:r>
            <w:r>
              <w:rPr/>
              <w:sym w:font="Wingdings" w:char="00A8"/>
            </w:r>
            <w:r>
              <w:rPr>
                <w:rFonts w:hint="eastAsia"/>
              </w:rPr>
              <w:t xml:space="preserve">锅炉房  </w:t>
            </w:r>
            <w:r>
              <w:rPr/>
              <w:sym w:font="Wingdings" w:char="00A8"/>
            </w:r>
            <w:r>
              <w:rPr>
                <w:rFonts w:hint="eastAsia"/>
              </w:rPr>
              <w:t xml:space="preserve">高压配电室  □低压配电室 </w:t>
            </w:r>
            <w:r>
              <w:rPr/>
              <w:sym w:font="Wingdings" w:char="00A8"/>
            </w:r>
            <w:r>
              <w:rPr>
                <w:rFonts w:hint="eastAsia"/>
              </w:rPr>
              <w:t xml:space="preserve">空压站  </w:t>
            </w:r>
            <w:r>
              <w:rPr/>
              <w:sym w:font="Wingdings" w:char="00A8"/>
            </w:r>
            <w:r>
              <w:rPr>
                <w:rFonts w:hint="eastAsia"/>
              </w:rPr>
              <w:t xml:space="preserve">制冷站   </w:t>
            </w:r>
            <w:r>
              <w:rPr/>
              <w:sym w:font="Wingdings" w:char="00A8"/>
            </w:r>
            <w:r>
              <w:rPr>
                <w:rFonts w:hint="eastAsia"/>
              </w:rPr>
              <w:t>消防中控室</w:t>
            </w:r>
          </w:p>
          <w:p>
            <w:pPr>
              <w:widowControl/>
              <w:shd w:val="clear"/>
              <w:spacing w:before="40"/>
              <w:ind w:left="210" w:leftChars="100"/>
              <w:jc w:val="left"/>
            </w:pPr>
            <w:r>
              <w:rPr/>
              <w:sym w:font="Wingdings" w:char="00A8"/>
            </w:r>
            <w:r>
              <w:rPr>
                <w:rFonts w:hint="eastAsia"/>
              </w:rPr>
              <w:t xml:space="preserve">消防泵房   □除尘装置 </w:t>
            </w:r>
            <w:r>
              <w:rPr/>
              <w:sym w:font="Wingdings" w:char="00A8"/>
            </w:r>
            <w:r>
              <w:rPr>
                <w:rFonts w:hint="eastAsia"/>
              </w:rPr>
              <w:t xml:space="preserve">尾气处理  </w:t>
            </w:r>
            <w:r>
              <w:rPr/>
              <w:sym w:font="Wingdings" w:char="00A8"/>
            </w:r>
            <w:r>
              <w:rPr>
                <w:rFonts w:hint="eastAsia"/>
              </w:rPr>
              <w:t xml:space="preserve">危化品库房   </w:t>
            </w:r>
            <w:r>
              <w:rPr/>
              <w:sym w:font="Wingdings" w:char="00A8"/>
            </w:r>
            <w:r>
              <w:rPr>
                <w:rFonts w:hint="eastAsia"/>
              </w:rPr>
              <w:t xml:space="preserve">危险废弃物存放处   </w:t>
            </w:r>
            <w:r>
              <w:rPr/>
              <w:sym w:font="Wingdings" w:char="00A8"/>
            </w:r>
            <w:r>
              <w:rPr>
                <w:rFonts w:hint="eastAsia"/>
              </w:rPr>
              <w:t>改建/扩建施工现场</w:t>
            </w:r>
            <w:r>
              <w:rPr>
                <w:rFonts w:hint="eastAsia"/>
                <w:lang w:val="en-US" w:eastAsia="zh-CN"/>
              </w:rPr>
              <w:t xml:space="preserve"> </w:t>
            </w:r>
            <w:r>
              <w:rPr>
                <w:rFonts w:hint="eastAsia"/>
              </w:rPr>
              <w:sym w:font="Wingdings 2" w:char="0052"/>
            </w:r>
            <w:r>
              <w:rPr>
                <w:rFonts w:hint="eastAsia"/>
              </w:rPr>
              <w:t xml:space="preserve">食堂  </w:t>
            </w:r>
            <w:r>
              <w:rPr/>
              <w:sym w:font="Wingdings" w:char="00A8"/>
            </w:r>
            <w:r>
              <w:rPr>
                <w:rFonts w:hint="eastAsia"/>
              </w:rPr>
              <w:t xml:space="preserve">宿舍  </w:t>
            </w:r>
            <w:r>
              <w:rPr/>
              <w:sym w:font="Wingdings" w:char="00A8"/>
            </w:r>
            <w:r>
              <w:rPr>
                <w:rFonts w:hint="eastAsia"/>
              </w:rPr>
              <w:t xml:space="preserve">班车  </w:t>
            </w:r>
            <w:r>
              <w:rPr/>
              <w:sym w:font="Wingdings" w:char="00FE"/>
            </w:r>
            <w:r>
              <w:rPr>
                <w:rFonts w:hint="eastAsia"/>
              </w:rPr>
              <w:t xml:space="preserve">其他——不涉及 </w:t>
            </w:r>
          </w:p>
          <w:p>
            <w:pPr>
              <w:shd w:val="clear"/>
            </w:pPr>
          </w:p>
          <w:p>
            <w:pPr>
              <w:shd w:val="clear"/>
              <w:rPr>
                <w:rFonts w:hint="eastAsia"/>
              </w:rPr>
            </w:pPr>
            <w:r>
              <w:rPr>
                <w:rFonts w:hint="eastAsia"/>
              </w:rPr>
              <w:t>特种设备：</w:t>
            </w:r>
          </w:p>
          <w:p>
            <w:pPr>
              <w:shd w:val="clear"/>
              <w:ind w:firstLine="210" w:firstLineChars="100"/>
              <w:rPr>
                <w:rFonts w:hint="eastAsia"/>
              </w:rPr>
            </w:pP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lang w:val="en-US" w:eastAsia="zh-CN"/>
              </w:rPr>
              <w:t xml:space="preserve"> </w:t>
            </w:r>
            <w:r>
              <w:rPr>
                <w:rFonts w:hint="eastAsia"/>
              </w:rPr>
              <w:sym w:font="Wingdings" w:char="00A8"/>
            </w:r>
            <w:r>
              <w:rPr>
                <w:rFonts w:hint="eastAsia"/>
              </w:rPr>
              <w:t>电梯</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不适用</w:t>
            </w:r>
          </w:p>
          <w:p>
            <w:pPr>
              <w:shd w:val="clear"/>
              <w:ind w:firstLine="210" w:firstLineChars="100"/>
            </w:pPr>
          </w:p>
          <w:p>
            <w:pPr>
              <w:shd w:val="clear"/>
            </w:pPr>
            <w:r>
              <w:rPr>
                <w:rFonts w:hint="eastAsia"/>
              </w:rPr>
              <w:t>特种设备管理：</w:t>
            </w:r>
            <w:r>
              <w:rPr>
                <w:rFonts w:hint="eastAsia"/>
              </w:rPr>
              <w:sym w:font="Wingdings" w:char="00A8"/>
            </w:r>
            <w:r>
              <w:rPr>
                <w:rFonts w:hint="eastAsia"/>
              </w:rPr>
              <w:t xml:space="preserve">进行了定期检验 </w:t>
            </w:r>
            <w:r>
              <w:rPr>
                <w:rFonts w:hint="eastAsia"/>
                <w:lang w:val="en-US" w:eastAsia="zh-CN"/>
              </w:rPr>
              <w:t xml:space="preserve"> </w:t>
            </w:r>
            <w:r>
              <w:rPr>
                <w:rFonts w:hint="eastAsia"/>
              </w:rPr>
              <w:t xml:space="preserve"> </w:t>
            </w:r>
            <w:r>
              <w:rPr>
                <w:rFonts w:hint="eastAsia"/>
              </w:rPr>
              <w:sym w:font="Wingdings" w:char="00A8"/>
            </w:r>
            <w:r>
              <w:rPr>
                <w:rFonts w:hint="eastAsia"/>
              </w:rPr>
              <w:t>未进行定期检验的有：</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r>
              <w:rPr>
                <w:rFonts w:hint="eastAsia"/>
                <w:lang w:val="en-US" w:eastAsia="zh-CN"/>
              </w:rPr>
              <w:t xml:space="preserve">   </w:t>
            </w:r>
            <w:r>
              <w:rPr>
                <w:rFonts w:hint="eastAsia"/>
              </w:rPr>
              <w:t xml:space="preserve">   </w:t>
            </w:r>
          </w:p>
          <w:p>
            <w:pPr>
              <w:pStyle w:val="2"/>
              <w:shd w:val="clear"/>
              <w:rPr>
                <w:rFonts w:hint="default"/>
                <w:lang w:val="en-US" w:eastAsia="zh-CN"/>
              </w:rPr>
            </w:pPr>
          </w:p>
          <w:p>
            <w:pPr>
              <w:numPr>
                <w:ilvl w:val="0"/>
                <w:numId w:val="5"/>
              </w:numPr>
              <w:shd w:val="clear"/>
              <w:rPr>
                <w:u w:val="single"/>
              </w:rPr>
            </w:pPr>
            <w:r>
              <w:rPr>
                <w:rFonts w:hint="eastAsia"/>
              </w:rPr>
              <w:t>还存在哪些局限和不足</w:t>
            </w:r>
            <w:r>
              <w:rPr>
                <w:rFonts w:hint="eastAsia"/>
                <w:u w:val="single"/>
              </w:rPr>
              <w:t xml:space="preserve">：                         </w:t>
            </w:r>
          </w:p>
          <w:p>
            <w:pPr>
              <w:numPr>
                <w:ilvl w:val="0"/>
                <w:numId w:val="4"/>
              </w:numPr>
              <w:shd w:val="clear"/>
              <w:rPr>
                <w:u w:val="single"/>
              </w:rPr>
            </w:pPr>
            <w:r>
              <w:rPr>
                <w:rFonts w:hint="eastAsia"/>
              </w:rPr>
              <w:t>需要从外部供方获得的资源：</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rPr>
              <w:t xml:space="preserve">     </w:t>
            </w:r>
          </w:p>
          <w:p>
            <w:pPr>
              <w:pStyle w:val="12"/>
              <w:rPr>
                <w:rFonts w:hint="default" w:eastAsia="宋体"/>
                <w:lang w:val="en-US" w:eastAsia="zh-CN"/>
              </w:rPr>
            </w:pP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68" w:hRule="atLeast"/>
        </w:trPr>
        <w:tc>
          <w:tcPr>
            <w:tcW w:w="1518" w:type="dxa"/>
            <w:vMerge w:val="restart"/>
            <w:shd w:val="clear" w:color="auto" w:fill="auto"/>
          </w:tcPr>
          <w:p>
            <w:pPr>
              <w:shd w:val="clear"/>
            </w:pPr>
            <w:r>
              <w:rPr>
                <w:rFonts w:hint="eastAsia"/>
              </w:rPr>
              <w:t xml:space="preserve">沟通  </w:t>
            </w:r>
          </w:p>
        </w:tc>
        <w:tc>
          <w:tcPr>
            <w:tcW w:w="1055" w:type="dxa"/>
            <w:vMerge w:val="restart"/>
            <w:shd w:val="clear" w:color="auto" w:fill="auto"/>
          </w:tcPr>
          <w:p>
            <w:pPr>
              <w:shd w:val="clear"/>
            </w:pPr>
            <w:r>
              <w:rPr>
                <w:rFonts w:hint="eastAsia"/>
              </w:rPr>
              <w:t>Q7.4</w:t>
            </w:r>
          </w:p>
          <w:p>
            <w:pPr>
              <w:shd w:val="clear"/>
              <w:rPr>
                <w:rFonts w:hint="eastAsia"/>
              </w:rPr>
            </w:pPr>
            <w:r>
              <w:rPr>
                <w:rFonts w:hint="eastAsia"/>
              </w:rPr>
              <w:t>F7.4</w:t>
            </w:r>
          </w:p>
          <w:p>
            <w:pPr>
              <w:shd w:val="clear"/>
              <w:rPr>
                <w:rFonts w:hint="eastAsia"/>
                <w:lang w:val="en-US" w:eastAsia="zh-CN"/>
              </w:rPr>
            </w:pPr>
            <w:r>
              <w:rPr>
                <w:rFonts w:hint="eastAsia"/>
                <w:lang w:val="en-US" w:eastAsia="zh-CN"/>
              </w:rPr>
              <w:t>H(V1.0)</w:t>
            </w:r>
          </w:p>
          <w:p>
            <w:pPr>
              <w:pStyle w:val="2"/>
              <w:shd w:val="clear"/>
            </w:pPr>
            <w:r>
              <w:rPr>
                <w:rFonts w:hint="eastAsia"/>
                <w:lang w:val="en-US" w:eastAsia="zh-CN"/>
              </w:rPr>
              <w:t>2.5.2</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color w:val="000000"/>
                <w:szCs w:val="21"/>
              </w:rPr>
              <w:t>☑</w:t>
            </w:r>
            <w:r>
              <w:rPr>
                <w:rFonts w:hint="eastAsia"/>
                <w:lang w:eastAsia="zh-CN"/>
              </w:rPr>
              <w:t>《管理手册》</w:t>
            </w:r>
            <w:r>
              <w:rPr>
                <w:rFonts w:hint="eastAsia"/>
              </w:rPr>
              <w:t>第7.4章、</w:t>
            </w:r>
            <w:r>
              <w:rPr>
                <w:rFonts w:hint="eastAsia"/>
                <w:color w:val="000000"/>
                <w:szCs w:val="21"/>
              </w:rPr>
              <w:t>☑</w:t>
            </w:r>
            <w:r>
              <w:rPr>
                <w:rFonts w:hint="eastAsia"/>
              </w:rPr>
              <w:t>《沟通控制程序》</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151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组织考虑了合规义务，确保质量/食品安全信息与质量/食品安全管理体系形成的信息一致且真实可信。一般由</w:t>
            </w:r>
            <w:r>
              <w:rPr>
                <w:rFonts w:hint="eastAsia"/>
                <w:lang w:val="en-US" w:eastAsia="zh-CN"/>
              </w:rPr>
              <w:t>食品安全小组组长</w:t>
            </w:r>
            <w:r>
              <w:rPr>
                <w:rFonts w:hint="eastAsia"/>
              </w:rPr>
              <w:t>负责。</w:t>
            </w:r>
          </w:p>
          <w:p>
            <w:pPr>
              <w:shd w:val="clear"/>
            </w:pPr>
            <w:r>
              <w:rPr>
                <w:rFonts w:hint="eastAsia"/>
              </w:rPr>
              <w:t>外部沟通的控制对象：</w:t>
            </w:r>
            <w:r>
              <w:rPr>
                <w:rFonts w:hint="eastAsia"/>
                <w:color w:val="000000"/>
                <w:szCs w:val="21"/>
              </w:rPr>
              <w:t xml:space="preserve">☑市场监督管理局 </w:t>
            </w:r>
            <w:r>
              <w:rPr>
                <w:rFonts w:hint="eastAsia"/>
                <w:color w:val="000000"/>
                <w:szCs w:val="21"/>
                <w:lang w:val="en-US" w:eastAsia="zh-CN"/>
              </w:rPr>
              <w:t xml:space="preserve"> </w:t>
            </w:r>
            <w:r>
              <w:rPr>
                <w:rFonts w:hint="eastAsia"/>
                <w:color w:val="000000"/>
                <w:szCs w:val="21"/>
              </w:rPr>
              <w:t>☑</w:t>
            </w:r>
            <w:r>
              <w:rPr>
                <w:rFonts w:hint="eastAsia"/>
                <w:color w:val="000000"/>
                <w:szCs w:val="21"/>
                <w:lang w:val="en-US" w:eastAsia="zh-CN"/>
              </w:rPr>
              <w:t>发改委</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 xml:space="preserve">外包方 </w:t>
            </w:r>
            <w:r>
              <w:rPr>
                <w:rFonts w:hint="eastAsia"/>
                <w:color w:val="000000"/>
                <w:szCs w:val="21"/>
              </w:rPr>
              <w:sym w:font="Wingdings 2" w:char="0052"/>
            </w:r>
            <w:r>
              <w:rPr>
                <w:rFonts w:hint="eastAsia"/>
                <w:color w:val="000000"/>
                <w:szCs w:val="21"/>
              </w:rPr>
              <w:t>网站</w:t>
            </w:r>
          </w:p>
          <w:p>
            <w:pPr>
              <w:shd w:val="clear"/>
            </w:pPr>
          </w:p>
          <w:p>
            <w:pPr>
              <w:shd w:val="clear"/>
            </w:pPr>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w:t>
            </w:r>
            <w:r>
              <w:rPr>
                <w:rFonts w:hint="eastAsia"/>
                <w:color w:val="000000"/>
                <w:szCs w:val="21"/>
                <w:lang w:eastAsia="zh-CN"/>
              </w:rPr>
              <w:t>□</w:t>
            </w:r>
            <w:r>
              <w:rPr>
                <w:rFonts w:hint="eastAsia"/>
                <w:color w:val="000000"/>
                <w:szCs w:val="21"/>
              </w:rPr>
              <w:t xml:space="preserve">QQ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518" w:type="dxa"/>
            <w:vMerge w:val="restart"/>
            <w:tcBorders>
              <w:top w:val="single" w:color="auto" w:sz="4" w:space="0"/>
              <w:left w:val="single" w:color="auto" w:sz="4" w:space="0"/>
              <w:right w:val="single" w:color="auto" w:sz="4" w:space="0"/>
            </w:tcBorders>
            <w:shd w:val="clear" w:color="auto" w:fill="auto"/>
          </w:tcPr>
          <w:p>
            <w:r>
              <w:rPr>
                <w:rFonts w:hint="eastAsia"/>
              </w:rPr>
              <w:t>运行的策划和控制</w:t>
            </w:r>
          </w:p>
        </w:tc>
        <w:tc>
          <w:tcPr>
            <w:tcW w:w="1055" w:type="dxa"/>
            <w:vMerge w:val="restart"/>
            <w:tcBorders>
              <w:top w:val="single" w:color="auto" w:sz="4" w:space="0"/>
              <w:left w:val="single" w:color="auto" w:sz="4" w:space="0"/>
              <w:right w:val="single" w:color="auto" w:sz="4" w:space="0"/>
            </w:tcBorders>
            <w:shd w:val="clear" w:color="auto" w:fill="auto"/>
          </w:tcPr>
          <w:p>
            <w:r>
              <w:rPr>
                <w:rFonts w:hint="eastAsia"/>
              </w:rPr>
              <w:t xml:space="preserve">Q8.1 </w:t>
            </w:r>
          </w:p>
        </w:tc>
        <w:tc>
          <w:tcPr>
            <w:tcW w:w="89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文件名称</w:t>
            </w:r>
          </w:p>
        </w:tc>
        <w:tc>
          <w:tcPr>
            <w:tcW w:w="9388"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如：</w:t>
            </w:r>
            <w:r>
              <w:fldChar w:fldCharType="begin"/>
            </w:r>
            <w:r>
              <w:instrText xml:space="preserve"> </w:instrText>
            </w:r>
            <w:r>
              <w:rPr>
                <w:rFonts w:hint="eastAsia"/>
              </w:rPr>
              <w:instrText xml:space="preserve">eq \o\ac(□,√)</w:instrText>
            </w:r>
            <w:r>
              <w:fldChar w:fldCharType="end"/>
            </w:r>
            <w:r>
              <w:rPr>
                <w:rFonts w:hint="eastAsia"/>
              </w:rPr>
              <w:t>手册8</w:t>
            </w:r>
            <w:r>
              <w:t>.1</w:t>
            </w:r>
            <w:r>
              <w:rPr>
                <w:rFonts w:hint="eastAsia"/>
              </w:rPr>
              <w:t>条款、口《运行的策划和控制程序》</w:t>
            </w:r>
          </w:p>
        </w:tc>
        <w:tc>
          <w:tcPr>
            <w:tcW w:w="1351" w:type="dxa"/>
            <w:vMerge w:val="restart"/>
            <w:tcBorders>
              <w:top w:val="single" w:color="auto" w:sz="4" w:space="0"/>
              <w:left w:val="single" w:color="auto" w:sz="4" w:space="0"/>
              <w:right w:val="single" w:color="auto" w:sz="4" w:space="0"/>
            </w:tcBorders>
            <w:shd w:val="clear" w:color="auto" w:fill="auto"/>
          </w:tcPr>
          <w:p>
            <w:r>
              <w:fldChar w:fldCharType="begin"/>
            </w:r>
            <w:r>
              <w:instrText xml:space="preserve"> </w:instrText>
            </w:r>
            <w:r>
              <w:rPr>
                <w:rFonts w:hint="eastAsia"/>
              </w:rPr>
              <w:instrText xml:space="preserve">eq \o\ac(□,√)</w:instrText>
            </w:r>
            <w:r>
              <w:fldChar w:fldCharType="end"/>
            </w:r>
            <w:r>
              <w:rPr>
                <w:rFonts w:hint="eastAsia"/>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518" w:type="dxa"/>
            <w:vMerge w:val="continue"/>
            <w:tcBorders>
              <w:left w:val="single" w:color="auto" w:sz="4" w:space="0"/>
              <w:bottom w:val="single" w:color="auto" w:sz="4" w:space="0"/>
              <w:right w:val="single" w:color="auto" w:sz="4" w:space="0"/>
            </w:tcBorders>
            <w:shd w:val="clear" w:color="auto" w:fill="auto"/>
          </w:tcPr>
          <w:p/>
        </w:tc>
        <w:tc>
          <w:tcPr>
            <w:tcW w:w="1055" w:type="dxa"/>
            <w:vMerge w:val="continue"/>
            <w:tcBorders>
              <w:left w:val="single" w:color="auto" w:sz="4" w:space="0"/>
              <w:bottom w:val="single" w:color="auto" w:sz="4" w:space="0"/>
              <w:right w:val="single" w:color="auto" w:sz="4" w:space="0"/>
            </w:tcBorders>
            <w:shd w:val="clear" w:color="auto" w:fill="auto"/>
          </w:tcPr>
          <w:p/>
        </w:tc>
        <w:tc>
          <w:tcPr>
            <w:tcW w:w="89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运行证据</w:t>
            </w:r>
          </w:p>
        </w:tc>
        <w:tc>
          <w:tcPr>
            <w:tcW w:w="9388"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为满足产品和服务提供的要求，所确定的措施，组织通过以下措施对所需的过程进行策划、实施和控制：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93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产品/服务的名称</w:t>
                  </w:r>
                </w:p>
              </w:tc>
              <w:tc>
                <w:tcPr>
                  <w:tcW w:w="4934" w:type="dxa"/>
                </w:tcPr>
                <w:p>
                  <w:pPr>
                    <w:rPr>
                      <w:rFonts w:hint="default" w:eastAsia="宋体"/>
                      <w:lang w:val="en-US" w:eastAsia="zh-CN"/>
                    </w:rPr>
                  </w:pPr>
                  <w:r>
                    <w:rPr>
                      <w:rFonts w:hint="eastAsia"/>
                      <w:lang w:val="en-US" w:eastAsia="zh-CN"/>
                    </w:rPr>
                    <w:t>散装高粱、玉米、稻谷、小麦的销售（运输和贮存）</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产品和服务的要求</w:t>
                  </w:r>
                </w:p>
              </w:tc>
              <w:tc>
                <w:tcPr>
                  <w:tcW w:w="4934" w:type="dxa"/>
                </w:tcPr>
                <w:p>
                  <w:pPr>
                    <w:rPr>
                      <w:rFonts w:hint="default" w:eastAsia="宋体"/>
                      <w:lang w:val="en-US" w:eastAsia="zh-CN"/>
                    </w:rPr>
                  </w:pPr>
                  <w:r>
                    <w:rPr>
                      <w:rFonts w:hint="eastAsia"/>
                    </w:rPr>
                    <w:sym w:font="Wingdings" w:char="00A8"/>
                  </w:r>
                  <w:r>
                    <w:rPr>
                      <w:rFonts w:hint="eastAsia"/>
                    </w:rPr>
                    <w:t xml:space="preserve">图纸 </w:t>
                  </w:r>
                  <w:r>
                    <w:rPr>
                      <w:rFonts w:hint="eastAsia"/>
                    </w:rPr>
                    <w:sym w:font="Wingdings" w:char="00FE"/>
                  </w:r>
                  <w:r>
                    <w:rPr>
                      <w:rFonts w:hint="eastAsia"/>
                    </w:rPr>
                    <w:t>工艺流程</w:t>
                  </w:r>
                  <w:r>
                    <w:fldChar w:fldCharType="begin"/>
                  </w:r>
                  <w:r>
                    <w:instrText xml:space="preserve"> </w:instrText>
                  </w:r>
                  <w:r>
                    <w:rPr>
                      <w:rFonts w:hint="eastAsia"/>
                    </w:rPr>
                    <w:instrText xml:space="preserve">eq \o\ac(□,√)</w:instrText>
                  </w:r>
                  <w:r>
                    <w:fldChar w:fldCharType="end"/>
                  </w:r>
                  <w:r>
                    <w:rPr>
                      <w:rFonts w:hint="eastAsia"/>
                    </w:rPr>
                    <w:t xml:space="preserve">操作规程 </w:t>
                  </w:r>
                  <w:r>
                    <w:rPr>
                      <w:rFonts w:hint="eastAsia"/>
                    </w:rPr>
                    <w:sym w:font="Wingdings" w:char="00A8"/>
                  </w:r>
                  <w:r>
                    <w:rPr>
                      <w:rFonts w:hint="eastAsia"/>
                    </w:rPr>
                    <w:t>其他</w:t>
                  </w:r>
                  <w:r>
                    <w:rPr>
                      <w:rFonts w:hint="eastAsia"/>
                      <w:lang w:eastAsia="zh-CN"/>
                    </w:rPr>
                    <w:t>——</w:t>
                  </w:r>
                  <w:r>
                    <w:rPr>
                      <w:rFonts w:hint="eastAsia"/>
                      <w:lang w:val="en-US" w:eastAsia="zh-CN"/>
                    </w:rPr>
                    <w:t>程序文件要求、客户要求等</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过程准则</w:t>
                  </w:r>
                </w:p>
              </w:tc>
              <w:tc>
                <w:tcPr>
                  <w:tcW w:w="4934" w:type="dxa"/>
                </w:tcPr>
                <w:p>
                  <w:pPr>
                    <w:rPr>
                      <w:rFonts w:hint="default" w:eastAsia="宋体"/>
                      <w:lang w:val="en-US" w:eastAsia="zh-CN"/>
                    </w:rPr>
                  </w:pPr>
                  <w:r>
                    <w:rPr>
                      <w:rFonts w:hint="eastAsia"/>
                    </w:rPr>
                    <w:sym w:font="Wingdings" w:char="00FE"/>
                  </w:r>
                  <w:r>
                    <w:rPr>
                      <w:rFonts w:hint="eastAsia"/>
                    </w:rPr>
                    <w:t xml:space="preserve">程序文件 </w:t>
                  </w:r>
                  <w:r>
                    <w:fldChar w:fldCharType="begin"/>
                  </w:r>
                  <w:r>
                    <w:instrText xml:space="preserve"> </w:instrText>
                  </w:r>
                  <w:r>
                    <w:rPr>
                      <w:rFonts w:hint="eastAsia"/>
                    </w:rPr>
                    <w:instrText xml:space="preserve">eq \o\ac(□,√)</w:instrText>
                  </w:r>
                  <w:r>
                    <w:fldChar w:fldCharType="end"/>
                  </w:r>
                  <w:r>
                    <w:rPr>
                      <w:rFonts w:hint="eastAsia"/>
                    </w:rPr>
                    <w:t xml:space="preserve">作业指导书  </w:t>
                  </w:r>
                  <w:r>
                    <w:rPr>
                      <w:rFonts w:hint="eastAsia"/>
                    </w:rPr>
                    <w:sym w:font="Wingdings" w:char="00A8"/>
                  </w:r>
                  <w:r>
                    <w:rPr>
                      <w:rFonts w:hint="eastAsia"/>
                    </w:rPr>
                    <w:t xml:space="preserve">其他（验收标准） </w:t>
                  </w:r>
                  <w:r>
                    <w:rPr>
                      <w:rFonts w:hint="eastAsia"/>
                    </w:rPr>
                    <w:sym w:font="Wingdings" w:char="00A8"/>
                  </w:r>
                  <w:r>
                    <w:rPr>
                      <w:rFonts w:hint="eastAsia"/>
                    </w:rPr>
                    <w:t>其他</w:t>
                  </w:r>
                  <w:r>
                    <w:rPr>
                      <w:rFonts w:hint="eastAsia"/>
                      <w:lang w:eastAsia="zh-CN"/>
                    </w:rPr>
                    <w:t>——</w:t>
                  </w:r>
                  <w:r>
                    <w:rPr>
                      <w:rFonts w:hint="eastAsia"/>
                    </w:rPr>
                    <w:t xml:space="preserve"> </w:t>
                  </w:r>
                  <w:r>
                    <w:rPr>
                      <w:rFonts w:hint="eastAsia"/>
                    </w:rPr>
                    <w:sym w:font="Wingdings" w:char="00FE"/>
                  </w:r>
                  <w:r>
                    <w:rPr>
                      <w:rFonts w:hint="eastAsia"/>
                      <w:lang w:val="en-US" w:eastAsia="zh-CN"/>
                    </w:rPr>
                    <w:t>危害控制计划等</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2087" w:type="dxa"/>
                </w:tcPr>
                <w:p>
                  <w:r>
                    <w:rPr>
                      <w:rFonts w:hint="eastAsia"/>
                    </w:rPr>
                    <w:t>原材料接收标准</w:t>
                  </w:r>
                </w:p>
              </w:tc>
              <w:tc>
                <w:tcPr>
                  <w:tcW w:w="4934" w:type="dxa"/>
                </w:tcPr>
                <w:p>
                  <w:r>
                    <w:rPr>
                      <w:rFonts w:hint="eastAsia"/>
                    </w:rPr>
                    <w:t>符合相关验收标准和客户要求</w:t>
                  </w:r>
                </w:p>
              </w:tc>
              <w:tc>
                <w:tcPr>
                  <w:tcW w:w="109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过程产品放行标准</w:t>
                  </w:r>
                </w:p>
              </w:tc>
              <w:tc>
                <w:tcPr>
                  <w:tcW w:w="4934" w:type="dxa"/>
                </w:tcPr>
                <w:p>
                  <w:r>
                    <w:rPr>
                      <w:rFonts w:hint="eastAsia"/>
                    </w:rPr>
                    <w:t>符合相关验收标准和客户要求</w:t>
                  </w:r>
                </w:p>
              </w:tc>
              <w:tc>
                <w:tcPr>
                  <w:tcW w:w="10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成品执行标准</w:t>
                  </w:r>
                </w:p>
              </w:tc>
              <w:tc>
                <w:tcPr>
                  <w:tcW w:w="4934" w:type="dxa"/>
                </w:tcPr>
                <w:p>
                  <w:pPr>
                    <w:rPr>
                      <w:rFonts w:hint="default" w:eastAsia="宋体"/>
                      <w:lang w:val="en-US" w:eastAsia="zh-CN"/>
                    </w:rPr>
                  </w:pPr>
                  <w:r>
                    <w:rPr>
                      <w:rFonts w:hint="eastAsia"/>
                    </w:rPr>
                    <w:t>符合</w:t>
                  </w:r>
                  <w:r>
                    <w:rPr>
                      <w:rFonts w:hint="eastAsia"/>
                      <w:lang w:val="en-US" w:eastAsia="zh-CN"/>
                    </w:rPr>
                    <w:t>产品标准要求</w:t>
                  </w:r>
                </w:p>
              </w:tc>
              <w:tc>
                <w:tcPr>
                  <w:tcW w:w="10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服务规范</w:t>
                  </w:r>
                </w:p>
              </w:tc>
              <w:tc>
                <w:tcPr>
                  <w:tcW w:w="4934" w:type="dxa"/>
                </w:tcPr>
                <w:p>
                  <w:r>
                    <w:rPr>
                      <w:rFonts w:hint="eastAsia"/>
                    </w:rPr>
                    <w:t>——</w:t>
                  </w:r>
                </w:p>
              </w:tc>
              <w:tc>
                <w:tcPr>
                  <w:tcW w:w="10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所需的资源</w:t>
                  </w:r>
                </w:p>
              </w:tc>
              <w:tc>
                <w:tcPr>
                  <w:tcW w:w="4934" w:type="dxa"/>
                </w:tcPr>
                <w:p>
                  <w:r>
                    <w:fldChar w:fldCharType="begin"/>
                  </w:r>
                  <w:r>
                    <w:instrText xml:space="preserve"> </w:instrText>
                  </w:r>
                  <w:r>
                    <w:rPr>
                      <w:rFonts w:hint="eastAsia"/>
                    </w:rPr>
                    <w:instrText xml:space="preserve">eq \o\ac(□,√)</w:instrText>
                  </w:r>
                  <w:r>
                    <w:fldChar w:fldCharType="end"/>
                  </w:r>
                  <w:r>
                    <w:rPr>
                      <w:rFonts w:hint="eastAsia"/>
                    </w:rPr>
                    <w:t xml:space="preserve">受过培训的人员 </w:t>
                  </w:r>
                  <w:r>
                    <w:fldChar w:fldCharType="begin"/>
                  </w:r>
                  <w:r>
                    <w:instrText xml:space="preserve"> </w:instrText>
                  </w:r>
                  <w:r>
                    <w:rPr>
                      <w:rFonts w:hint="eastAsia"/>
                    </w:rPr>
                    <w:instrText xml:space="preserve">eq \o\ac(□)</w:instrText>
                  </w:r>
                  <w:r>
                    <w:fldChar w:fldCharType="end"/>
                  </w:r>
                  <w:r>
                    <w:rPr>
                      <w:rFonts w:hint="eastAsia"/>
                    </w:rPr>
                    <w:t xml:space="preserve">必要的生产设备和工具  </w:t>
                  </w:r>
                  <w:r>
                    <w:rPr>
                      <w:rFonts w:hint="eastAsia"/>
                    </w:rPr>
                    <w:sym w:font="Wingdings" w:char="00FE"/>
                  </w:r>
                  <w:r>
                    <w:rPr>
                      <w:rFonts w:hint="eastAsia"/>
                    </w:rPr>
                    <w:t>必要的检测设备</w:t>
                  </w:r>
                  <w:r>
                    <w:fldChar w:fldCharType="begin"/>
                  </w:r>
                  <w:r>
                    <w:instrText xml:space="preserve"> </w:instrText>
                  </w:r>
                  <w:r>
                    <w:rPr>
                      <w:rFonts w:hint="eastAsia"/>
                    </w:rPr>
                    <w:instrText xml:space="preserve">eq \o\ac(□,√)</w:instrText>
                  </w:r>
                  <w:r>
                    <w:fldChar w:fldCharType="end"/>
                  </w:r>
                  <w:r>
                    <w:rPr>
                      <w:rFonts w:hint="eastAsia"/>
                    </w:rPr>
                    <w:t xml:space="preserve">必要的生产和储存场所  </w:t>
                  </w:r>
                  <w:r>
                    <w:fldChar w:fldCharType="begin"/>
                  </w:r>
                  <w:r>
                    <w:instrText xml:space="preserve"> </w:instrText>
                  </w:r>
                  <w:r>
                    <w:rPr>
                      <w:rFonts w:hint="eastAsia"/>
                    </w:rPr>
                    <w:instrText xml:space="preserve">eq \o\ac(□,√)</w:instrText>
                  </w:r>
                  <w:r>
                    <w:fldChar w:fldCharType="end"/>
                  </w:r>
                  <w:r>
                    <w:rPr>
                      <w:rFonts w:hint="eastAsia"/>
                    </w:rPr>
                    <w:t xml:space="preserve">充足的原材料供应  </w:t>
                  </w:r>
                  <w:r>
                    <w:rPr>
                      <w:rFonts w:hint="eastAsia"/>
                    </w:rPr>
                    <w:sym w:font="Wingdings" w:char="00A8"/>
                  </w:r>
                  <w:r>
                    <w:rPr>
                      <w:rFonts w:hint="eastAsia"/>
                    </w:rPr>
                    <w:t>其他</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gridSpan w:val="2"/>
                </w:tcPr>
                <w:p>
                  <w:r>
                    <w:rPr>
                      <w:rFonts w:hint="eastAsia"/>
                    </w:rPr>
                    <w:t>确定符合产品和服务要求</w:t>
                  </w:r>
                </w:p>
              </w:tc>
              <w:tc>
                <w:tcPr>
                  <w:tcW w:w="4934" w:type="dxa"/>
                </w:tcPr>
                <w:p>
                  <w:r>
                    <w:rPr>
                      <w:rFonts w:hint="eastAsia"/>
                    </w:rPr>
                    <w:t>见8</w:t>
                  </w:r>
                  <w:r>
                    <w:t>.5</w:t>
                  </w:r>
                  <w:r>
                    <w:rPr>
                      <w:rFonts w:hint="eastAsia"/>
                    </w:rPr>
                    <w:t>条款审核记录</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按照准则实施过程控制</w:t>
                  </w:r>
                </w:p>
              </w:tc>
              <w:tc>
                <w:tcPr>
                  <w:tcW w:w="4934" w:type="dxa"/>
                </w:tcPr>
                <w:p>
                  <w:r>
                    <w:rPr>
                      <w:rFonts w:hint="eastAsia"/>
                    </w:rPr>
                    <w:t>见8</w:t>
                  </w:r>
                  <w:r>
                    <w:t>.5</w:t>
                  </w:r>
                  <w:r>
                    <w:rPr>
                      <w:rFonts w:hint="eastAsia"/>
                    </w:rPr>
                    <w:t>条款审核记录</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过程已经按策划进行证据</w:t>
                  </w:r>
                </w:p>
              </w:tc>
              <w:tc>
                <w:tcPr>
                  <w:tcW w:w="4934" w:type="dxa"/>
                </w:tcPr>
                <w:p>
                  <w:r>
                    <w:rPr>
                      <w:rFonts w:hint="eastAsia"/>
                    </w:rPr>
                    <w:t>有流程图、危害控制计划、</w:t>
                  </w:r>
                  <w:r>
                    <w:rPr>
                      <w:rFonts w:hint="eastAsia"/>
                      <w:lang w:val="en-US" w:eastAsia="zh-CN"/>
                    </w:rPr>
                    <w:t>作业指导书</w:t>
                  </w:r>
                  <w:r>
                    <w:rPr>
                      <w:rFonts w:hint="eastAsia"/>
                    </w:rPr>
                    <w:t>等</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gridSpan w:val="2"/>
                </w:tcPr>
                <w:p>
                  <w:r>
                    <w:rPr>
                      <w:rFonts w:hint="eastAsia"/>
                    </w:rPr>
                    <w:t>产品和服务符合要求的证据</w:t>
                  </w:r>
                </w:p>
              </w:tc>
              <w:tc>
                <w:tcPr>
                  <w:tcW w:w="4934" w:type="dxa"/>
                </w:tcPr>
                <w:p>
                  <w:r>
                    <w:rPr>
                      <w:rFonts w:hint="eastAsia"/>
                      <w:lang w:val="en-US" w:eastAsia="zh-CN"/>
                    </w:rPr>
                    <w:t>检验、仓储过程粮仓温湿度监控、</w:t>
                  </w:r>
                  <w:r>
                    <w:rPr>
                      <w:rFonts w:hint="eastAsia"/>
                    </w:rPr>
                    <w:t>顾客满意度调查表</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策划的变更的控制</w:t>
                  </w:r>
                </w:p>
              </w:tc>
              <w:tc>
                <w:tcPr>
                  <w:tcW w:w="4934" w:type="dxa"/>
                </w:tcPr>
                <w:p>
                  <w:r>
                    <w:rPr>
                      <w:rFonts w:hint="eastAsia"/>
                    </w:rPr>
                    <w:t>未发生</w:t>
                  </w:r>
                </w:p>
              </w:tc>
              <w:tc>
                <w:tcPr>
                  <w:tcW w:w="10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识别外包过程及控制方法</w:t>
                  </w:r>
                </w:p>
              </w:tc>
              <w:tc>
                <w:tcPr>
                  <w:tcW w:w="4934" w:type="dxa"/>
                </w:tcPr>
                <w:p>
                  <w:pPr>
                    <w:rPr>
                      <w:rFonts w:hint="eastAsia" w:eastAsia="宋体"/>
                      <w:lang w:eastAsia="zh-CN"/>
                    </w:rPr>
                  </w:pPr>
                  <w:r>
                    <w:rPr>
                      <w:rFonts w:hint="eastAsia"/>
                      <w:lang w:val="en-US" w:eastAsia="zh-CN"/>
                    </w:rPr>
                    <w:t>不涉及</w:t>
                  </w:r>
                </w:p>
              </w:tc>
              <w:tc>
                <w:tcPr>
                  <w:tcW w:w="1095" w:type="dxa"/>
                </w:tcPr>
                <w:p/>
              </w:tc>
            </w:tr>
          </w:tbl>
          <w:p/>
        </w:tc>
        <w:tc>
          <w:tcPr>
            <w:tcW w:w="1351" w:type="dxa"/>
            <w:vMerge w:val="continue"/>
            <w:tcBorders>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68" w:hRule="atLeast"/>
        </w:trPr>
        <w:tc>
          <w:tcPr>
            <w:tcW w:w="1518" w:type="dxa"/>
            <w:vMerge w:val="restart"/>
            <w:shd w:val="clear" w:color="auto" w:fill="auto"/>
          </w:tcPr>
          <w:p>
            <w:pPr>
              <w:shd w:val="clear"/>
              <w:rPr>
                <w:highlight w:val="none"/>
              </w:rPr>
            </w:pPr>
            <w:r>
              <w:rPr>
                <w:rFonts w:hint="eastAsia"/>
                <w:highlight w:val="none"/>
              </w:rPr>
              <w:t>运行策划和控制</w:t>
            </w:r>
          </w:p>
        </w:tc>
        <w:tc>
          <w:tcPr>
            <w:tcW w:w="1055" w:type="dxa"/>
            <w:vMerge w:val="restart"/>
            <w:shd w:val="clear" w:color="auto" w:fill="auto"/>
          </w:tcPr>
          <w:p>
            <w:pPr>
              <w:shd w:val="clear"/>
              <w:rPr>
                <w:highlight w:val="none"/>
              </w:rPr>
            </w:pPr>
            <w:r>
              <w:rPr>
                <w:rFonts w:hint="eastAsia"/>
                <w:highlight w:val="none"/>
              </w:rPr>
              <w:t>F8.1</w:t>
            </w:r>
          </w:p>
          <w:p>
            <w:pPr>
              <w:shd w:val="clear"/>
              <w:rPr>
                <w:highlight w:val="none"/>
              </w:rPr>
            </w:pPr>
          </w:p>
        </w:tc>
        <w:tc>
          <w:tcPr>
            <w:tcW w:w="893" w:type="dxa"/>
            <w:shd w:val="clear" w:color="auto" w:fill="auto"/>
          </w:tcPr>
          <w:p>
            <w:pPr>
              <w:shd w:val="clear"/>
              <w:rPr>
                <w:highlight w:val="none"/>
              </w:rPr>
            </w:pPr>
            <w:r>
              <w:rPr>
                <w:rFonts w:hint="eastAsia"/>
                <w:highlight w:val="none"/>
              </w:rPr>
              <w:t>文件名称</w:t>
            </w:r>
          </w:p>
        </w:tc>
        <w:tc>
          <w:tcPr>
            <w:tcW w:w="9373" w:type="dxa"/>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366"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817" w:hRule="atLeast"/>
        </w:trPr>
        <w:tc>
          <w:tcPr>
            <w:tcW w:w="1518" w:type="dxa"/>
            <w:vMerge w:val="continue"/>
            <w:shd w:val="clear" w:color="auto" w:fill="auto"/>
          </w:tcPr>
          <w:p>
            <w:pPr>
              <w:shd w:val="clear"/>
              <w:rPr>
                <w:highlight w:val="none"/>
              </w:rPr>
            </w:pPr>
          </w:p>
        </w:tc>
        <w:tc>
          <w:tcPr>
            <w:tcW w:w="1055" w:type="dxa"/>
            <w:vMerge w:val="continue"/>
            <w:shd w:val="clear" w:color="auto" w:fill="auto"/>
          </w:tcPr>
          <w:p>
            <w:pPr>
              <w:shd w:val="clear"/>
              <w:rPr>
                <w:highlight w:val="none"/>
              </w:rPr>
            </w:pPr>
          </w:p>
        </w:tc>
        <w:tc>
          <w:tcPr>
            <w:tcW w:w="893" w:type="dxa"/>
            <w:shd w:val="clear" w:color="auto" w:fill="auto"/>
          </w:tcPr>
          <w:p>
            <w:pPr>
              <w:shd w:val="clear"/>
              <w:rPr>
                <w:highlight w:val="none"/>
              </w:rPr>
            </w:pPr>
            <w:r>
              <w:rPr>
                <w:rFonts w:hint="eastAsia"/>
                <w:highlight w:val="none"/>
              </w:rPr>
              <w:t>运行证据</w:t>
            </w:r>
          </w:p>
        </w:tc>
        <w:tc>
          <w:tcPr>
            <w:tcW w:w="9373" w:type="dxa"/>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6"/>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/良好卫生规范</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6"/>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牛羊分割和销售</w:t>
            </w:r>
            <w:r>
              <w:rPr>
                <w:rFonts w:hint="eastAsia"/>
                <w:highlight w:val="none"/>
                <w:u w:val="single"/>
              </w:rPr>
              <w:t>过程控制记录和检查记录</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spacing w:before="40" w:after="40"/>
              <w:jc w:val="left"/>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 xml:space="preserve"> </w:t>
            </w:r>
            <w:r>
              <w:rPr>
                <w:rFonts w:hint="eastAsia"/>
                <w:color w:val="000000"/>
                <w:szCs w:val="18"/>
                <w:u w:val="single"/>
                <w:lang w:val="en-US" w:eastAsia="zh-CN"/>
              </w:rPr>
              <w:t>无</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366" w:type="dxa"/>
            <w:gridSpan w:val="2"/>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09" w:hRule="atLeast"/>
        </w:trPr>
        <w:tc>
          <w:tcPr>
            <w:tcW w:w="1518" w:type="dxa"/>
            <w:vMerge w:val="restart"/>
            <w:shd w:val="clear" w:color="auto" w:fill="auto"/>
          </w:tcPr>
          <w:p>
            <w:pPr>
              <w:shd w:val="clear"/>
            </w:pPr>
            <w:r>
              <w:rPr>
                <w:rFonts w:hint="eastAsia"/>
              </w:rPr>
              <w:t>监视、测量、分析和评价</w:t>
            </w:r>
          </w:p>
        </w:tc>
        <w:tc>
          <w:tcPr>
            <w:tcW w:w="1055" w:type="dxa"/>
            <w:vMerge w:val="restart"/>
            <w:shd w:val="clear" w:color="auto" w:fill="auto"/>
          </w:tcPr>
          <w:p>
            <w:pPr>
              <w:shd w:val="clear"/>
            </w:pPr>
            <w:r>
              <w:rPr>
                <w:rFonts w:hint="eastAsia"/>
              </w:rPr>
              <w:t>Q9.1.1 F9.1.1</w:t>
            </w:r>
          </w:p>
        </w:tc>
        <w:tc>
          <w:tcPr>
            <w:tcW w:w="893" w:type="dxa"/>
            <w:shd w:val="clear" w:color="auto" w:fill="auto"/>
          </w:tcPr>
          <w:p>
            <w:pPr>
              <w:shd w:val="clear"/>
            </w:pPr>
            <w:r>
              <w:rPr>
                <w:rFonts w:hint="eastAsia"/>
              </w:rPr>
              <w:t>文件名称</w:t>
            </w:r>
          </w:p>
        </w:tc>
        <w:tc>
          <w:tcPr>
            <w:tcW w:w="9373" w:type="dxa"/>
            <w:shd w:val="clear" w:color="auto" w:fill="auto"/>
          </w:tcPr>
          <w:p>
            <w:pPr>
              <w:shd w:val="clear"/>
              <w:rPr>
                <w:b/>
                <w:bCs/>
              </w:rPr>
            </w:pPr>
            <w:r>
              <w:rPr>
                <w:rFonts w:hint="eastAsia"/>
              </w:rPr>
              <w:t>如：</w:t>
            </w:r>
            <w:r>
              <w:rPr>
                <w:rFonts w:hint="eastAsia"/>
              </w:rPr>
              <w:sym w:font="Wingdings" w:char="00FE"/>
            </w:r>
            <w:r>
              <w:rPr>
                <w:rFonts w:hint="eastAsia"/>
                <w:lang w:eastAsia="zh-CN"/>
              </w:rPr>
              <w:t>《管理手册》</w:t>
            </w:r>
            <w:r>
              <w:rPr>
                <w:rFonts w:hint="eastAsia"/>
              </w:rPr>
              <w:t>9.1.1条款</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1607"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组织对监视和测量的质量食品安全绩效：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651"/>
              <w:gridCol w:w="202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监视和测量的对象</w:t>
                  </w:r>
                </w:p>
              </w:tc>
              <w:tc>
                <w:tcPr>
                  <w:tcW w:w="2456" w:type="dxa"/>
                </w:tcPr>
                <w:p>
                  <w:pPr>
                    <w:shd w:val="clear"/>
                    <w:rPr>
                      <w:szCs w:val="21"/>
                    </w:rPr>
                  </w:pPr>
                  <w:r>
                    <w:rPr>
                      <w:rFonts w:hint="eastAsia"/>
                      <w:szCs w:val="21"/>
                    </w:rPr>
                    <w:t>监视、测量、分析和评价的方法</w:t>
                  </w:r>
                </w:p>
              </w:tc>
              <w:tc>
                <w:tcPr>
                  <w:tcW w:w="1651" w:type="dxa"/>
                </w:tcPr>
                <w:p>
                  <w:pPr>
                    <w:shd w:val="clear"/>
                    <w:rPr>
                      <w:szCs w:val="21"/>
                    </w:rPr>
                  </w:pPr>
                  <w:r>
                    <w:rPr>
                      <w:rFonts w:hint="eastAsia"/>
                      <w:szCs w:val="21"/>
                    </w:rPr>
                    <w:t>监视和测量的频次和时机</w:t>
                  </w:r>
                </w:p>
              </w:tc>
              <w:tc>
                <w:tcPr>
                  <w:tcW w:w="2025" w:type="dxa"/>
                </w:tcPr>
                <w:p>
                  <w:pPr>
                    <w:shd w:val="clear"/>
                    <w:rPr>
                      <w:szCs w:val="21"/>
                    </w:rPr>
                  </w:pPr>
                  <w:r>
                    <w:rPr>
                      <w:rFonts w:hint="eastAsia"/>
                      <w:szCs w:val="21"/>
                    </w:rPr>
                    <w:t>评价其质量/食品安全绩效所依据的准则和适当的参数</w:t>
                  </w:r>
                </w:p>
              </w:tc>
              <w:tc>
                <w:tcPr>
                  <w:tcW w:w="1738" w:type="dxa"/>
                </w:tcPr>
                <w:p>
                  <w:pPr>
                    <w:shd w:val="clea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lang w:val="en-US" w:eastAsia="zh-CN"/>
                    </w:rPr>
                    <w:t>产品</w:t>
                  </w:r>
                  <w:r>
                    <w:rPr>
                      <w:rFonts w:hint="eastAsia"/>
                      <w:szCs w:val="21"/>
                    </w:rPr>
                    <w:t>检测</w:t>
                  </w:r>
                </w:p>
              </w:tc>
              <w:tc>
                <w:tcPr>
                  <w:tcW w:w="2456" w:type="dxa"/>
                </w:tcPr>
                <w:p>
                  <w:pPr>
                    <w:shd w:val="clear"/>
                    <w:rPr>
                      <w:rFonts w:hint="default"/>
                      <w:szCs w:val="21"/>
                      <w:lang w:val="en-US"/>
                    </w:rPr>
                  </w:pPr>
                  <w:r>
                    <w:rPr>
                      <w:rFonts w:hint="eastAsia"/>
                      <w:szCs w:val="21"/>
                      <w:lang w:val="en-US" w:eastAsia="zh-CN"/>
                    </w:rPr>
                    <w:t>每仓库第三方检测1次</w:t>
                  </w:r>
                </w:p>
              </w:tc>
              <w:tc>
                <w:tcPr>
                  <w:tcW w:w="1651" w:type="dxa"/>
                </w:tcPr>
                <w:p>
                  <w:pPr>
                    <w:widowControl/>
                    <w:shd w:val="clear"/>
                    <w:spacing w:before="40"/>
                    <w:jc w:val="left"/>
                    <w:rPr>
                      <w:rFonts w:hint="default" w:eastAsia="宋体"/>
                      <w:color w:val="000000"/>
                      <w:szCs w:val="21"/>
                      <w:lang w:val="en-US" w:eastAsia="zh-CN"/>
                    </w:rPr>
                  </w:pPr>
                  <w:r>
                    <w:rPr>
                      <w:rFonts w:hint="eastAsia"/>
                      <w:color w:val="000000"/>
                      <w:szCs w:val="21"/>
                    </w:rPr>
                    <w:sym w:font="Wingdings 2" w:char="00A3"/>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lang w:eastAsia="zh-CN"/>
                    </w:rPr>
                    <w:t>□</w:t>
                  </w:r>
                  <w:r>
                    <w:rPr>
                      <w:rFonts w:hint="eastAsia"/>
                      <w:color w:val="000000"/>
                      <w:szCs w:val="21"/>
                    </w:rPr>
                    <w:t xml:space="preserve">每年 </w:t>
                  </w:r>
                  <w:r>
                    <w:rPr>
                      <w:rFonts w:hint="eastAsia"/>
                      <w:color w:val="000000"/>
                      <w:szCs w:val="21"/>
                    </w:rPr>
                    <w:sym w:font="Wingdings 2" w:char="0052"/>
                  </w:r>
                  <w:r>
                    <w:rPr>
                      <w:rFonts w:hint="eastAsia"/>
                      <w:szCs w:val="21"/>
                    </w:rPr>
                    <w:t>其他</w:t>
                  </w:r>
                  <w:r>
                    <w:rPr>
                      <w:rFonts w:hint="eastAsia"/>
                      <w:szCs w:val="21"/>
                      <w:lang w:eastAsia="zh-CN"/>
                    </w:rPr>
                    <w:t>——</w:t>
                  </w:r>
                  <w:r>
                    <w:rPr>
                      <w:rFonts w:hint="eastAsia"/>
                      <w:szCs w:val="21"/>
                      <w:lang w:val="en-US" w:eastAsia="zh-CN"/>
                    </w:rPr>
                    <w:t>每仓库</w:t>
                  </w:r>
                </w:p>
              </w:tc>
              <w:tc>
                <w:tcPr>
                  <w:tcW w:w="2025" w:type="dxa"/>
                </w:tcPr>
                <w:p>
                  <w:pPr>
                    <w:shd w:val="clear"/>
                    <w:rPr>
                      <w:rFonts w:hint="default" w:eastAsia="宋体"/>
                      <w:lang w:val="en-US" w:eastAsia="zh-CN"/>
                    </w:rPr>
                  </w:pPr>
                  <w:r>
                    <w:rPr>
                      <w:rFonts w:hint="eastAsia"/>
                      <w:lang w:val="en-US" w:eastAsia="zh-CN"/>
                    </w:rPr>
                    <w:t>产品的</w:t>
                  </w:r>
                  <w:r>
                    <w:rPr>
                      <w:rFonts w:hint="eastAsia"/>
                    </w:rPr>
                    <w:t>相关国家标准</w:t>
                  </w:r>
                  <w:r>
                    <w:rPr>
                      <w:rFonts w:hint="eastAsia"/>
                      <w:lang w:eastAsia="zh-CN"/>
                    </w:rPr>
                    <w:t>、</w:t>
                  </w:r>
                  <w:r>
                    <w:rPr>
                      <w:rFonts w:hint="eastAsia"/>
                      <w:lang w:val="en-US" w:eastAsia="zh-CN"/>
                    </w:rPr>
                    <w:t>总部对仓储粮食的要求等</w:t>
                  </w:r>
                </w:p>
                <w:p>
                  <w:pPr>
                    <w:pStyle w:val="2"/>
                    <w:shd w:val="clear"/>
                    <w:rPr>
                      <w:rFonts w:hint="default" w:eastAsia="宋体"/>
                      <w:lang w:val="en-US" w:eastAsia="zh-CN"/>
                    </w:rPr>
                  </w:pP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过程</w:t>
                  </w:r>
                </w:p>
              </w:tc>
              <w:tc>
                <w:tcPr>
                  <w:tcW w:w="2456" w:type="dxa"/>
                </w:tcPr>
                <w:p>
                  <w:pPr>
                    <w:shd w:val="clear"/>
                    <w:rPr>
                      <w:szCs w:val="21"/>
                    </w:rPr>
                  </w:pPr>
                  <w:r>
                    <w:rPr>
                      <w:rFonts w:hint="eastAsia"/>
                      <w:szCs w:val="21"/>
                    </w:rPr>
                    <w:t>现场巡视</w:t>
                  </w:r>
                </w:p>
                <w:p>
                  <w:pPr>
                    <w:shd w:val="clear"/>
                    <w:rPr>
                      <w:szCs w:val="21"/>
                    </w:rPr>
                  </w:pPr>
                  <w:r>
                    <w:rPr>
                      <w:rFonts w:hint="eastAsia"/>
                      <w:szCs w:val="21"/>
                    </w:rPr>
                    <w:t>抽查记录</w:t>
                  </w:r>
                </w:p>
                <w:p>
                  <w:pPr>
                    <w:shd w:val="clear"/>
                    <w:rPr>
                      <w:szCs w:val="21"/>
                    </w:rPr>
                  </w:pPr>
                  <w:r>
                    <w:rPr>
                      <w:rFonts w:hint="eastAsia"/>
                      <w:szCs w:val="21"/>
                    </w:rPr>
                    <w:t>对目标、供方业绩、过程业绩、满意度进行统计</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定期检查</w:t>
                  </w:r>
                </w:p>
                <w:p>
                  <w:pPr>
                    <w:shd w:val="clear"/>
                    <w:rPr>
                      <w:szCs w:val="21"/>
                    </w:rPr>
                  </w:pPr>
                  <w:r>
                    <w:rPr>
                      <w:rFonts w:ascii="Segoe UI Emoji" w:hAnsi="Segoe UI Emoji" w:cs="Segoe UI Emoji"/>
                      <w:color w:val="000000"/>
                      <w:sz w:val="15"/>
                      <w:szCs w:val="15"/>
                    </w:rPr>
                    <w:t>☑</w:t>
                  </w:r>
                  <w:r>
                    <w:rPr>
                      <w:rFonts w:hint="eastAsia"/>
                      <w:szCs w:val="21"/>
                    </w:rPr>
                    <w:t>抽查</w:t>
                  </w:r>
                </w:p>
                <w:p>
                  <w:pPr>
                    <w:shd w:val="clear"/>
                    <w:rPr>
                      <w:szCs w:val="21"/>
                    </w:rPr>
                  </w:pPr>
                  <w:r>
                    <w:rPr>
                      <w:rFonts w:ascii="Segoe UI Emoji" w:hAnsi="Segoe UI Emoji" w:cs="Segoe UI Emoji"/>
                      <w:color w:val="000000"/>
                      <w:sz w:val="15"/>
                      <w:szCs w:val="15"/>
                    </w:rPr>
                    <w:t>☑</w:t>
                  </w:r>
                  <w:r>
                    <w:rPr>
                      <w:rFonts w:hint="eastAsia"/>
                      <w:color w:val="000000"/>
                      <w:szCs w:val="21"/>
                    </w:rPr>
                    <w:t>每年</w:t>
                  </w:r>
                </w:p>
              </w:tc>
              <w:tc>
                <w:tcPr>
                  <w:tcW w:w="2025" w:type="dxa"/>
                </w:tcPr>
                <w:p>
                  <w:pPr>
                    <w:shd w:val="clear"/>
                    <w:rPr>
                      <w:rFonts w:hint="default" w:eastAsia="宋体"/>
                      <w:szCs w:val="21"/>
                      <w:lang w:val="en-US" w:eastAsia="zh-CN"/>
                    </w:rPr>
                  </w:pPr>
                  <w:r>
                    <w:rPr>
                      <w:rFonts w:hint="eastAsia"/>
                      <w:szCs w:val="21"/>
                      <w:lang w:val="en-US" w:eastAsia="zh-CN"/>
                    </w:rPr>
                    <w:t>前提方案、危害控制计划、作业指导书、粮食监控等</w:t>
                  </w:r>
                </w:p>
              </w:tc>
              <w:tc>
                <w:tcPr>
                  <w:tcW w:w="1738" w:type="dxa"/>
                </w:tcPr>
                <w:p>
                  <w:pPr>
                    <w:widowControl/>
                    <w:shd w:val="clear"/>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w:t>
                  </w:r>
                </w:p>
              </w:tc>
              <w:tc>
                <w:tcPr>
                  <w:tcW w:w="2456" w:type="dxa"/>
                </w:tcPr>
                <w:p>
                  <w:pPr>
                    <w:shd w:val="clear"/>
                    <w:rPr>
                      <w:szCs w:val="21"/>
                    </w:rPr>
                  </w:pPr>
                  <w:r>
                    <w:rPr>
                      <w:rFonts w:hint="eastAsia"/>
                      <w:szCs w:val="21"/>
                    </w:rPr>
                    <w:t>内部审核；对内审不符合项进行分析</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按年度内审计划</w:t>
                  </w:r>
                </w:p>
                <w:p>
                  <w:pPr>
                    <w:shd w:val="clear"/>
                    <w:rPr>
                      <w:szCs w:val="21"/>
                    </w:rPr>
                  </w:pPr>
                  <w:r>
                    <w:rPr>
                      <w:rFonts w:hint="eastAsia"/>
                      <w:color w:val="000000"/>
                      <w:szCs w:val="21"/>
                    </w:rPr>
                    <w:sym w:font="Wingdings 2" w:char="0052"/>
                  </w:r>
                  <w:r>
                    <w:rPr>
                      <w:rFonts w:hint="eastAsia"/>
                      <w:szCs w:val="21"/>
                    </w:rPr>
                    <w:t>每年一次</w:t>
                  </w:r>
                </w:p>
                <w:p>
                  <w:pPr>
                    <w:shd w:val="clear"/>
                    <w:rPr>
                      <w:szCs w:val="21"/>
                    </w:rPr>
                  </w:pPr>
                  <w:r>
                    <w:rPr>
                      <w:rFonts w:hint="eastAsia"/>
                      <w:color w:val="000000"/>
                      <w:szCs w:val="21"/>
                    </w:rPr>
                    <w:sym w:font="Wingdings 2" w:char="00A3"/>
                  </w:r>
                  <w:r>
                    <w:rPr>
                      <w:rFonts w:hint="eastAsia"/>
                      <w:color w:val="000000"/>
                      <w:szCs w:val="21"/>
                    </w:rPr>
                    <w:t>特殊情况增加</w:t>
                  </w:r>
                </w:p>
              </w:tc>
              <w:tc>
                <w:tcPr>
                  <w:tcW w:w="2025" w:type="dxa"/>
                </w:tcPr>
                <w:p>
                  <w:pPr>
                    <w:shd w:val="clear"/>
                  </w:pPr>
                  <w:r>
                    <w:rPr>
                      <w:rFonts w:hint="eastAsia"/>
                    </w:rPr>
                    <w:t>GB/T19001-2016</w:t>
                  </w:r>
                </w:p>
                <w:p>
                  <w:pPr>
                    <w:shd w:val="clear"/>
                    <w:rPr>
                      <w:rFonts w:hint="eastAsia"/>
                    </w:rPr>
                  </w:pPr>
                  <w:r>
                    <w:rPr>
                      <w:rFonts w:hint="eastAsia"/>
                    </w:rPr>
                    <w:t>ISO22000：2018</w:t>
                  </w:r>
                </w:p>
                <w:p>
                  <w:pPr>
                    <w:pStyle w:val="2"/>
                    <w:shd w:val="clear"/>
                    <w:rPr>
                      <w:rFonts w:hint="default" w:eastAsia="宋体"/>
                      <w:lang w:val="en-US" w:eastAsia="zh-CN"/>
                    </w:rPr>
                  </w:pP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体系有效性</w:t>
                  </w:r>
                </w:p>
              </w:tc>
              <w:tc>
                <w:tcPr>
                  <w:tcW w:w="2456" w:type="dxa"/>
                </w:tcPr>
                <w:p>
                  <w:pPr>
                    <w:shd w:val="clear"/>
                    <w:rPr>
                      <w:szCs w:val="21"/>
                    </w:rPr>
                  </w:pPr>
                  <w:r>
                    <w:rPr>
                      <w:rFonts w:hint="eastAsia"/>
                      <w:szCs w:val="21"/>
                    </w:rPr>
                    <w:t>管理评审，对QMS/FSMS存在的需要问题进行分析</w:t>
                  </w:r>
                </w:p>
              </w:tc>
              <w:tc>
                <w:tcPr>
                  <w:tcW w:w="1651" w:type="dxa"/>
                </w:tcPr>
                <w:p>
                  <w:pPr>
                    <w:shd w:val="clear"/>
                    <w:rPr>
                      <w:szCs w:val="21"/>
                    </w:rPr>
                  </w:pPr>
                  <w:r>
                    <w:rPr>
                      <w:rFonts w:ascii="Segoe UI Emoji" w:hAnsi="Segoe UI Emoji" w:cs="Segoe UI Emoji"/>
                      <w:color w:val="000000"/>
                      <w:sz w:val="15"/>
                      <w:szCs w:val="15"/>
                    </w:rPr>
                    <w:t>☑</w:t>
                  </w:r>
                  <w:r>
                    <w:rPr>
                      <w:rFonts w:hint="eastAsia"/>
                      <w:szCs w:val="21"/>
                    </w:rPr>
                    <w:t>每年一次</w:t>
                  </w:r>
                </w:p>
                <w:p>
                  <w:pPr>
                    <w:shd w:val="clear"/>
                    <w:rPr>
                      <w:szCs w:val="21"/>
                    </w:rPr>
                  </w:pPr>
                  <w:r>
                    <w:rPr>
                      <w:rFonts w:hint="eastAsia"/>
                      <w:color w:val="000000"/>
                      <w:szCs w:val="21"/>
                    </w:rPr>
                    <w:sym w:font="Wingdings 2" w:char="0052"/>
                  </w:r>
                  <w:r>
                    <w:rPr>
                      <w:rFonts w:hint="eastAsia"/>
                      <w:color w:val="000000"/>
                      <w:szCs w:val="21"/>
                    </w:rPr>
                    <w:t>特殊情况增加</w:t>
                  </w:r>
                </w:p>
              </w:tc>
              <w:tc>
                <w:tcPr>
                  <w:tcW w:w="2025" w:type="dxa"/>
                </w:tcPr>
                <w:p>
                  <w:pPr>
                    <w:shd w:val="clear"/>
                    <w:rPr>
                      <w:szCs w:val="21"/>
                    </w:rPr>
                  </w:pPr>
                  <w:r>
                    <w:rPr>
                      <w:rFonts w:hint="eastAsia"/>
                      <w:szCs w:val="21"/>
                    </w:rPr>
                    <w:t>GB/T19001-2016</w:t>
                  </w:r>
                </w:p>
                <w:p>
                  <w:pPr>
                    <w:shd w:val="clear"/>
                    <w:rPr>
                      <w:szCs w:val="21"/>
                    </w:rPr>
                  </w:pPr>
                  <w:r>
                    <w:rPr>
                      <w:rFonts w:hint="eastAsia"/>
                      <w:szCs w:val="21"/>
                    </w:rPr>
                    <w:t>ISO22000：2018</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shd w:val="clear"/>
                    <w:rPr>
                      <w:szCs w:val="21"/>
                    </w:rPr>
                  </w:pPr>
                  <w:r>
                    <w:rPr>
                      <w:rFonts w:hint="eastAsia"/>
                      <w:szCs w:val="21"/>
                    </w:rPr>
                    <w:t>相关方反馈</w:t>
                  </w:r>
                </w:p>
              </w:tc>
              <w:tc>
                <w:tcPr>
                  <w:tcW w:w="2456" w:type="dxa"/>
                </w:tcPr>
                <w:p>
                  <w:pPr>
                    <w:shd w:val="clear"/>
                    <w:rPr>
                      <w:szCs w:val="21"/>
                    </w:rPr>
                  </w:pPr>
                  <w:r>
                    <w:rPr>
                      <w:rFonts w:hint="eastAsia"/>
                      <w:szCs w:val="21"/>
                    </w:rPr>
                    <w:t>反馈处理，对问题进行统计</w:t>
                  </w:r>
                </w:p>
              </w:tc>
              <w:tc>
                <w:tcPr>
                  <w:tcW w:w="1651" w:type="dxa"/>
                </w:tcPr>
                <w:p>
                  <w:pPr>
                    <w:shd w:val="clea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发生时进行处理</w:t>
                  </w:r>
                </w:p>
                <w:p>
                  <w:pPr>
                    <w:shd w:val="clear"/>
                    <w:rPr>
                      <w:szCs w:val="21"/>
                    </w:rPr>
                  </w:pPr>
                  <w:r>
                    <w:rPr>
                      <w:rFonts w:hint="eastAsia" w:ascii="Segoe UI Emoji" w:hAnsi="Segoe UI Emoji" w:cs="Segoe UI Emoji"/>
                      <w:color w:val="000000"/>
                      <w:sz w:val="15"/>
                      <w:szCs w:val="15"/>
                      <w:lang w:eastAsia="zh-CN"/>
                    </w:rPr>
                    <w:t>□</w:t>
                  </w:r>
                  <w:r>
                    <w:rPr>
                      <w:rFonts w:hint="eastAsia"/>
                      <w:szCs w:val="21"/>
                    </w:rPr>
                    <w:t>每年一次</w:t>
                  </w:r>
                </w:p>
              </w:tc>
              <w:tc>
                <w:tcPr>
                  <w:tcW w:w="2025" w:type="dxa"/>
                </w:tcPr>
                <w:p>
                  <w:pPr>
                    <w:shd w:val="clear"/>
                    <w:rPr>
                      <w:rFonts w:hint="default" w:eastAsia="宋体"/>
                      <w:szCs w:val="21"/>
                      <w:lang w:val="en-US" w:eastAsia="zh-CN"/>
                    </w:rPr>
                  </w:pPr>
                  <w:r>
                    <w:rPr>
                      <w:rFonts w:hint="eastAsia"/>
                      <w:szCs w:val="21"/>
                    </w:rPr>
                    <w:t>按企业</w:t>
                  </w:r>
                  <w:r>
                    <w:rPr>
                      <w:rFonts w:hint="eastAsia"/>
                      <w:szCs w:val="21"/>
                      <w:lang w:val="en-US" w:eastAsia="zh-CN"/>
                    </w:rPr>
                    <w:t>相关制度要求、招标要求等执行</w:t>
                  </w:r>
                </w:p>
              </w:tc>
              <w:tc>
                <w:tcPr>
                  <w:tcW w:w="1738" w:type="dxa"/>
                </w:tcPr>
                <w:p>
                  <w:pPr>
                    <w:widowControl/>
                    <w:shd w:val="clear"/>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shd w:val="clear"/>
            </w:pP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90" w:hRule="atLeast"/>
        </w:trPr>
        <w:tc>
          <w:tcPr>
            <w:tcW w:w="1518" w:type="dxa"/>
            <w:vMerge w:val="restart"/>
            <w:shd w:val="clear" w:color="auto" w:fill="auto"/>
          </w:tcPr>
          <w:p>
            <w:r>
              <w:rPr>
                <w:rFonts w:hint="eastAsia"/>
              </w:rPr>
              <w:t>内部审核</w:t>
            </w:r>
          </w:p>
        </w:tc>
        <w:tc>
          <w:tcPr>
            <w:tcW w:w="1055" w:type="dxa"/>
            <w:vMerge w:val="restart"/>
            <w:shd w:val="clear" w:color="auto" w:fill="auto"/>
          </w:tcPr>
          <w:p>
            <w:r>
              <w:rPr>
                <w:rFonts w:hint="eastAsia"/>
              </w:rPr>
              <w:t>Q9.2</w:t>
            </w:r>
          </w:p>
          <w:p>
            <w:r>
              <w:rPr>
                <w:rFonts w:hint="eastAsia"/>
              </w:rPr>
              <w:t>F9.2</w:t>
            </w:r>
          </w:p>
        </w:tc>
        <w:tc>
          <w:tcPr>
            <w:tcW w:w="893" w:type="dxa"/>
            <w:shd w:val="clear" w:color="auto" w:fill="auto"/>
          </w:tcPr>
          <w:p>
            <w:r>
              <w:rPr>
                <w:rFonts w:hint="eastAsia"/>
              </w:rPr>
              <w:t>文件名称</w:t>
            </w:r>
          </w:p>
        </w:tc>
        <w:tc>
          <w:tcPr>
            <w:tcW w:w="9373" w:type="dxa"/>
            <w:shd w:val="clear" w:color="auto" w:fill="auto"/>
          </w:tcPr>
          <w:p>
            <w:pPr>
              <w:rPr>
                <w:rFonts w:hint="default" w:eastAsia="宋体"/>
                <w:lang w:val="en-US" w:eastAsia="zh-CN"/>
              </w:rPr>
            </w:pPr>
            <w:r>
              <w:rPr>
                <w:rFonts w:hint="eastAsia"/>
              </w:rPr>
              <w:t>如：</w:t>
            </w:r>
            <w:r>
              <w:rPr/>
              <w:sym w:font="Wingdings" w:char="00FE"/>
            </w:r>
            <w:r>
              <w:rPr>
                <w:rFonts w:hint="eastAsia"/>
              </w:rPr>
              <w:t>《内审控制程序》</w:t>
            </w:r>
            <w:r>
              <w:rPr>
                <w:rFonts w:hint="eastAsia"/>
                <w:lang w:eastAsia="zh-CN"/>
              </w:rPr>
              <w:t>、</w:t>
            </w:r>
            <w:r>
              <w:rPr/>
              <w:sym w:font="Wingdings" w:char="00FE"/>
            </w:r>
            <w:r>
              <w:rPr>
                <w:rFonts w:hint="eastAsia"/>
                <w:lang w:eastAsia="zh-CN"/>
              </w:rPr>
              <w:t>《</w:t>
            </w:r>
            <w:r>
              <w:rPr>
                <w:rFonts w:hint="eastAsia"/>
                <w:lang w:val="en-US" w:eastAsia="zh-CN"/>
              </w:rPr>
              <w:t>管理手册》9.2条款</w:t>
            </w:r>
          </w:p>
        </w:tc>
        <w:tc>
          <w:tcPr>
            <w:tcW w:w="1366"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1628" w:hRule="atLeast"/>
        </w:trPr>
        <w:tc>
          <w:tcPr>
            <w:tcW w:w="1518" w:type="dxa"/>
            <w:vMerge w:val="continue"/>
            <w:shd w:val="clear" w:color="auto" w:fill="auto"/>
          </w:tcPr>
          <w:p/>
        </w:tc>
        <w:tc>
          <w:tcPr>
            <w:tcW w:w="1055" w:type="dxa"/>
            <w:vMerge w:val="continue"/>
            <w:shd w:val="clear" w:color="auto" w:fill="auto"/>
          </w:tcPr>
          <w:p/>
        </w:tc>
        <w:tc>
          <w:tcPr>
            <w:tcW w:w="893" w:type="dxa"/>
            <w:shd w:val="clear" w:color="auto" w:fill="auto"/>
          </w:tcPr>
          <w:p>
            <w:pPr>
              <w:widowControl/>
              <w:spacing w:before="40"/>
              <w:jc w:val="left"/>
              <w:rPr>
                <w:color w:val="000000"/>
                <w:szCs w:val="18"/>
              </w:rPr>
            </w:pPr>
          </w:p>
          <w:p>
            <w:r>
              <w:rPr>
                <w:rFonts w:hint="eastAsia"/>
              </w:rPr>
              <w:t>运行证据</w:t>
            </w:r>
          </w:p>
        </w:tc>
        <w:tc>
          <w:tcPr>
            <w:tcW w:w="9373" w:type="dxa"/>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w:t>
            </w:r>
            <w:r>
              <w:rPr>
                <w:rFonts w:hint="eastAsia"/>
                <w:color w:val="000000"/>
                <w:szCs w:val="18"/>
                <w:u w:val="single"/>
                <w:lang w:val="en-US" w:eastAsia="zh-CN"/>
              </w:rPr>
              <w:t>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6</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7 </w:t>
            </w:r>
            <w:r>
              <w:rPr>
                <w:color w:val="000000"/>
                <w:szCs w:val="18"/>
                <w:u w:val="single"/>
              </w:rPr>
              <w:t xml:space="preserve"> </w:t>
            </w:r>
            <w:r>
              <w:rPr>
                <w:rFonts w:hint="eastAsia"/>
                <w:color w:val="000000"/>
                <w:szCs w:val="18"/>
              </w:rPr>
              <w:t>日实施了QMS/FSMS内部审核；</w:t>
            </w:r>
          </w:p>
          <w:p>
            <w:pPr>
              <w:widowControl/>
              <w:spacing w:before="40"/>
              <w:jc w:val="left"/>
              <w:rPr>
                <w:color w:val="000000"/>
                <w:szCs w:val="18"/>
              </w:rPr>
            </w:pPr>
            <w:r>
              <w:rPr>
                <w:rFonts w:hint="eastAsia"/>
                <w:color w:val="000000"/>
                <w:szCs w:val="18"/>
              </w:rPr>
              <w:t>记录包括：</w:t>
            </w:r>
          </w:p>
          <w:p>
            <w:pPr>
              <w:widowControl/>
              <w:spacing w:before="40"/>
              <w:jc w:val="left"/>
              <w:rPr>
                <w:rFonts w:hint="eastAsia" w:eastAsia="宋体"/>
                <w:color w:val="000000"/>
                <w:szCs w:val="18"/>
                <w:highlight w:val="yellow"/>
                <w:u w:val="single"/>
                <w:lang w:eastAsia="zh-CN"/>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《内审员证书》</w:t>
            </w:r>
            <w:r>
              <w:rPr>
                <w:highlight w:val="none"/>
              </w:rPr>
              <w:sym w:font="Wingdings" w:char="00FE"/>
            </w:r>
            <w:r>
              <w:rPr>
                <w:rFonts w:hint="eastAsia"/>
                <w:color w:val="000000"/>
                <w:szCs w:val="21"/>
                <w:highlight w:val="none"/>
              </w:rPr>
              <w:t>有内审员培训记录</w:t>
            </w:r>
            <w:r>
              <w:rPr>
                <w:rFonts w:hint="eastAsia"/>
                <w:color w:val="000000"/>
                <w:szCs w:val="21"/>
                <w:highlight w:val="none"/>
                <w:u w:val="single"/>
                <w:lang w:eastAsia="zh-CN"/>
              </w:rPr>
              <w:t>【</w:t>
            </w:r>
            <w:r>
              <w:rPr>
                <w:rFonts w:hint="eastAsia"/>
                <w:color w:val="000000"/>
                <w:szCs w:val="21"/>
                <w:highlight w:val="none"/>
                <w:u w:val="single"/>
                <w:lang w:val="en-US" w:eastAsia="zh-CN"/>
              </w:rPr>
              <w:t>部分部门描述与组织架构不完全一致，已与企业沟通</w:t>
            </w:r>
            <w:r>
              <w:rPr>
                <w:rFonts w:hint="eastAsia"/>
                <w:color w:val="000000"/>
                <w:szCs w:val="21"/>
                <w:highlight w:val="none"/>
                <w:u w:val="single"/>
                <w:lang w:eastAsia="zh-CN"/>
              </w:rPr>
              <w:t>】</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r>
              <w:rPr>
                <w:rFonts w:hint="eastAsia"/>
                <w:color w:val="000000"/>
                <w:szCs w:val="18"/>
                <w:u w:val="single"/>
                <w:lang w:val="en-US" w:eastAsia="zh-CN"/>
              </w:rPr>
              <w:t>管理层、食品安全小组、仓储部</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ascii="宋体" w:hAnsi="宋体"/>
                <w:color w:val="auto"/>
                <w:sz w:val="21"/>
                <w:szCs w:val="21"/>
                <w:u w:val="single"/>
                <w:lang w:val="en-US" w:eastAsia="zh-CN"/>
              </w:rPr>
            </w:pPr>
            <w:r>
              <w:rPr>
                <w:rFonts w:hint="eastAsia"/>
                <w:color w:val="000000"/>
                <w:szCs w:val="18"/>
              </w:rPr>
              <w:t xml:space="preserve">涉及的条款号或问题简述： </w:t>
            </w:r>
            <w:r>
              <w:rPr>
                <w:rFonts w:hint="eastAsia"/>
                <w:color w:val="000000"/>
                <w:szCs w:val="18"/>
                <w:u w:val="single"/>
              </w:rPr>
              <w:t>综合</w:t>
            </w:r>
            <w:r>
              <w:rPr>
                <w:rFonts w:hint="eastAsia"/>
                <w:color w:val="000000"/>
                <w:szCs w:val="18"/>
                <w:u w:val="single"/>
                <w:lang w:val="en-US" w:eastAsia="zh-CN"/>
              </w:rPr>
              <w:t>部</w:t>
            </w:r>
            <w:r>
              <w:rPr>
                <w:rFonts w:hint="eastAsia"/>
                <w:color w:val="000000"/>
                <w:szCs w:val="18"/>
                <w:u w:val="single"/>
              </w:rPr>
              <w:t>未提供策划的关于“质量手册、程序文件”的培训的证据”</w:t>
            </w:r>
            <w:r>
              <w:rPr>
                <w:rFonts w:hint="eastAsia" w:ascii="宋体" w:hAnsi="宋体"/>
                <w:color w:val="auto"/>
                <w:sz w:val="21"/>
                <w:szCs w:val="21"/>
                <w:u w:val="single"/>
                <w:lang w:val="en-US" w:eastAsia="zh-CN"/>
              </w:rPr>
              <w:t>；</w:t>
            </w:r>
          </w:p>
          <w:p>
            <w:pPr>
              <w:numPr>
                <w:numId w:val="0"/>
              </w:numPr>
              <w:rPr>
                <w:rFonts w:hint="eastAsia"/>
                <w:sz w:val="21"/>
                <w:szCs w:val="21"/>
                <w:u w:val="single"/>
              </w:rPr>
            </w:pPr>
            <w:r>
              <w:rPr>
                <w:rFonts w:hint="eastAsia"/>
                <w:sz w:val="21"/>
                <w:szCs w:val="21"/>
                <w:u w:val="single"/>
              </w:rPr>
              <w:t>GB/T19001-2016 标准第</w:t>
            </w:r>
            <w:r>
              <w:rPr>
                <w:rFonts w:hint="eastAsia"/>
                <w:sz w:val="21"/>
                <w:szCs w:val="21"/>
                <w:u w:val="single"/>
                <w:lang w:val="en-US" w:eastAsia="zh-CN"/>
              </w:rPr>
              <w:t>7.2</w:t>
            </w:r>
            <w:r>
              <w:rPr>
                <w:rFonts w:hint="eastAsia"/>
                <w:sz w:val="21"/>
                <w:szCs w:val="21"/>
                <w:u w:val="single"/>
              </w:rPr>
              <w:t>条款</w:t>
            </w:r>
            <w:r>
              <w:rPr>
                <w:rFonts w:hint="eastAsia"/>
                <w:sz w:val="21"/>
                <w:szCs w:val="21"/>
                <w:u w:val="single"/>
                <w:lang w:eastAsia="zh-CN"/>
              </w:rPr>
              <w:t>、</w:t>
            </w:r>
            <w:r>
              <w:rPr>
                <w:rFonts w:hint="eastAsia" w:ascii="宋体" w:hAnsi="宋体"/>
                <w:sz w:val="21"/>
                <w:szCs w:val="21"/>
                <w:u w:val="single"/>
                <w:lang w:val="en-US" w:eastAsia="zh-CN"/>
              </w:rPr>
              <w:t>ISO22000:2018标准第</w:t>
            </w:r>
            <w:r>
              <w:rPr>
                <w:rFonts w:hint="eastAsia"/>
                <w:sz w:val="21"/>
                <w:szCs w:val="21"/>
                <w:u w:val="single"/>
                <w:lang w:val="en-US" w:eastAsia="zh-CN"/>
              </w:rPr>
              <w:t>7.2</w:t>
            </w:r>
            <w:r>
              <w:rPr>
                <w:rFonts w:hint="eastAsia"/>
                <w:sz w:val="21"/>
                <w:szCs w:val="21"/>
                <w:u w:val="single"/>
              </w:rPr>
              <w:t>条款的规定。</w:t>
            </w:r>
          </w:p>
          <w:p>
            <w:pPr>
              <w:widowControl/>
              <w:spacing w:before="40"/>
              <w:jc w:val="left"/>
              <w:rPr>
                <w:rFonts w:asciiTheme="minorEastAsia" w:hAnsiTheme="minorEastAsia" w:eastAsiaTheme="minorEastAsia"/>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FE"/>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clear" w:color="FFFFFF" w:fill="D9D9D9"/>
              </w:rPr>
            </w:pPr>
            <w:r>
              <w:rPr>
                <w:rFonts w:hint="eastAsia"/>
                <w:shd w:val="clear" w:color="FFFFFF" w:fill="D9D9D9"/>
              </w:rPr>
              <w:t>本次现场审核时，上述不符合项的纠正措施的有效性</w:t>
            </w:r>
          </w:p>
          <w:p>
            <w:pPr>
              <w:widowControl/>
              <w:spacing w:before="40"/>
              <w:jc w:val="left"/>
            </w:pPr>
            <w:r>
              <w:rPr>
                <w:rFonts w:hint="eastAsia"/>
              </w:rPr>
              <w:sym w:font="Wingdings" w:char="00FE"/>
            </w:r>
            <w:r>
              <w:rPr>
                <w:rFonts w:hint="eastAsia"/>
                <w:shd w:val="clear" w:color="FFFFFF" w:fill="D9D9D9"/>
              </w:rPr>
              <w:t xml:space="preserve">不符合项未发生  </w:t>
            </w:r>
            <w:r>
              <w:rPr>
                <w:rFonts w:hint="eastAsia"/>
                <w:shd w:val="clear" w:color="FFFFFF" w:fill="D9D9D9"/>
              </w:rPr>
              <w:sym w:font="Wingdings" w:char="00A8"/>
            </w:r>
            <w:r>
              <w:rPr>
                <w:rFonts w:hint="eastAsia"/>
                <w:shd w:val="clear" w:color="FFFFFF" w:fill="D9D9D9"/>
              </w:rPr>
              <w:t xml:space="preserve">不符合项仍然存在 </w:t>
            </w:r>
          </w:p>
        </w:tc>
        <w:tc>
          <w:tcPr>
            <w:tcW w:w="1366"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Q9.3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bookmarkStart w:id="2" w:name="_Hlk55987447"/>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bookmarkEnd w:id="2"/>
          </w:p>
        </w:tc>
        <w:tc>
          <w:tcPr>
            <w:tcW w:w="1366" w:type="dxa"/>
            <w:gridSpan w:val="2"/>
            <w:vMerge w:val="restart"/>
            <w:shd w:val="clear" w:color="auto" w:fill="auto"/>
          </w:tcPr>
          <w:p>
            <w:pPr>
              <w:shd w:val="clear"/>
            </w:pPr>
            <w:r>
              <w:rPr/>
              <w:sym w:font="Wingdings" w:char="00FE"/>
            </w:r>
            <w:r>
              <w:rPr>
                <w:rFonts w:hint="eastAsia"/>
              </w:rPr>
              <w:t>符合</w:t>
            </w:r>
          </w:p>
          <w:p>
            <w:pPr>
              <w:shd w:val="clea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12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14</w:t>
            </w:r>
            <w:r>
              <w:rPr>
                <w:rFonts w:hint="eastAsia"/>
                <w:color w:val="000000"/>
                <w:szCs w:val="18"/>
              </w:rPr>
              <w:t>日实施了管理评审；</w:t>
            </w:r>
          </w:p>
          <w:p>
            <w:pPr>
              <w:widowControl/>
              <w:shd w:val="clear"/>
              <w:spacing w:before="40"/>
              <w:jc w:val="left"/>
              <w:rPr>
                <w:color w:val="auto"/>
                <w:szCs w:val="21"/>
                <w:highlight w:val="none"/>
              </w:rPr>
            </w:pPr>
            <w:r>
              <w:rPr>
                <w:rFonts w:hint="eastAsia"/>
                <w:color w:val="000000"/>
                <w:szCs w:val="18"/>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管理评审计划  </w:t>
            </w:r>
            <w:r>
              <w:rPr/>
              <w:sym w:font="Wingdings" w:char="00FE"/>
            </w:r>
            <w:r>
              <w:rPr>
                <w:rFonts w:hint="eastAsia"/>
                <w:color w:val="000000"/>
                <w:szCs w:val="21"/>
              </w:rPr>
              <w:t xml:space="preserve">管理评审记录（工作总结）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管理评审纪要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管理评审报告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hd w:val="clear"/>
                    <w:spacing w:before="40"/>
                    <w:jc w:val="left"/>
                    <w:rPr>
                      <w:color w:val="000000"/>
                      <w:szCs w:val="21"/>
                    </w:rPr>
                  </w:pPr>
                  <w:r>
                    <w:rPr>
                      <w:rFonts w:hint="eastAsia"/>
                      <w:color w:val="000000"/>
                      <w:szCs w:val="21"/>
                    </w:rPr>
                    <w:t>管理评审输入信息</w:t>
                  </w:r>
                </w:p>
              </w:tc>
              <w:tc>
                <w:tcPr>
                  <w:tcW w:w="1990" w:type="dxa"/>
                </w:tcPr>
                <w:p>
                  <w:pPr>
                    <w:widowControl/>
                    <w:shd w:val="clear"/>
                    <w:spacing w:before="40"/>
                    <w:jc w:val="left"/>
                    <w:rPr>
                      <w:color w:val="000000"/>
                      <w:szCs w:val="21"/>
                    </w:rPr>
                  </w:pPr>
                  <w:r>
                    <w:rPr>
                      <w:rFonts w:hint="eastAsia"/>
                      <w:color w:val="000000"/>
                      <w:szCs w:val="21"/>
                    </w:rPr>
                    <w:t>评价</w:t>
                  </w:r>
                </w:p>
              </w:tc>
              <w:tc>
                <w:tcPr>
                  <w:tcW w:w="2816"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以往管理评审所采取措施的情况；</w:t>
                  </w:r>
                </w:p>
              </w:tc>
              <w:tc>
                <w:tcPr>
                  <w:tcW w:w="1990" w:type="dxa"/>
                </w:tcPr>
                <w:p>
                  <w:pPr>
                    <w:widowControl/>
                    <w:shd w:val="clear"/>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与质量管理体系相关的内外部因素的变化；</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52"/>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顾客满意和有关相关方的反馈及趋势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highlight w:val="none"/>
                    </w:rPr>
                  </w:pPr>
                  <w:r>
                    <w:rPr>
                      <w:rFonts w:hint="eastAsia"/>
                      <w:highlight w:val="none"/>
                    </w:rPr>
                    <w:t>质量目标的实现程度及趋势</w:t>
                  </w:r>
                </w:p>
              </w:tc>
              <w:tc>
                <w:tcPr>
                  <w:tcW w:w="1990" w:type="dxa"/>
                </w:tcPr>
                <w:p>
                  <w:pPr>
                    <w:widowControl/>
                    <w:shd w:val="clear"/>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2816" w:type="dxa"/>
                </w:tcPr>
                <w:p>
                  <w:pPr>
                    <w:widowControl/>
                    <w:shd w:val="clear"/>
                    <w:spacing w:before="40"/>
                    <w:jc w:val="left"/>
                    <w:rPr>
                      <w:rFonts w:hint="default" w:eastAsia="宋体"/>
                      <w:color w:val="000000"/>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过程绩效以及产品和服务的合格情况及趋势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不合格及纠正措施及趋势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监视和测量结果及趋势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内审、外部审核结果及趋势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外部供方的绩效及趋势</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不是很充分，已沟通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资源的充分性；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rPr>
                      <w:color w:val="000000"/>
                      <w:szCs w:val="21"/>
                    </w:rPr>
                  </w:pPr>
                  <w:r>
                    <w:rPr>
                      <w:rFonts w:hint="eastAsia"/>
                    </w:rPr>
                    <w:t>应对风险和机遇所采取措施的有效性</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16"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hd w:val="clear"/>
                    <w:spacing w:before="40"/>
                    <w:jc w:val="left"/>
                  </w:pPr>
                  <w:r>
                    <w:rPr>
                      <w:rFonts w:hint="eastAsia"/>
                    </w:rPr>
                    <w:t>改进的机会</w:t>
                  </w:r>
                </w:p>
              </w:tc>
              <w:tc>
                <w:tcPr>
                  <w:tcW w:w="1990" w:type="dxa"/>
                </w:tcPr>
                <w:p>
                  <w:pPr>
                    <w:widowControl/>
                    <w:shd w:val="clear"/>
                    <w:spacing w:before="40"/>
                    <w:jc w:val="left"/>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符合 □不符合</w:t>
                  </w:r>
                </w:p>
              </w:tc>
              <w:tc>
                <w:tcPr>
                  <w:tcW w:w="2816" w:type="dxa"/>
                </w:tcPr>
                <w:p>
                  <w:pPr>
                    <w:widowControl/>
                    <w:shd w:val="clear"/>
                    <w:spacing w:before="40"/>
                    <w:jc w:val="left"/>
                    <w:rPr>
                      <w:rFonts w:hint="default" w:eastAsia="宋体"/>
                      <w:color w:val="000000"/>
                      <w:szCs w:val="21"/>
                      <w:lang w:val="en-US" w:eastAsia="zh-CN"/>
                    </w:rPr>
                  </w:pPr>
                  <w:r>
                    <w:rPr>
                      <w:rFonts w:hint="eastAsia"/>
                      <w:color w:val="000000"/>
                      <w:szCs w:val="21"/>
                      <w:lang w:val="en-US" w:eastAsia="zh-CN"/>
                    </w:rPr>
                    <w:t>见输出</w:t>
                  </w:r>
                </w:p>
              </w:tc>
            </w:tr>
          </w:tbl>
          <w:p>
            <w:pPr>
              <w:pStyle w:val="12"/>
              <w:rPr>
                <w:color w:val="000000"/>
                <w:szCs w:val="21"/>
                <w:highlight w:val="cyan"/>
              </w:rPr>
            </w:pPr>
          </w:p>
          <w:p>
            <w:pPr>
              <w:pStyle w:val="12"/>
              <w:rPr>
                <w:color w:val="000000"/>
                <w:szCs w:val="21"/>
                <w:highlight w:val="cyan"/>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rPr>
                  </w:pPr>
                  <w:r>
                    <w:rPr>
                      <w:rFonts w:hint="eastAsia"/>
                      <w:color w:val="000000"/>
                      <w:szCs w:val="18"/>
                    </w:rPr>
                    <w:t>管理评审输出信息</w:t>
                  </w:r>
                </w:p>
              </w:tc>
              <w:tc>
                <w:tcPr>
                  <w:tcW w:w="4620"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highlight w:val="none"/>
                    </w:rPr>
                  </w:pPr>
                  <w:r>
                    <w:rPr>
                      <w:rFonts w:hint="eastAsia"/>
                      <w:highlight w:val="none"/>
                    </w:rPr>
                    <w:t>改进的机会</w:t>
                  </w:r>
                </w:p>
              </w:tc>
              <w:tc>
                <w:tcPr>
                  <w:tcW w:w="4620" w:type="dxa"/>
                </w:tcPr>
                <w:p>
                  <w:pPr>
                    <w:rPr>
                      <w:rFonts w:hint="eastAsia"/>
                    </w:rPr>
                  </w:pPr>
                  <w:r>
                    <w:rPr>
                      <w:rFonts w:hint="eastAsia"/>
                    </w:rPr>
                    <w:t>对相关人员进行培训，培训内</w:t>
                  </w:r>
                </w:p>
                <w:p>
                  <w:pPr>
                    <w:widowControl/>
                    <w:shd w:val="clear"/>
                    <w:spacing w:before="40"/>
                    <w:jc w:val="left"/>
                    <w:rPr>
                      <w:rFonts w:hint="default" w:eastAsia="宋体"/>
                      <w:color w:val="000000"/>
                      <w:szCs w:val="21"/>
                      <w:highlight w:val="none"/>
                      <w:lang w:val="en-US" w:eastAsia="zh-CN"/>
                    </w:rPr>
                  </w:pPr>
                  <w:r>
                    <w:rPr>
                      <w:rFonts w:hint="eastAsia"/>
                    </w:rPr>
                    <w:t>容包括ISO9001-2015标</w:t>
                  </w:r>
                  <w:r>
                    <w:rPr>
                      <w:rFonts w:hint="eastAsia" w:ascii="Times New Roman" w:hAnsi="Times New Roman" w:eastAsia="宋体" w:cs="Times New Roman"/>
                    </w:rPr>
                    <w:t>准</w:t>
                  </w:r>
                  <w:r>
                    <w:rPr>
                      <w:rFonts w:hint="eastAsia" w:ascii="Times New Roman" w:hAnsi="Times New Roman" w:eastAsia="宋体" w:cs="Times New Roman"/>
                      <w:lang w:eastAsia="zh-CN"/>
                    </w:rPr>
                    <w:t>、ISO22000:2018</w:t>
                  </w:r>
                  <w:r>
                    <w:rPr>
                      <w:rFonts w:hint="eastAsia" w:ascii="Times New Roman" w:hAnsi="Times New Roman" w:eastAsia="宋体" w:cs="Times New Roman"/>
                    </w:rPr>
                    <w:t xml:space="preserve">标准和我公司的质量手册、程序文件、作业文件 </w:t>
                  </w:r>
                </w:p>
              </w:tc>
              <w:tc>
                <w:tcPr>
                  <w:tcW w:w="2496" w:type="dxa"/>
                </w:tcPr>
                <w:p>
                  <w:pPr>
                    <w:widowControl/>
                    <w:shd w:val="clear"/>
                    <w:spacing w:before="40"/>
                    <w:jc w:val="left"/>
                    <w:rPr>
                      <w:rFonts w:hint="default" w:eastAsia="宋体"/>
                      <w:color w:val="000000"/>
                      <w:szCs w:val="21"/>
                      <w:highlight w:val="none"/>
                      <w:lang w:val="en-US" w:eastAsia="zh-CN"/>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highlight w:val="none"/>
                    </w:rPr>
                  </w:pPr>
                  <w:r>
                    <w:rPr>
                      <w:rFonts w:hint="eastAsia"/>
                      <w:highlight w:val="none"/>
                    </w:rPr>
                    <w:t>质量管理体系所需的变更</w:t>
                  </w:r>
                </w:p>
              </w:tc>
              <w:tc>
                <w:tcPr>
                  <w:tcW w:w="4620" w:type="dxa"/>
                </w:tcPr>
                <w:p>
                  <w:pPr>
                    <w:widowControl/>
                    <w:shd w:val="clear"/>
                    <w:spacing w:before="40"/>
                    <w:jc w:val="left"/>
                    <w:rPr>
                      <w:color w:val="000000"/>
                      <w:szCs w:val="21"/>
                      <w:highlight w:val="none"/>
                    </w:rPr>
                  </w:pPr>
                  <w:r>
                    <w:rPr>
                      <w:rFonts w:hint="eastAsia"/>
                      <w:color w:val="000000"/>
                      <w:szCs w:val="21"/>
                      <w:highlight w:val="none"/>
                    </w:rPr>
                    <w:t>——</w:t>
                  </w:r>
                </w:p>
              </w:tc>
              <w:tc>
                <w:tcPr>
                  <w:tcW w:w="2496" w:type="dxa"/>
                </w:tcPr>
                <w:p>
                  <w:pPr>
                    <w:widowControl/>
                    <w:shd w:val="clear"/>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hd w:val="clear"/>
                    <w:spacing w:before="40"/>
                    <w:jc w:val="left"/>
                    <w:rPr>
                      <w:color w:val="000000"/>
                      <w:szCs w:val="21"/>
                      <w:highlight w:val="none"/>
                    </w:rPr>
                  </w:pPr>
                  <w:r>
                    <w:rPr>
                      <w:rFonts w:hint="eastAsia"/>
                      <w:highlight w:val="none"/>
                    </w:rPr>
                    <w:t>资源需求</w:t>
                  </w:r>
                </w:p>
              </w:tc>
              <w:tc>
                <w:tcPr>
                  <w:tcW w:w="4620" w:type="dxa"/>
                </w:tcPr>
                <w:p>
                  <w:pPr>
                    <w:widowControl/>
                    <w:shd w:val="clear"/>
                    <w:spacing w:before="40"/>
                    <w:jc w:val="left"/>
                    <w:rPr>
                      <w:color w:val="000000"/>
                      <w:szCs w:val="21"/>
                      <w:highlight w:val="none"/>
                    </w:rPr>
                  </w:pPr>
                  <w:r>
                    <w:rPr>
                      <w:rFonts w:hint="eastAsia"/>
                      <w:color w:val="000000"/>
                      <w:szCs w:val="21"/>
                      <w:highlight w:val="none"/>
                    </w:rPr>
                    <w:t>——</w:t>
                  </w:r>
                </w:p>
              </w:tc>
              <w:tc>
                <w:tcPr>
                  <w:tcW w:w="2496" w:type="dxa"/>
                </w:tcPr>
                <w:p>
                  <w:pPr>
                    <w:widowControl/>
                    <w:shd w:val="clear"/>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shd w:val="clear"/>
              <w:rPr>
                <w:rFonts w:hint="default"/>
                <w:highlight w:val="cyan"/>
                <w:lang w:val="en-US"/>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r>
              <w:rPr>
                <w:rFonts w:hint="eastAsia"/>
                <w:highlight w:val="none"/>
                <w:u w:val="single"/>
                <w:lang w:val="en-US" w:eastAsia="zh-CN"/>
              </w:rPr>
              <w:t xml:space="preserve">    </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680" w:hRule="atLeast"/>
        </w:trPr>
        <w:tc>
          <w:tcPr>
            <w:tcW w:w="1518" w:type="dxa"/>
            <w:vMerge w:val="restart"/>
            <w:shd w:val="clear" w:color="auto" w:fill="auto"/>
          </w:tcPr>
          <w:p>
            <w:pPr>
              <w:shd w:val="clear"/>
            </w:pPr>
            <w:r>
              <w:rPr>
                <w:rFonts w:hint="eastAsia"/>
              </w:rPr>
              <w:t>管理评审</w:t>
            </w:r>
          </w:p>
        </w:tc>
        <w:tc>
          <w:tcPr>
            <w:tcW w:w="1055" w:type="dxa"/>
            <w:vMerge w:val="restart"/>
            <w:shd w:val="clear" w:color="auto" w:fill="auto"/>
          </w:tcPr>
          <w:p>
            <w:pPr>
              <w:shd w:val="clear"/>
            </w:pPr>
            <w:r>
              <w:rPr>
                <w:rFonts w:hint="eastAsia"/>
              </w:rPr>
              <w:t>F9.3</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ascii="宋体" w:hAnsi="宋体"/>
                <w:lang w:val="en-US" w:eastAsia="zh-CN"/>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《管理评审控制程序》</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88"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widowControl/>
              <w:shd w:val="clear"/>
              <w:spacing w:before="40"/>
              <w:jc w:val="left"/>
              <w:rPr>
                <w:color w:val="000000"/>
                <w:szCs w:val="18"/>
              </w:rPr>
            </w:pPr>
          </w:p>
          <w:p>
            <w:pPr>
              <w:shd w:val="clear"/>
            </w:pPr>
            <w:r>
              <w:rPr>
                <w:rFonts w:hint="eastAsia"/>
              </w:rPr>
              <w:t>运行证据</w:t>
            </w:r>
          </w:p>
        </w:tc>
        <w:tc>
          <w:tcPr>
            <w:tcW w:w="9373" w:type="dxa"/>
            <w:shd w:val="clear" w:color="auto" w:fill="auto"/>
          </w:tcPr>
          <w:p>
            <w:pPr>
              <w:widowControl/>
              <w:shd w:val="clear"/>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6</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14</w:t>
            </w:r>
            <w:r>
              <w:rPr>
                <w:color w:val="000000"/>
                <w:szCs w:val="18"/>
                <w:u w:val="single"/>
              </w:rPr>
              <w:t xml:space="preserve"> </w:t>
            </w:r>
            <w:r>
              <w:rPr>
                <w:rFonts w:hint="eastAsia"/>
                <w:color w:val="000000"/>
                <w:szCs w:val="18"/>
              </w:rPr>
              <w:t>日实施了管理评审；</w:t>
            </w:r>
          </w:p>
          <w:p>
            <w:pPr>
              <w:widowControl/>
              <w:shd w:val="clear"/>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highlight w:val="none"/>
              </w:rPr>
              <w:t xml:space="preserve"> </w:t>
            </w:r>
            <w:r>
              <w:rPr>
                <w:rFonts w:hint="eastAsia"/>
                <w:color w:val="000000"/>
                <w:szCs w:val="21"/>
                <w:highlight w:val="none"/>
                <w:lang w:eastAsia="zh-CN"/>
              </w:rPr>
              <w:sym w:font="Wingdings 2" w:char="0052"/>
            </w:r>
            <w:r>
              <w:rPr>
                <w:rFonts w:hint="eastAsia"/>
                <w:color w:val="000000"/>
                <w:szCs w:val="21"/>
                <w:highlight w:val="none"/>
              </w:rPr>
              <w:t>管理评审报告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889"/>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rPr>
                      <w:color w:val="000000"/>
                      <w:szCs w:val="21"/>
                    </w:rPr>
                  </w:pPr>
                  <w:r>
                    <w:rPr>
                      <w:rFonts w:hint="eastAsia"/>
                      <w:color w:val="000000"/>
                      <w:szCs w:val="21"/>
                    </w:rPr>
                    <w:t>管理评审输入信息</w:t>
                  </w:r>
                </w:p>
              </w:tc>
              <w:tc>
                <w:tcPr>
                  <w:tcW w:w="1889" w:type="dxa"/>
                </w:tcPr>
                <w:p>
                  <w:pPr>
                    <w:widowControl/>
                    <w:shd w:val="clear"/>
                    <w:spacing w:before="40"/>
                    <w:jc w:val="left"/>
                    <w:rPr>
                      <w:color w:val="000000"/>
                      <w:szCs w:val="21"/>
                    </w:rPr>
                  </w:pPr>
                  <w:r>
                    <w:rPr>
                      <w:rFonts w:hint="eastAsia"/>
                      <w:color w:val="000000"/>
                      <w:szCs w:val="21"/>
                    </w:rPr>
                    <w:t>评价</w:t>
                  </w:r>
                </w:p>
              </w:tc>
              <w:tc>
                <w:tcPr>
                  <w:tcW w:w="2885" w:type="dxa"/>
                </w:tcPr>
                <w:p>
                  <w:pPr>
                    <w:widowControl/>
                    <w:shd w:val="clear"/>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A8"/>
                  </w:r>
                  <w:r>
                    <w:rPr>
                      <w:rFonts w:hint="eastAsia"/>
                    </w:rPr>
                    <w:t>以往管理评审所采取措施的情况；</w:t>
                  </w:r>
                </w:p>
              </w:tc>
              <w:tc>
                <w:tcPr>
                  <w:tcW w:w="1889" w:type="dxa"/>
                </w:tcPr>
                <w:p>
                  <w:pPr>
                    <w:widowControl/>
                    <w:shd w:val="clear"/>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89"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885" w:type="dxa"/>
                  <w:vAlign w:val="top"/>
                </w:tcPr>
                <w:p>
                  <w:pPr>
                    <w:widowControl/>
                    <w:shd w:val="clear"/>
                    <w:spacing w:before="40"/>
                    <w:jc w:val="left"/>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发生的紧急情况、事故或撤回；</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rFonts w:hint="eastAsia"/>
                    </w:rPr>
                    <w:t>监视和测量结果及趋势</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与PRP、OPRP计划和HACCP计划有关的验证活动结果的分析</w:t>
                  </w:r>
                </w:p>
              </w:tc>
              <w:tc>
                <w:tcPr>
                  <w:tcW w:w="1889" w:type="dxa"/>
                </w:tcPr>
                <w:p>
                  <w:pPr>
                    <w:widowControl/>
                    <w:shd w:val="clear"/>
                    <w:spacing w:before="40"/>
                    <w:jc w:val="left"/>
                    <w:rPr>
                      <w:color w:val="000000"/>
                      <w:szCs w:val="21"/>
                    </w:rPr>
                  </w:pPr>
                  <w:r>
                    <w:rPr>
                      <w:rFonts w:hint="eastAsia"/>
                      <w:color w:val="000000"/>
                      <w:szCs w:val="21"/>
                      <w:lang w:eastAsia="zh-CN"/>
                    </w:rPr>
                    <w:sym w:font="Wingdings 2" w:char="0052"/>
                  </w: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实现食品安全管理体系目标的程度</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外部供方绩效</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rFonts w:hint="default"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tcPr>
                <w:p>
                  <w:pPr>
                    <w:widowControl/>
                    <w:shd w:val="clear"/>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rFonts w:hint="eastAsia"/>
                    </w:rPr>
                    <w:t>资源的充分性</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r>
                    <w:rPr>
                      <w:rFonts w:hint="eastAsia"/>
                      <w:color w:val="000000"/>
                      <w:szCs w:val="21"/>
                    </w:rPr>
                    <w:t>☑</w:t>
                  </w:r>
                  <w:r>
                    <w:rPr>
                      <w:color w:val="000000"/>
                      <w:szCs w:val="21"/>
                    </w:rPr>
                    <w:t>为应对风险和机遇所采取措施的有效性</w:t>
                  </w:r>
                </w:p>
              </w:tc>
              <w:tc>
                <w:tcPr>
                  <w:tcW w:w="1889" w:type="dxa"/>
                </w:tcPr>
                <w:p>
                  <w:pPr>
                    <w:widowControl/>
                    <w:shd w:val="clear"/>
                    <w:spacing w:before="40"/>
                    <w:jc w:val="left"/>
                    <w:rPr>
                      <w:color w:val="000000"/>
                      <w:szCs w:val="21"/>
                    </w:rPr>
                  </w:pPr>
                  <w:r>
                    <w:rPr>
                      <w:rFonts w:hint="eastAsia"/>
                      <w:color w:val="000000"/>
                      <w:szCs w:val="21"/>
                    </w:rPr>
                    <w:t>☑符合 □不符合</w:t>
                  </w: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建议下次主要关注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hd w:val="clear"/>
                    <w:spacing w:before="40"/>
                    <w:jc w:val="left"/>
                  </w:pPr>
                </w:p>
              </w:tc>
              <w:tc>
                <w:tcPr>
                  <w:tcW w:w="1889" w:type="dxa"/>
                </w:tcPr>
                <w:p>
                  <w:pPr>
                    <w:widowControl/>
                    <w:shd w:val="clear"/>
                    <w:spacing w:before="40"/>
                    <w:jc w:val="left"/>
                    <w:rPr>
                      <w:color w:val="000000"/>
                      <w:szCs w:val="21"/>
                    </w:rPr>
                  </w:pPr>
                </w:p>
              </w:tc>
              <w:tc>
                <w:tcPr>
                  <w:tcW w:w="2885" w:type="dxa"/>
                  <w:vAlign w:val="top"/>
                </w:tcPr>
                <w:p>
                  <w:pPr>
                    <w:widowControl/>
                    <w:shd w:val="clear"/>
                    <w:spacing w:before="40"/>
                    <w:jc w:val="left"/>
                    <w:rPr>
                      <w:rFonts w:hint="default" w:ascii="Times New Roman" w:hAnsi="Times New Roman" w:eastAsia="宋体" w:cs="Times New Roman"/>
                      <w:color w:val="000000"/>
                      <w:kern w:val="2"/>
                      <w:sz w:val="21"/>
                      <w:szCs w:val="21"/>
                      <w:lang w:val="en-US" w:eastAsia="zh-CN" w:bidi="ar-SA"/>
                    </w:rPr>
                  </w:pPr>
                </w:p>
              </w:tc>
            </w:tr>
          </w:tbl>
          <w:p>
            <w:pPr>
              <w:widowControl/>
              <w:shd w:val="clear"/>
              <w:spacing w:before="40"/>
              <w:jc w:val="left"/>
              <w:rPr>
                <w:color w:val="000000"/>
                <w:szCs w:val="21"/>
              </w:rPr>
            </w:pPr>
          </w:p>
          <w:p>
            <w:pPr>
              <w:pStyle w:val="12"/>
            </w:pPr>
          </w:p>
          <w:p>
            <w:pPr>
              <w:widowControl/>
              <w:shd w:val="clear"/>
              <w:spacing w:before="40"/>
              <w:jc w:val="left"/>
              <w:rPr>
                <w:rFonts w:hint="default" w:eastAsia="宋体"/>
                <w:color w:val="000000"/>
                <w:szCs w:val="21"/>
                <w:highlight w:val="cyan"/>
                <w:u w:val="single"/>
                <w:lang w:val="en-US" w:eastAsia="zh-CN"/>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r>
              <w:rPr>
                <w:rFonts w:hint="eastAsia"/>
                <w:u w:val="single"/>
                <w:lang w:val="en-US" w:eastAsia="zh-CN"/>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1"/>
              <w:gridCol w:w="307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18"/>
                    </w:rPr>
                    <w:t>管理评审输出信息（决策）</w:t>
                  </w:r>
                </w:p>
              </w:tc>
              <w:tc>
                <w:tcPr>
                  <w:tcW w:w="3076" w:type="dxa"/>
                </w:tcPr>
                <w:p>
                  <w:pPr>
                    <w:widowControl/>
                    <w:shd w:val="clear"/>
                    <w:spacing w:before="40"/>
                    <w:jc w:val="left"/>
                    <w:rPr>
                      <w:color w:val="000000"/>
                      <w:szCs w:val="21"/>
                    </w:rPr>
                  </w:pPr>
                  <w:r>
                    <w:rPr>
                      <w:rFonts w:hint="eastAsia"/>
                      <w:color w:val="000000"/>
                      <w:szCs w:val="21"/>
                    </w:rPr>
                    <w:t>措施描述（举例）</w:t>
                  </w:r>
                </w:p>
              </w:tc>
              <w:tc>
                <w:tcPr>
                  <w:tcW w:w="2496" w:type="dxa"/>
                </w:tcPr>
                <w:p>
                  <w:pPr>
                    <w:widowControl/>
                    <w:shd w:val="clear"/>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highlight w:val="none"/>
                    </w:rPr>
                  </w:pPr>
                  <w:r>
                    <w:rPr>
                      <w:rFonts w:hint="eastAsia"/>
                      <w:highlight w:val="none"/>
                    </w:rPr>
                    <w:t>与持续改进机会相关的决策</w:t>
                  </w:r>
                </w:p>
              </w:tc>
              <w:tc>
                <w:tcPr>
                  <w:tcW w:w="3076" w:type="dxa"/>
                  <w:vAlign w:val="top"/>
                </w:tcPr>
                <w:p>
                  <w:pPr>
                    <w:rPr>
                      <w:rFonts w:hint="eastAsia"/>
                    </w:rPr>
                  </w:pPr>
                  <w:r>
                    <w:rPr>
                      <w:rFonts w:hint="eastAsia"/>
                    </w:rPr>
                    <w:t>对相关人员进行培训，培训内</w:t>
                  </w:r>
                </w:p>
                <w:p>
                  <w:pPr>
                    <w:widowControl/>
                    <w:shd w:val="clear"/>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rPr>
                    <w:t>容包括ISO9001-2015标</w:t>
                  </w:r>
                  <w:r>
                    <w:rPr>
                      <w:rFonts w:hint="eastAsia" w:ascii="Times New Roman" w:hAnsi="Times New Roman" w:eastAsia="宋体" w:cs="Times New Roman"/>
                    </w:rPr>
                    <w:t>准</w:t>
                  </w:r>
                  <w:r>
                    <w:rPr>
                      <w:rFonts w:hint="eastAsia" w:ascii="Times New Roman" w:hAnsi="Times New Roman" w:eastAsia="宋体" w:cs="Times New Roman"/>
                      <w:lang w:eastAsia="zh-CN"/>
                    </w:rPr>
                    <w:t>、ISO22000:2018</w:t>
                  </w:r>
                  <w:r>
                    <w:rPr>
                      <w:rFonts w:hint="eastAsia" w:ascii="Times New Roman" w:hAnsi="Times New Roman" w:eastAsia="宋体" w:cs="Times New Roman"/>
                    </w:rPr>
                    <w:t xml:space="preserve">标准和我公司的质量手册、程序文件、作业文件 </w:t>
                  </w:r>
                </w:p>
              </w:tc>
              <w:tc>
                <w:tcPr>
                  <w:tcW w:w="2496" w:type="dxa"/>
                  <w:vAlign w:val="top"/>
                </w:tcPr>
                <w:p>
                  <w:pPr>
                    <w:widowControl/>
                    <w:shd w:val="clear"/>
                    <w:spacing w:before="40"/>
                    <w:jc w:val="left"/>
                    <w:rPr>
                      <w:rFonts w:ascii="Times New Roman" w:hAnsi="Times New Roman" w:eastAsia="宋体" w:cs="Times New Roman"/>
                      <w:color w:val="000000"/>
                      <w:kern w:val="2"/>
                      <w:sz w:val="21"/>
                      <w:szCs w:val="21"/>
                      <w:highlight w:val="yellow"/>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食品安全管理体系所需的变更</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rPr>
                    <w:t>资源需求</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食品安全目标未实现所采取的措施。（需要时）</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471" w:type="dxa"/>
                </w:tcPr>
                <w:p>
                  <w:pPr>
                    <w:widowControl/>
                    <w:shd w:val="clear"/>
                    <w:spacing w:before="40"/>
                    <w:jc w:val="left"/>
                    <w:rPr>
                      <w:color w:val="000000"/>
                      <w:szCs w:val="21"/>
                    </w:rPr>
                  </w:pPr>
                  <w:r>
                    <w:rPr>
                      <w:rFonts w:hint="eastAsia"/>
                      <w:color w:val="000000"/>
                      <w:szCs w:val="21"/>
                    </w:rPr>
                    <w:t>改进食品安全管理体系与其他业务过程融合的机会。（需要时）</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1" w:type="dxa"/>
                </w:tcPr>
                <w:p>
                  <w:pPr>
                    <w:widowControl/>
                    <w:shd w:val="clear"/>
                    <w:spacing w:before="40"/>
                    <w:jc w:val="left"/>
                    <w:rPr>
                      <w:color w:val="000000"/>
                      <w:szCs w:val="21"/>
                    </w:rPr>
                  </w:pPr>
                  <w:r>
                    <w:rPr>
                      <w:rFonts w:hint="eastAsia"/>
                      <w:color w:val="000000"/>
                      <w:szCs w:val="21"/>
                    </w:rPr>
                    <w:t>任何与组织战略方向相关的结论</w:t>
                  </w:r>
                </w:p>
              </w:tc>
              <w:tc>
                <w:tcPr>
                  <w:tcW w:w="3076" w:type="dxa"/>
                </w:tcPr>
                <w:p>
                  <w:pPr>
                    <w:widowControl/>
                    <w:shd w:val="clear"/>
                    <w:spacing w:before="40"/>
                    <w:jc w:val="left"/>
                    <w:rPr>
                      <w:color w:val="000000"/>
                      <w:szCs w:val="21"/>
                    </w:rPr>
                  </w:pPr>
                  <w:r>
                    <w:rPr>
                      <w:rFonts w:hint="eastAsia"/>
                      <w:color w:val="000000"/>
                      <w:szCs w:val="21"/>
                    </w:rPr>
                    <w:t>——</w:t>
                  </w:r>
                </w:p>
              </w:tc>
              <w:tc>
                <w:tcPr>
                  <w:tcW w:w="2496" w:type="dxa"/>
                </w:tcPr>
                <w:p>
                  <w:pPr>
                    <w:widowControl/>
                    <w:shd w:val="clear"/>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shd w:val="clear"/>
              <w:rPr>
                <w:highlight w:val="cyan"/>
              </w:rPr>
            </w:pPr>
          </w:p>
          <w:p>
            <w:pPr>
              <w:shd w:val="clear"/>
              <w:rPr>
                <w:u w:val="single"/>
              </w:rPr>
            </w:pPr>
            <w:r>
              <w:rPr>
                <w:rFonts w:hint="eastAsia"/>
              </w:rPr>
              <w:sym w:font="Wingdings" w:char="00A8"/>
            </w:r>
            <w:r>
              <w:rPr>
                <w:rFonts w:hint="eastAsia"/>
              </w:rPr>
              <w:t>改进措施未落实的原因：</w:t>
            </w:r>
            <w:r>
              <w:rPr>
                <w:rFonts w:hint="eastAsia"/>
                <w:u w:val="single"/>
              </w:rPr>
              <w:t xml:space="preserve">  </w:t>
            </w:r>
            <w:r>
              <w:rPr>
                <w:rFonts w:hint="eastAsia"/>
                <w:highlight w:val="none"/>
                <w:u w:val="single"/>
              </w:rPr>
              <w:t xml:space="preserve"> </w:t>
            </w:r>
            <w:r>
              <w:rPr>
                <w:rFonts w:hint="eastAsia"/>
                <w:u w:val="single"/>
              </w:rPr>
              <w:t xml:space="preserve"> </w:t>
            </w:r>
            <w:r>
              <w:rPr>
                <w:rFonts w:hint="eastAsia"/>
                <w:u w:val="single"/>
                <w:lang w:val="en-US" w:eastAsia="zh-CN"/>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pP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409" w:hRule="atLeast"/>
        </w:trPr>
        <w:tc>
          <w:tcPr>
            <w:tcW w:w="1518" w:type="dxa"/>
            <w:vMerge w:val="restart"/>
            <w:shd w:val="clear" w:color="auto" w:fill="auto"/>
          </w:tcPr>
          <w:p>
            <w:pPr>
              <w:shd w:val="clear"/>
            </w:pPr>
            <w:r>
              <w:rPr>
                <w:rFonts w:hint="eastAsia"/>
              </w:rPr>
              <w:t>改进</w:t>
            </w:r>
          </w:p>
        </w:tc>
        <w:tc>
          <w:tcPr>
            <w:tcW w:w="1055" w:type="dxa"/>
            <w:vMerge w:val="restart"/>
            <w:shd w:val="clear" w:color="auto" w:fill="auto"/>
          </w:tcPr>
          <w:p>
            <w:pPr>
              <w:shd w:val="clear"/>
            </w:pPr>
            <w:r>
              <w:rPr>
                <w:rFonts w:hint="eastAsia"/>
              </w:rPr>
              <w:t>Q10.1</w:t>
            </w:r>
          </w:p>
        </w:tc>
        <w:tc>
          <w:tcPr>
            <w:tcW w:w="893" w:type="dxa"/>
            <w:shd w:val="clear" w:color="auto" w:fill="auto"/>
          </w:tcPr>
          <w:p>
            <w:pPr>
              <w:shd w:val="clear"/>
            </w:pPr>
            <w:r>
              <w:rPr>
                <w:rFonts w:hint="eastAsia"/>
              </w:rPr>
              <w:t>文件名称</w:t>
            </w:r>
          </w:p>
        </w:tc>
        <w:tc>
          <w:tcPr>
            <w:tcW w:w="9373" w:type="dxa"/>
            <w:shd w:val="clear" w:color="auto" w:fill="auto"/>
          </w:tcPr>
          <w:p>
            <w:pPr>
              <w:shd w:val="clear"/>
            </w:pPr>
            <w:r>
              <w:rPr>
                <w:rFonts w:hint="eastAsia"/>
              </w:rPr>
              <w:t>如：</w:t>
            </w:r>
            <w:r>
              <w:rPr>
                <w:rFonts w:hint="eastAsia"/>
              </w:rPr>
              <w:sym w:font="Wingdings" w:char="00FE"/>
            </w:r>
            <w:r>
              <w:rPr>
                <w:rFonts w:hint="eastAsia"/>
                <w:lang w:eastAsia="zh-CN"/>
              </w:rPr>
              <w:t>《管理手册》</w:t>
            </w:r>
            <w:r>
              <w:rPr>
                <w:rFonts w:hint="eastAsia"/>
              </w:rPr>
              <w:t>10.1章</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 xml:space="preserve">组织确定和选择了改进机会，并采取必要措施，以满足顾客要求和增强顾客满意。 </w:t>
            </w:r>
          </w:p>
          <w:p>
            <w:pPr>
              <w:shd w:val="clear"/>
            </w:pPr>
            <w:r>
              <w:rPr>
                <w:rFonts w:hint="eastAsia"/>
              </w:rPr>
              <w:t>这包括：</w:t>
            </w:r>
          </w:p>
          <w:p>
            <w:pPr>
              <w:shd w:val="clear"/>
            </w:pPr>
            <w:r>
              <w:rPr>
                <w:rFonts w:hint="eastAsia"/>
              </w:rPr>
              <w:sym w:font="Wingdings" w:char="00FE"/>
            </w:r>
            <w:r>
              <w:rPr>
                <w:rFonts w:hint="eastAsia"/>
              </w:rPr>
              <w:t xml:space="preserve">改进产品和服务，以满足要求并应对未来的需求和期望； </w:t>
            </w:r>
          </w:p>
          <w:p>
            <w:pPr>
              <w:shd w:val="clear"/>
            </w:pPr>
            <w:r>
              <w:rPr>
                <w:rFonts w:hint="eastAsia"/>
              </w:rPr>
              <w:sym w:font="Wingdings" w:char="00FE"/>
            </w:r>
            <w:r>
              <w:rPr>
                <w:rFonts w:hint="eastAsia"/>
              </w:rPr>
              <w:t xml:space="preserve">纠正、预防或减少不利影响； </w:t>
            </w:r>
          </w:p>
          <w:p>
            <w:pPr>
              <w:shd w:val="clear"/>
            </w:pPr>
            <w:r>
              <w:rPr>
                <w:rFonts w:hint="eastAsia"/>
              </w:rPr>
              <w:sym w:font="Wingdings" w:char="00FE"/>
            </w:r>
            <w:r>
              <w:rPr>
                <w:rFonts w:hint="eastAsia"/>
              </w:rPr>
              <w:t>改进质量管理体系的绩效和有效性。</w:t>
            </w:r>
          </w:p>
          <w:p>
            <w:pPr>
              <w:shd w:val="clear"/>
            </w:pPr>
          </w:p>
          <w:p>
            <w:pPr>
              <w:shd w:val="clear"/>
            </w:pPr>
            <w:r>
              <w:rPr>
                <w:rFonts w:hint="eastAsia"/>
              </w:rPr>
              <w:t>改进包括：</w:t>
            </w:r>
            <w:r>
              <w:rPr>
                <w:rFonts w:hint="eastAsia"/>
                <w:u w:val="none"/>
              </w:rPr>
              <w:sym w:font="Wingdings" w:char="00FE"/>
            </w:r>
            <w:r>
              <w:rPr>
                <w:rFonts w:hint="eastAsia"/>
                <w:u w:val="none"/>
              </w:rPr>
              <w:t>纠正、</w:t>
            </w:r>
            <w:r>
              <w:rPr>
                <w:rFonts w:hint="eastAsia"/>
                <w:u w:val="none"/>
              </w:rPr>
              <w:sym w:font="Wingdings" w:char="00FE"/>
            </w:r>
            <w:r>
              <w:rPr>
                <w:rFonts w:hint="eastAsia"/>
                <w:u w:val="none"/>
              </w:rPr>
              <w:t>纠正措施、</w:t>
            </w:r>
            <w:r>
              <w:rPr>
                <w:rFonts w:hint="eastAsia"/>
                <w:u w:val="none"/>
              </w:rPr>
              <w:sym w:font="Wingdings" w:char="00A8"/>
            </w:r>
            <w:r>
              <w:rPr>
                <w:rFonts w:hint="eastAsia"/>
                <w:u w:val="none"/>
              </w:rPr>
              <w:t>持续改进、</w:t>
            </w:r>
            <w:r>
              <w:rPr>
                <w:rFonts w:hint="eastAsia"/>
                <w:u w:val="none"/>
              </w:rPr>
              <w:sym w:font="Wingdings" w:char="00A8"/>
            </w:r>
            <w:r>
              <w:rPr>
                <w:rFonts w:hint="eastAsia"/>
                <w:u w:val="none"/>
              </w:rPr>
              <w:t>突破性变革、</w:t>
            </w:r>
            <w:r>
              <w:rPr>
                <w:rFonts w:hint="eastAsia"/>
                <w:u w:val="none"/>
              </w:rPr>
              <w:sym w:font="Wingdings" w:char="00A8"/>
            </w:r>
            <w:r>
              <w:rPr>
                <w:rFonts w:hint="eastAsia"/>
                <w:u w:val="none"/>
              </w:rPr>
              <w:t>创新和重组。</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409" w:hRule="atLeast"/>
        </w:trPr>
        <w:tc>
          <w:tcPr>
            <w:tcW w:w="1518" w:type="dxa"/>
            <w:vMerge w:val="restart"/>
            <w:shd w:val="clear" w:color="auto" w:fill="auto"/>
          </w:tcPr>
          <w:p>
            <w:pPr>
              <w:shd w:val="clear"/>
            </w:pPr>
            <w:r>
              <w:rPr>
                <w:rFonts w:hint="eastAsia"/>
              </w:rPr>
              <w:t>不符合</w:t>
            </w:r>
            <w:r>
              <w:t>和</w:t>
            </w:r>
            <w:r>
              <w:rPr>
                <w:rFonts w:hint="eastAsia"/>
              </w:rPr>
              <w:t>纠</w:t>
            </w:r>
            <w:r>
              <w:t>正措施</w:t>
            </w:r>
          </w:p>
        </w:tc>
        <w:tc>
          <w:tcPr>
            <w:tcW w:w="1055" w:type="dxa"/>
            <w:vMerge w:val="restart"/>
            <w:shd w:val="clear" w:color="auto" w:fill="auto"/>
          </w:tcPr>
          <w:p>
            <w:pPr>
              <w:shd w:val="clear"/>
              <w:rPr>
                <w:rFonts w:hint="eastAsia"/>
                <w:lang w:val="en-US" w:eastAsia="zh-CN"/>
              </w:rPr>
            </w:pPr>
            <w:r>
              <w:rPr>
                <w:rFonts w:hint="eastAsia"/>
                <w:lang w:val="en-US" w:eastAsia="zh-CN"/>
              </w:rPr>
              <w:t>Q10.2</w:t>
            </w:r>
          </w:p>
          <w:p>
            <w:pPr>
              <w:shd w:val="clear"/>
              <w:rPr>
                <w:rFonts w:hint="eastAsia"/>
              </w:rPr>
            </w:pPr>
            <w:r>
              <w:rPr>
                <w:rFonts w:hint="eastAsia"/>
              </w:rPr>
              <w:t>F1</w:t>
            </w:r>
            <w:r>
              <w:t>0</w:t>
            </w:r>
            <w:r>
              <w:rPr>
                <w:rFonts w:hint="eastAsia"/>
              </w:rPr>
              <w:t>.1</w:t>
            </w:r>
          </w:p>
          <w:p>
            <w:pPr>
              <w:pStyle w:val="7"/>
              <w:shd w:val="clear"/>
              <w:rPr>
                <w:rFonts w:hint="eastAsia"/>
              </w:rPr>
            </w:pPr>
          </w:p>
          <w:p>
            <w:pPr>
              <w:pStyle w:val="7"/>
              <w:shd w:val="clear"/>
            </w:pPr>
          </w:p>
        </w:tc>
        <w:tc>
          <w:tcPr>
            <w:tcW w:w="893" w:type="dxa"/>
            <w:shd w:val="clear" w:color="auto" w:fill="auto"/>
          </w:tcPr>
          <w:p>
            <w:pPr>
              <w:shd w:val="clear"/>
            </w:pPr>
            <w:r>
              <w:rPr>
                <w:rFonts w:hint="eastAsia"/>
              </w:rPr>
              <w:t>文</w:t>
            </w:r>
            <w:r>
              <w:t>件名称</w:t>
            </w:r>
          </w:p>
        </w:tc>
        <w:tc>
          <w:tcPr>
            <w:tcW w:w="9373" w:type="dxa"/>
            <w:shd w:val="clear" w:color="auto" w:fill="auto"/>
          </w:tcPr>
          <w:p>
            <w:pPr>
              <w:shd w:val="clear"/>
            </w:pPr>
            <w:r>
              <w:rPr>
                <w:color w:val="000000"/>
              </w:rPr>
              <w:sym w:font="Wingdings" w:char="00FE"/>
            </w:r>
            <w:r>
              <w:rPr>
                <w:rFonts w:hint="eastAsia"/>
                <w:lang w:eastAsia="zh-CN"/>
              </w:rPr>
              <w:t>《管理手册》</w:t>
            </w:r>
            <w:r>
              <w:rPr>
                <w:rFonts w:hint="eastAsia"/>
              </w:rPr>
              <w:t>第10.1章、</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《纠正措施控制程序》</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wBefore w:w="0" w:type="auto"/>
          <w:wAfter w:w="0" w:type="auto"/>
          <w:trHeight w:val="1721"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pPr>
            <w:r>
              <w:rPr>
                <w:rFonts w:hint="eastAsia"/>
              </w:rPr>
              <w:t>不符合的来源：</w:t>
            </w:r>
          </w:p>
          <w:p>
            <w:pPr>
              <w:shd w:val="clear"/>
            </w:pPr>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lang w:val="en-US" w:eastAsia="zh-CN"/>
              </w:rPr>
              <w:t>其他</w:t>
            </w:r>
            <w:r>
              <w:rPr>
                <w:rFonts w:hint="eastAsia"/>
              </w:rPr>
              <w:t xml:space="preserve"> </w:t>
            </w:r>
          </w:p>
          <w:p>
            <w:pPr>
              <w:shd w:val="clear"/>
            </w:pPr>
          </w:p>
          <w:p>
            <w:pPr>
              <w:shd w:val="clea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审核周期未发生</w:t>
            </w:r>
            <w:r>
              <w:rPr>
                <w:u w:val="single"/>
              </w:rPr>
              <w:t xml:space="preserve">   </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wBefore w:w="0" w:type="auto"/>
          <w:wAfter w:w="0" w:type="auto"/>
          <w:trHeight w:val="409" w:hRule="atLeast"/>
        </w:trPr>
        <w:tc>
          <w:tcPr>
            <w:tcW w:w="1518" w:type="dxa"/>
            <w:vMerge w:val="restart"/>
            <w:shd w:val="clear" w:color="auto" w:fill="auto"/>
          </w:tcPr>
          <w:p>
            <w:pPr>
              <w:shd w:val="clear"/>
            </w:pPr>
            <w:r>
              <w:rPr>
                <w:rFonts w:hint="eastAsia"/>
              </w:rPr>
              <w:t>持续改进</w:t>
            </w:r>
          </w:p>
        </w:tc>
        <w:tc>
          <w:tcPr>
            <w:tcW w:w="1055" w:type="dxa"/>
            <w:vMerge w:val="restart"/>
            <w:shd w:val="clear" w:color="auto" w:fill="auto"/>
          </w:tcPr>
          <w:p>
            <w:pPr>
              <w:shd w:val="clear"/>
            </w:pPr>
            <w:r>
              <w:rPr>
                <w:rFonts w:hint="eastAsia"/>
              </w:rPr>
              <w:t>Q10.3</w:t>
            </w:r>
          </w:p>
          <w:p>
            <w:pPr>
              <w:shd w:val="clear"/>
              <w:rPr>
                <w:rFonts w:hint="eastAsia"/>
              </w:rPr>
            </w:pPr>
            <w:r>
              <w:rPr>
                <w:rFonts w:hint="eastAsia"/>
              </w:rPr>
              <w:t>F10.2</w:t>
            </w:r>
          </w:p>
          <w:p>
            <w:pPr>
              <w:pStyle w:val="2"/>
              <w:shd w:val="clear"/>
            </w:pPr>
          </w:p>
        </w:tc>
        <w:tc>
          <w:tcPr>
            <w:tcW w:w="893" w:type="dxa"/>
            <w:shd w:val="clear" w:color="auto" w:fill="auto"/>
          </w:tcPr>
          <w:p>
            <w:pPr>
              <w:shd w:val="clear"/>
            </w:pPr>
            <w:r>
              <w:rPr>
                <w:rFonts w:hint="eastAsia"/>
              </w:rPr>
              <w:t>文件名称</w:t>
            </w:r>
          </w:p>
        </w:tc>
        <w:tc>
          <w:tcPr>
            <w:tcW w:w="9373" w:type="dxa"/>
            <w:shd w:val="clear" w:color="auto" w:fill="auto"/>
          </w:tcPr>
          <w:p>
            <w:pPr>
              <w:shd w:val="clear"/>
              <w:rPr>
                <w:rFonts w:hint="eastAsia" w:eastAsia="宋体"/>
                <w:lang w:eastAsia="zh-CN"/>
              </w:rPr>
            </w:pPr>
            <w:r>
              <w:rPr>
                <w:rFonts w:hint="eastAsia"/>
              </w:rPr>
              <w:t>如：</w:t>
            </w:r>
            <w:r>
              <w:rPr>
                <w:rFonts w:hint="eastAsia"/>
              </w:rPr>
              <w:sym w:font="Wingdings" w:char="00FE"/>
            </w:r>
            <w:r>
              <w:rPr>
                <w:rFonts w:hint="eastAsia"/>
                <w:lang w:eastAsia="zh-CN"/>
              </w:rPr>
              <w:t>《管理手册》</w:t>
            </w:r>
            <w:r>
              <w:rPr>
                <w:rFonts w:hint="eastAsia"/>
              </w:rPr>
              <w:t>10.3</w:t>
            </w:r>
            <w:r>
              <w:rPr>
                <w:rFonts w:hint="eastAsia"/>
                <w:lang w:val="en-US" w:eastAsia="zh-CN"/>
              </w:rPr>
              <w:t>条款</w:t>
            </w:r>
          </w:p>
        </w:tc>
        <w:tc>
          <w:tcPr>
            <w:tcW w:w="1366"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30" w:hRule="atLeast"/>
        </w:trPr>
        <w:tc>
          <w:tcPr>
            <w:tcW w:w="1518" w:type="dxa"/>
            <w:vMerge w:val="continue"/>
            <w:shd w:val="clear" w:color="auto" w:fill="auto"/>
          </w:tcPr>
          <w:p>
            <w:pPr>
              <w:shd w:val="clear"/>
            </w:pPr>
          </w:p>
        </w:tc>
        <w:tc>
          <w:tcPr>
            <w:tcW w:w="1055" w:type="dxa"/>
            <w:vMerge w:val="continue"/>
            <w:shd w:val="clear" w:color="auto" w:fill="auto"/>
          </w:tcPr>
          <w:p>
            <w:pPr>
              <w:shd w:val="clear"/>
            </w:pPr>
          </w:p>
        </w:tc>
        <w:tc>
          <w:tcPr>
            <w:tcW w:w="893" w:type="dxa"/>
            <w:shd w:val="clear" w:color="auto" w:fill="auto"/>
          </w:tcPr>
          <w:p>
            <w:pPr>
              <w:shd w:val="clear"/>
            </w:pPr>
            <w:r>
              <w:rPr>
                <w:rFonts w:hint="eastAsia"/>
              </w:rPr>
              <w:t>运行证据</w:t>
            </w:r>
          </w:p>
        </w:tc>
        <w:tc>
          <w:tcPr>
            <w:tcW w:w="9373" w:type="dxa"/>
            <w:shd w:val="clear" w:color="auto" w:fill="auto"/>
          </w:tcPr>
          <w:p>
            <w:pPr>
              <w:shd w:val="clear"/>
              <w:rPr>
                <w:rFonts w:hint="eastAsia"/>
              </w:rPr>
            </w:pPr>
            <w:r>
              <w:rPr>
                <w:rFonts w:hint="eastAsia"/>
              </w:rPr>
              <w:t>组织已持续改进</w:t>
            </w:r>
            <w:r>
              <w:rPr>
                <w:rFonts w:hint="eastAsia"/>
                <w:u w:val="single"/>
              </w:rPr>
              <w:t>质量/食品安全管理体系</w:t>
            </w:r>
            <w:r>
              <w:rPr>
                <w:rFonts w:hint="eastAsia"/>
              </w:rPr>
              <w:t>的适宜性、充分性和有效性，以提升食品安全绩效。</w:t>
            </w:r>
          </w:p>
          <w:p>
            <w:pPr>
              <w:shd w:val="clear"/>
            </w:pPr>
            <w:r>
              <w:rPr>
                <w:rFonts w:hint="eastAsia"/>
              </w:rPr>
              <w:t>组织考虑了分析和评价的结果以及管理评审的输出，确定是否存在需求或机遇，这些需求或机遇应作为持续改进的一部分加以应对。</w:t>
            </w:r>
          </w:p>
          <w:p>
            <w:pPr>
              <w:widowControl/>
              <w:shd w:val="clear"/>
              <w:spacing w:before="40"/>
              <w:jc w:val="left"/>
              <w:rPr>
                <w:rFonts w:hint="eastAsia" w:eastAsia="宋体"/>
                <w:highlight w:val="none"/>
                <w:lang w:val="en-US" w:eastAsia="zh-CN"/>
              </w:rPr>
            </w:pPr>
            <w:r>
              <w:rPr>
                <w:rFonts w:hint="eastAsia"/>
                <w:highlight w:val="none"/>
              </w:rPr>
              <w:sym w:font="Wingdings" w:char="00FE"/>
            </w:r>
            <w:r>
              <w:rPr>
                <w:rFonts w:hint="eastAsia"/>
                <w:highlight w:val="none"/>
              </w:rPr>
              <w:t xml:space="preserve"> 管理评审改进措施已落实</w:t>
            </w:r>
          </w:p>
          <w:p>
            <w:pPr>
              <w:shd w:val="clea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p>
            <w:pPr>
              <w:shd w:val="clear"/>
              <w:rPr>
                <w:rFonts w:hint="eastAsia" w:eastAsia="宋体"/>
                <w:lang w:eastAsia="zh-CN"/>
              </w:rPr>
            </w:pPr>
          </w:p>
          <w:p>
            <w:pPr>
              <w:shd w:val="clear"/>
            </w:pPr>
            <w:r>
              <w:rPr>
                <w:rFonts w:hint="eastAsia"/>
              </w:rPr>
              <w:t>最高管理者应确保组织通过以下活动， 持续改进食品安全管理体系的有效性：</w:t>
            </w:r>
          </w:p>
          <w:p>
            <w:pPr>
              <w:shd w:val="clear"/>
            </w:pPr>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pPr>
              <w:shd w:val="clear"/>
            </w:pPr>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366"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14" w:hRule="atLeast"/>
        </w:trPr>
        <w:tc>
          <w:tcPr>
            <w:tcW w:w="1518" w:type="dxa"/>
            <w:shd w:val="clear" w:color="auto" w:fill="auto"/>
          </w:tcPr>
          <w:p>
            <w:pPr>
              <w:spacing w:line="360" w:lineRule="exact"/>
              <w:rPr>
                <w:rFonts w:hint="eastAsia" w:eastAsia="宋体"/>
                <w:szCs w:val="21"/>
                <w:lang w:eastAsia="zh-CN"/>
              </w:rPr>
            </w:pPr>
            <w:r>
              <w:rPr>
                <w:rFonts w:hint="eastAsia"/>
                <w:sz w:val="21"/>
                <w:szCs w:val="21"/>
              </w:rPr>
              <w:t>标准/规范/法规的执行情况、上次审核不符合项的验证、认证证书、标志的使用情况、投诉或事故、监督抽查情况、体系变动</w:t>
            </w:r>
            <w:r>
              <w:rPr>
                <w:rFonts w:hint="eastAsia"/>
                <w:sz w:val="21"/>
                <w:szCs w:val="21"/>
                <w:lang w:eastAsia="zh-CN"/>
              </w:rPr>
              <w:t>、</w:t>
            </w:r>
            <w:r>
              <w:rPr>
                <w:rFonts w:hint="eastAsia"/>
                <w:sz w:val="21"/>
                <w:szCs w:val="21"/>
                <w:lang w:val="en-US" w:eastAsia="zh-CN"/>
              </w:rPr>
              <w:t>初审不符合项验证等</w:t>
            </w:r>
          </w:p>
        </w:tc>
        <w:tc>
          <w:tcPr>
            <w:tcW w:w="1055" w:type="dxa"/>
            <w:shd w:val="clear" w:color="auto" w:fill="auto"/>
          </w:tcPr>
          <w:p>
            <w:pPr>
              <w:spacing w:line="360" w:lineRule="exact"/>
              <w:rPr>
                <w:szCs w:val="21"/>
              </w:rPr>
            </w:pPr>
          </w:p>
        </w:tc>
        <w:tc>
          <w:tcPr>
            <w:tcW w:w="893" w:type="dxa"/>
            <w:shd w:val="clear" w:color="auto" w:fill="auto"/>
          </w:tcPr>
          <w:p>
            <w:pPr>
              <w:rPr>
                <w:rFonts w:hint="eastAsia"/>
              </w:rPr>
            </w:pPr>
          </w:p>
        </w:tc>
        <w:tc>
          <w:tcPr>
            <w:tcW w:w="9388" w:type="dxa"/>
            <w:gridSpan w:val="2"/>
            <w:shd w:val="clear" w:color="auto" w:fill="auto"/>
          </w:tcPr>
          <w:p>
            <w:pPr>
              <w:numPr>
                <w:ilvl w:val="0"/>
                <w:numId w:val="7"/>
              </w:numPr>
              <w:spacing w:line="360" w:lineRule="auto"/>
              <w:rPr>
                <w:rFonts w:hint="eastAsia"/>
                <w:lang w:val="en-US" w:eastAsia="zh-CN"/>
              </w:rPr>
            </w:pPr>
            <w:r>
              <w:rPr>
                <w:rFonts w:hint="eastAsia"/>
                <w:lang w:val="en-US" w:eastAsia="zh-CN"/>
              </w:rPr>
              <w:t>上次不符合项验证：</w:t>
            </w:r>
          </w:p>
          <w:p>
            <w:pPr>
              <w:pStyle w:val="2"/>
              <w:numPr>
                <w:ilvl w:val="0"/>
                <w:numId w:val="0"/>
              </w:numPr>
              <w:spacing w:line="360" w:lineRule="auto"/>
              <w:ind w:firstLine="360"/>
              <w:rPr>
                <w:rFonts w:hint="eastAsia"/>
                <w:lang w:val="en-US" w:eastAsia="zh-CN"/>
              </w:rPr>
            </w:pPr>
            <w:r>
              <w:rPr>
                <w:rFonts w:hint="eastAsia"/>
                <w:lang w:val="en-US" w:eastAsia="zh-CN"/>
              </w:rPr>
              <w:t>初审开具2个不符合项，已验证。</w:t>
            </w:r>
          </w:p>
          <w:p>
            <w:pPr>
              <w:pStyle w:val="2"/>
              <w:numPr>
                <w:ilvl w:val="0"/>
                <w:numId w:val="7"/>
              </w:numPr>
              <w:spacing w:line="360" w:lineRule="auto"/>
              <w:ind w:left="0" w:leftChars="0" w:firstLine="0" w:firstLineChars="0"/>
              <w:rPr>
                <w:rFonts w:hint="default"/>
                <w:lang w:val="en-US" w:eastAsia="zh-CN"/>
              </w:rPr>
            </w:pPr>
            <w:r>
              <w:rPr>
                <w:rFonts w:hint="eastAsia"/>
                <w:lang w:val="en-US" w:eastAsia="zh-CN"/>
              </w:rPr>
              <w:t>资质证书更新情况</w:t>
            </w:r>
          </w:p>
          <w:p>
            <w:pPr>
              <w:pStyle w:val="2"/>
              <w:numPr>
                <w:ilvl w:val="0"/>
                <w:numId w:val="0"/>
              </w:numPr>
              <w:spacing w:line="360" w:lineRule="auto"/>
              <w:ind w:leftChars="0" w:firstLine="360"/>
              <w:rPr>
                <w:rFonts w:hint="eastAsia"/>
                <w:lang w:val="en-US" w:eastAsia="zh-CN"/>
              </w:rPr>
            </w:pPr>
            <w:r>
              <w:rPr>
                <w:rFonts w:hint="eastAsia"/>
                <w:lang w:val="en-US" w:eastAsia="zh-CN"/>
              </w:rPr>
              <w:t>营业执照法人变更，已收集；提供有粮食备案收购备案登记表。</w:t>
            </w:r>
          </w:p>
          <w:p>
            <w:pPr>
              <w:pStyle w:val="2"/>
              <w:numPr>
                <w:ilvl w:val="0"/>
                <w:numId w:val="7"/>
              </w:numPr>
              <w:spacing w:line="360" w:lineRule="auto"/>
              <w:ind w:left="0" w:leftChars="0" w:firstLine="0" w:firstLineChars="0"/>
              <w:rPr>
                <w:rFonts w:hint="default"/>
                <w:lang w:val="en-US" w:eastAsia="zh-CN"/>
              </w:rPr>
            </w:pPr>
            <w:r>
              <w:rPr>
                <w:rFonts w:hint="eastAsia"/>
                <w:sz w:val="21"/>
                <w:szCs w:val="21"/>
              </w:rPr>
              <w:t>认证证书、标志的使用情况</w:t>
            </w:r>
          </w:p>
          <w:p>
            <w:pPr>
              <w:pStyle w:val="2"/>
              <w:numPr>
                <w:ilvl w:val="0"/>
                <w:numId w:val="0"/>
              </w:numPr>
              <w:spacing w:line="360" w:lineRule="auto"/>
              <w:ind w:leftChars="0"/>
              <w:rPr>
                <w:rFonts w:hint="eastAsia"/>
                <w:sz w:val="21"/>
                <w:szCs w:val="21"/>
                <w:lang w:val="en-US" w:eastAsia="zh-CN"/>
              </w:rPr>
            </w:pPr>
            <w:r>
              <w:rPr>
                <w:rFonts w:hint="eastAsia"/>
                <w:sz w:val="21"/>
                <w:szCs w:val="21"/>
                <w:lang w:val="en-US" w:eastAsia="zh-CN"/>
              </w:rPr>
              <w:t xml:space="preserve">   企业表示审核周期内认证证书未使用。</w:t>
            </w:r>
          </w:p>
          <w:p>
            <w:pPr>
              <w:pStyle w:val="2"/>
              <w:numPr>
                <w:ilvl w:val="0"/>
                <w:numId w:val="7"/>
              </w:numPr>
              <w:spacing w:line="360" w:lineRule="auto"/>
              <w:ind w:left="0" w:leftChars="0" w:firstLine="0" w:firstLineChars="0"/>
              <w:rPr>
                <w:rFonts w:hint="default"/>
                <w:sz w:val="21"/>
                <w:szCs w:val="21"/>
                <w:lang w:val="en-US" w:eastAsia="zh-CN"/>
              </w:rPr>
            </w:pPr>
            <w:r>
              <w:rPr>
                <w:rFonts w:hint="eastAsia"/>
                <w:sz w:val="21"/>
                <w:szCs w:val="21"/>
              </w:rPr>
              <w:t>投诉或事故、监督抽查情况</w:t>
            </w:r>
          </w:p>
          <w:p>
            <w:pPr>
              <w:pStyle w:val="2"/>
              <w:numPr>
                <w:ilvl w:val="0"/>
                <w:numId w:val="0"/>
              </w:numPr>
              <w:spacing w:line="360" w:lineRule="auto"/>
              <w:ind w:leftChars="0" w:firstLine="420" w:firstLineChars="200"/>
              <w:rPr>
                <w:rFonts w:hint="eastAsia"/>
                <w:sz w:val="21"/>
                <w:szCs w:val="21"/>
                <w:lang w:val="en-US" w:eastAsia="zh-CN"/>
              </w:rPr>
            </w:pPr>
            <w:r>
              <w:rPr>
                <w:rFonts w:hint="eastAsia"/>
                <w:sz w:val="21"/>
                <w:szCs w:val="21"/>
                <w:lang w:val="en-US" w:eastAsia="zh-CN"/>
              </w:rPr>
              <w:t>企业表示审核周期内未发生投诉或重大的质量安全事故，未发出监督抽查不合格情况。</w:t>
            </w:r>
          </w:p>
          <w:p>
            <w:pPr>
              <w:pStyle w:val="2"/>
              <w:numPr>
                <w:ilvl w:val="0"/>
                <w:numId w:val="7"/>
              </w:numPr>
              <w:spacing w:line="360" w:lineRule="auto"/>
              <w:ind w:left="0" w:leftChars="0" w:firstLine="0" w:firstLineChars="0"/>
              <w:rPr>
                <w:rFonts w:hint="default"/>
                <w:sz w:val="21"/>
                <w:szCs w:val="21"/>
                <w:lang w:val="en-US" w:eastAsia="zh-CN"/>
              </w:rPr>
            </w:pPr>
            <w:r>
              <w:rPr>
                <w:rFonts w:hint="eastAsia"/>
                <w:sz w:val="21"/>
                <w:szCs w:val="21"/>
                <w:lang w:val="en-US" w:eastAsia="zh-CN"/>
              </w:rPr>
              <w:t>体系变动</w:t>
            </w:r>
          </w:p>
          <w:p>
            <w:pPr>
              <w:pStyle w:val="2"/>
              <w:numPr>
                <w:ilvl w:val="0"/>
                <w:numId w:val="0"/>
              </w:numPr>
              <w:spacing w:line="360" w:lineRule="auto"/>
              <w:ind w:firstLine="420" w:firstLineChars="200"/>
              <w:rPr>
                <w:rFonts w:hint="default"/>
                <w:sz w:val="21"/>
                <w:szCs w:val="21"/>
                <w:lang w:val="en-US" w:eastAsia="zh-CN"/>
              </w:rPr>
            </w:pPr>
            <w:r>
              <w:rPr>
                <w:rFonts w:hint="eastAsia"/>
                <w:sz w:val="21"/>
                <w:szCs w:val="21"/>
                <w:lang w:val="en-US" w:eastAsia="zh-CN"/>
              </w:rPr>
              <w:t>体系未发生较大变化，食品安全小组组长以及各部门负责人发生变更，具体见F7.2条款审核记录。</w:t>
            </w:r>
          </w:p>
        </w:tc>
        <w:tc>
          <w:tcPr>
            <w:tcW w:w="1351" w:type="dxa"/>
            <w:shd w:val="clear" w:color="auto" w:fill="auto"/>
          </w:tcPr>
          <w:p>
            <w:pPr>
              <w:rPr>
                <w:rFonts w:hint="eastAsia" w:eastAsia="宋体"/>
                <w:lang w:eastAsia="zh-CN"/>
              </w:rPr>
            </w:pPr>
            <w:r>
              <w:rPr>
                <w:rFonts w:hint="eastAsia"/>
                <w:lang w:eastAsia="zh-CN"/>
              </w:rPr>
              <w:t>——</w:t>
            </w:r>
          </w:p>
        </w:tc>
      </w:tr>
      <w:bookmarkEnd w:id="3"/>
    </w:tbl>
    <w:p>
      <w:pPr>
        <w:shd w:val="clear"/>
      </w:pPr>
    </w:p>
    <w:p>
      <w:pPr>
        <w:pStyle w:val="2"/>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754D7"/>
    <w:multiLevelType w:val="singleLevel"/>
    <w:tmpl w:val="A61754D7"/>
    <w:lvl w:ilvl="0" w:tentative="0">
      <w:start w:val="1"/>
      <w:numFmt w:val="decimal"/>
      <w:suff w:val="space"/>
      <w:lvlText w:val="%1."/>
      <w:lvlJc w:val="left"/>
    </w:lvl>
  </w:abstractNum>
  <w:abstractNum w:abstractNumId="1">
    <w:nsid w:val="B2E9D823"/>
    <w:multiLevelType w:val="singleLevel"/>
    <w:tmpl w:val="B2E9D823"/>
    <w:lvl w:ilvl="0" w:tentative="0">
      <w:start w:val="1"/>
      <w:numFmt w:val="decimal"/>
      <w:lvlText w:val="%1."/>
      <w:lvlJc w:val="left"/>
      <w:pPr>
        <w:tabs>
          <w:tab w:val="left" w:pos="312"/>
        </w:tabs>
      </w:pPr>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E76061C7"/>
    <w:multiLevelType w:val="singleLevel"/>
    <w:tmpl w:val="E76061C7"/>
    <w:lvl w:ilvl="0" w:tentative="0">
      <w:start w:val="1"/>
      <w:numFmt w:val="decimal"/>
      <w:suff w:val="nothing"/>
      <w:lvlText w:val="%1）"/>
      <w:lvlJc w:val="left"/>
    </w:lvl>
  </w:abstractNum>
  <w:abstractNum w:abstractNumId="4">
    <w:nsid w:val="19E194F9"/>
    <w:multiLevelType w:val="singleLevel"/>
    <w:tmpl w:val="19E194F9"/>
    <w:lvl w:ilvl="0" w:tentative="0">
      <w:start w:val="1"/>
      <w:numFmt w:val="lowerLetter"/>
      <w:lvlText w:val="%1)"/>
      <w:lvlJc w:val="left"/>
      <w:pPr>
        <w:tabs>
          <w:tab w:val="left" w:pos="312"/>
        </w:tabs>
      </w:pPr>
    </w:lvl>
  </w:abstractNum>
  <w:abstractNum w:abstractNumId="5">
    <w:nsid w:val="56645777"/>
    <w:multiLevelType w:val="singleLevel"/>
    <w:tmpl w:val="56645777"/>
    <w:lvl w:ilvl="0" w:tentative="0">
      <w:start w:val="1"/>
      <w:numFmt w:val="lowerLetter"/>
      <w:suff w:val="space"/>
      <w:lvlText w:val="%1）"/>
      <w:lvlJc w:val="left"/>
    </w:lvl>
  </w:abstractNum>
  <w:abstractNum w:abstractNumId="6">
    <w:nsid w:val="6FFA7F95"/>
    <w:multiLevelType w:val="singleLevel"/>
    <w:tmpl w:val="6FFA7F95"/>
    <w:lvl w:ilvl="0" w:tentative="0">
      <w:start w:val="1"/>
      <w:numFmt w:val="decimal"/>
      <w:suff w:val="nothing"/>
      <w:lvlText w:val="%1）"/>
      <w:lvlJc w:val="left"/>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E600B"/>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3A5387"/>
    <w:rsid w:val="04883DB3"/>
    <w:rsid w:val="049166B1"/>
    <w:rsid w:val="04981EC9"/>
    <w:rsid w:val="050D3D1E"/>
    <w:rsid w:val="056577F0"/>
    <w:rsid w:val="05705C5F"/>
    <w:rsid w:val="057753FF"/>
    <w:rsid w:val="058D3F5E"/>
    <w:rsid w:val="05A05014"/>
    <w:rsid w:val="05F6270F"/>
    <w:rsid w:val="0605101B"/>
    <w:rsid w:val="061B4460"/>
    <w:rsid w:val="065A01DF"/>
    <w:rsid w:val="067B702D"/>
    <w:rsid w:val="06994A8D"/>
    <w:rsid w:val="06AA7E97"/>
    <w:rsid w:val="06AF6496"/>
    <w:rsid w:val="06ED612A"/>
    <w:rsid w:val="08767210"/>
    <w:rsid w:val="08851DD7"/>
    <w:rsid w:val="08C22483"/>
    <w:rsid w:val="08ED1EE8"/>
    <w:rsid w:val="09005957"/>
    <w:rsid w:val="096333C5"/>
    <w:rsid w:val="09933EF9"/>
    <w:rsid w:val="09AA0CA5"/>
    <w:rsid w:val="09FA6045"/>
    <w:rsid w:val="0A015DEF"/>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44B76"/>
    <w:rsid w:val="10DD2E35"/>
    <w:rsid w:val="11536201"/>
    <w:rsid w:val="115D3DB9"/>
    <w:rsid w:val="11BD2BE2"/>
    <w:rsid w:val="11BE2038"/>
    <w:rsid w:val="11DC0AC4"/>
    <w:rsid w:val="11E2439D"/>
    <w:rsid w:val="12563B2D"/>
    <w:rsid w:val="12982AB9"/>
    <w:rsid w:val="129D4370"/>
    <w:rsid w:val="12A2571D"/>
    <w:rsid w:val="12A42EA7"/>
    <w:rsid w:val="12A506D3"/>
    <w:rsid w:val="13296CDD"/>
    <w:rsid w:val="132A79F2"/>
    <w:rsid w:val="134E7573"/>
    <w:rsid w:val="13890C2B"/>
    <w:rsid w:val="13A420AC"/>
    <w:rsid w:val="13C11723"/>
    <w:rsid w:val="13CA7517"/>
    <w:rsid w:val="13EB79B2"/>
    <w:rsid w:val="145B46D3"/>
    <w:rsid w:val="14C400FD"/>
    <w:rsid w:val="14F1297E"/>
    <w:rsid w:val="14F26225"/>
    <w:rsid w:val="15023387"/>
    <w:rsid w:val="15051B66"/>
    <w:rsid w:val="151414F9"/>
    <w:rsid w:val="15167847"/>
    <w:rsid w:val="15363948"/>
    <w:rsid w:val="154C7AB0"/>
    <w:rsid w:val="155F4281"/>
    <w:rsid w:val="15BC540D"/>
    <w:rsid w:val="15F7492E"/>
    <w:rsid w:val="16210B83"/>
    <w:rsid w:val="16583F2B"/>
    <w:rsid w:val="169D3E09"/>
    <w:rsid w:val="16AB3CAD"/>
    <w:rsid w:val="16E341B9"/>
    <w:rsid w:val="16F10A78"/>
    <w:rsid w:val="17226BDD"/>
    <w:rsid w:val="17446813"/>
    <w:rsid w:val="17684604"/>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B6034CD"/>
    <w:rsid w:val="1B7356B1"/>
    <w:rsid w:val="1C392A3A"/>
    <w:rsid w:val="1C6465C0"/>
    <w:rsid w:val="1C857701"/>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311A99"/>
    <w:rsid w:val="247622DE"/>
    <w:rsid w:val="2480482A"/>
    <w:rsid w:val="24A05D8E"/>
    <w:rsid w:val="24FC7C66"/>
    <w:rsid w:val="2519537A"/>
    <w:rsid w:val="258041F6"/>
    <w:rsid w:val="258609CC"/>
    <w:rsid w:val="261B55F8"/>
    <w:rsid w:val="261D5675"/>
    <w:rsid w:val="269C7CAD"/>
    <w:rsid w:val="27196C26"/>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8B632B"/>
    <w:rsid w:val="31B477DB"/>
    <w:rsid w:val="31B67BE2"/>
    <w:rsid w:val="31CA71DD"/>
    <w:rsid w:val="31CC5E08"/>
    <w:rsid w:val="324E5138"/>
    <w:rsid w:val="325251B2"/>
    <w:rsid w:val="32A63A63"/>
    <w:rsid w:val="32A772DD"/>
    <w:rsid w:val="331E21CE"/>
    <w:rsid w:val="33562A0D"/>
    <w:rsid w:val="33715F28"/>
    <w:rsid w:val="33F07155"/>
    <w:rsid w:val="340C6245"/>
    <w:rsid w:val="343C4522"/>
    <w:rsid w:val="347A0336"/>
    <w:rsid w:val="34DA148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C946D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1E1DD4"/>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02119A"/>
    <w:rsid w:val="453B1EBC"/>
    <w:rsid w:val="45413E1D"/>
    <w:rsid w:val="45635AEC"/>
    <w:rsid w:val="45BA54FA"/>
    <w:rsid w:val="45EC74A5"/>
    <w:rsid w:val="45F35533"/>
    <w:rsid w:val="45FA6B69"/>
    <w:rsid w:val="460414DD"/>
    <w:rsid w:val="46332B60"/>
    <w:rsid w:val="4654705C"/>
    <w:rsid w:val="468D2C1F"/>
    <w:rsid w:val="468D3CA5"/>
    <w:rsid w:val="46EA7997"/>
    <w:rsid w:val="470243E7"/>
    <w:rsid w:val="471F1498"/>
    <w:rsid w:val="47271944"/>
    <w:rsid w:val="47455B70"/>
    <w:rsid w:val="475C4BFE"/>
    <w:rsid w:val="47BB044C"/>
    <w:rsid w:val="48082673"/>
    <w:rsid w:val="48262DE5"/>
    <w:rsid w:val="48397913"/>
    <w:rsid w:val="4949229C"/>
    <w:rsid w:val="496E72CD"/>
    <w:rsid w:val="49C0281D"/>
    <w:rsid w:val="49E449BF"/>
    <w:rsid w:val="49EC77B8"/>
    <w:rsid w:val="49ED5B1C"/>
    <w:rsid w:val="4A595408"/>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EA4849"/>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2D6742"/>
    <w:rsid w:val="58584813"/>
    <w:rsid w:val="58B728A2"/>
    <w:rsid w:val="58B868EB"/>
    <w:rsid w:val="590D059A"/>
    <w:rsid w:val="592802C2"/>
    <w:rsid w:val="595074E8"/>
    <w:rsid w:val="5978735A"/>
    <w:rsid w:val="59E42114"/>
    <w:rsid w:val="59E710C8"/>
    <w:rsid w:val="5A1C59A1"/>
    <w:rsid w:val="5A386EB4"/>
    <w:rsid w:val="5A407674"/>
    <w:rsid w:val="5A432974"/>
    <w:rsid w:val="5A665FF0"/>
    <w:rsid w:val="5A6A20C5"/>
    <w:rsid w:val="5AD64AF2"/>
    <w:rsid w:val="5AF30AE1"/>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2D3845"/>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1B81EBC"/>
    <w:rsid w:val="72702455"/>
    <w:rsid w:val="728F2E47"/>
    <w:rsid w:val="72973011"/>
    <w:rsid w:val="72CE7E91"/>
    <w:rsid w:val="72E42D1B"/>
    <w:rsid w:val="72F1592E"/>
    <w:rsid w:val="731254DC"/>
    <w:rsid w:val="734F0911"/>
    <w:rsid w:val="736054C4"/>
    <w:rsid w:val="736C572D"/>
    <w:rsid w:val="73A422EB"/>
    <w:rsid w:val="74103E55"/>
    <w:rsid w:val="745B622A"/>
    <w:rsid w:val="74C6658D"/>
    <w:rsid w:val="753E2D2E"/>
    <w:rsid w:val="75DB13A5"/>
    <w:rsid w:val="75E552E3"/>
    <w:rsid w:val="75EC38CD"/>
    <w:rsid w:val="7648538B"/>
    <w:rsid w:val="76577132"/>
    <w:rsid w:val="76BD747C"/>
    <w:rsid w:val="76CD52EB"/>
    <w:rsid w:val="76FE004A"/>
    <w:rsid w:val="77462C4C"/>
    <w:rsid w:val="77A268F6"/>
    <w:rsid w:val="77A45665"/>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B7D3776"/>
    <w:rsid w:val="7C090682"/>
    <w:rsid w:val="7C4E6027"/>
    <w:rsid w:val="7C6A6CA8"/>
    <w:rsid w:val="7CF04E00"/>
    <w:rsid w:val="7D0B04E5"/>
    <w:rsid w:val="7D41026F"/>
    <w:rsid w:val="7D59343F"/>
    <w:rsid w:val="7E0A78B3"/>
    <w:rsid w:val="7E2912F3"/>
    <w:rsid w:val="7E402A56"/>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2"/>
    <w:qFormat/>
    <w:uiPriority w:val="99"/>
    <w:rPr>
      <w:rFonts w:ascii="Times New Roman" w:hAnsi="Times New Roman" w:eastAsia="宋体" w:cs="Times New Roman"/>
      <w:sz w:val="18"/>
      <w:szCs w:val="18"/>
    </w:rPr>
  </w:style>
  <w:style w:type="character" w:customStyle="1" w:styleId="15">
    <w:name w:val="批注框文本 字符"/>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纯文本1"/>
    <w:basedOn w:val="1"/>
    <w:qFormat/>
    <w:uiPriority w:val="0"/>
    <w:rPr>
      <w:rFonts w:ascii="宋体" w:hAnsi="Courier New"/>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9197</Words>
  <Characters>9967</Characters>
  <Lines>79</Lines>
  <Paragraphs>22</Paragraphs>
  <TotalTime>1</TotalTime>
  <ScaleCrop>false</ScaleCrop>
  <LinksUpToDate>false</LinksUpToDate>
  <CharactersWithSpaces>11045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2022-09-07T09:05:54Z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18FB34CFAE5040CBA6A0AC41AB07E6E2</vt:lpwstr>
  </property>
</Properties>
</file>