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W w:w="10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949"/>
        <w:gridCol w:w="948"/>
        <w:gridCol w:w="1416"/>
        <w:gridCol w:w="86"/>
        <w:gridCol w:w="1004"/>
        <w:gridCol w:w="934"/>
        <w:gridCol w:w="762"/>
        <w:gridCol w:w="256"/>
        <w:gridCol w:w="294"/>
        <w:gridCol w:w="680"/>
        <w:gridCol w:w="171"/>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3" w:type="dxa"/>
            <w:vAlign w:val="center"/>
          </w:tcPr>
          <w:p>
            <w:pPr>
              <w:rPr>
                <w:sz w:val="21"/>
                <w:szCs w:val="21"/>
              </w:rPr>
            </w:pPr>
            <w:r>
              <w:rPr>
                <w:rFonts w:hint="eastAsia"/>
                <w:sz w:val="21"/>
                <w:szCs w:val="21"/>
              </w:rPr>
              <w:t>受审核方名称</w:t>
            </w:r>
          </w:p>
        </w:tc>
        <w:tc>
          <w:tcPr>
            <w:tcW w:w="8778" w:type="dxa"/>
            <w:gridSpan w:val="12"/>
            <w:vAlign w:val="center"/>
          </w:tcPr>
          <w:p>
            <w:pPr>
              <w:rPr>
                <w:sz w:val="21"/>
                <w:szCs w:val="21"/>
              </w:rPr>
            </w:pPr>
            <w:bookmarkStart w:id="0" w:name="组织名称"/>
            <w:r>
              <w:rPr>
                <w:sz w:val="21"/>
                <w:szCs w:val="21"/>
              </w:rPr>
              <w:t>习水县粮油储备库</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543" w:type="dxa"/>
            <w:vAlign w:val="center"/>
          </w:tcPr>
          <w:p>
            <w:pPr>
              <w:rPr>
                <w:sz w:val="20"/>
              </w:rPr>
            </w:pPr>
            <w:r>
              <w:rPr>
                <w:rFonts w:hint="eastAsia"/>
                <w:sz w:val="20"/>
              </w:rPr>
              <w:t>注册地址</w:t>
            </w:r>
          </w:p>
        </w:tc>
        <w:tc>
          <w:tcPr>
            <w:tcW w:w="8778"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贵州省遵义市习水县杉王街道机械仓</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3" w:type="dxa"/>
            <w:vAlign w:val="center"/>
          </w:tcPr>
          <w:p>
            <w:pPr>
              <w:rPr>
                <w:sz w:val="20"/>
              </w:rPr>
            </w:pPr>
            <w:r>
              <w:rPr>
                <w:rFonts w:hint="eastAsia"/>
                <w:sz w:val="20"/>
              </w:rPr>
              <w:t>经营地址</w:t>
            </w:r>
          </w:p>
        </w:tc>
        <w:tc>
          <w:tcPr>
            <w:tcW w:w="8778" w:type="dxa"/>
            <w:gridSpan w:val="12"/>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经营地址1：贵州省遵义市习水县杉王街道机械仓（老库）/经营地址2：贵州省习水县民化镇三元村水井坪（新库）</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543" w:type="dxa"/>
            <w:vAlign w:val="center"/>
          </w:tcPr>
          <w:p>
            <w:pPr>
              <w:rPr>
                <w:sz w:val="21"/>
                <w:szCs w:val="21"/>
              </w:rPr>
            </w:pPr>
            <w:r>
              <w:rPr>
                <w:rFonts w:hint="eastAsia"/>
                <w:sz w:val="21"/>
                <w:szCs w:val="21"/>
              </w:rPr>
              <w:t>联系人</w:t>
            </w:r>
          </w:p>
        </w:tc>
        <w:tc>
          <w:tcPr>
            <w:tcW w:w="3313" w:type="dxa"/>
            <w:gridSpan w:val="3"/>
            <w:vAlign w:val="center"/>
          </w:tcPr>
          <w:p>
            <w:pPr>
              <w:rPr>
                <w:rFonts w:hint="default" w:eastAsia="宋体"/>
                <w:sz w:val="21"/>
                <w:szCs w:val="21"/>
                <w:lang w:val="en-US" w:eastAsia="zh-CN"/>
              </w:rPr>
            </w:pPr>
            <w:r>
              <w:rPr>
                <w:rFonts w:hint="eastAsia"/>
                <w:sz w:val="21"/>
                <w:szCs w:val="21"/>
                <w:lang w:val="en-US" w:eastAsia="zh-CN"/>
              </w:rPr>
              <w:t>母春茂</w:t>
            </w:r>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rFonts w:hint="default" w:eastAsia="宋体"/>
                <w:sz w:val="21"/>
                <w:szCs w:val="21"/>
                <w:lang w:val="en-US" w:eastAsia="zh-CN"/>
              </w:rPr>
            </w:pPr>
            <w:bookmarkStart w:id="3" w:name="联系人手机"/>
            <w:r>
              <w:rPr>
                <w:sz w:val="21"/>
                <w:szCs w:val="21"/>
              </w:rPr>
              <w:t>1</w:t>
            </w:r>
            <w:bookmarkEnd w:id="3"/>
            <w:r>
              <w:rPr>
                <w:rFonts w:hint="eastAsia"/>
                <w:sz w:val="21"/>
                <w:szCs w:val="21"/>
                <w:lang w:val="en-US" w:eastAsia="zh-CN"/>
              </w:rPr>
              <w:t>5761606841</w:t>
            </w:r>
          </w:p>
        </w:tc>
        <w:tc>
          <w:tcPr>
            <w:tcW w:w="974" w:type="dxa"/>
            <w:gridSpan w:val="2"/>
            <w:vAlign w:val="center"/>
          </w:tcPr>
          <w:p>
            <w:pPr>
              <w:rPr>
                <w:sz w:val="20"/>
              </w:rPr>
            </w:pPr>
            <w:r>
              <w:rPr>
                <w:rFonts w:hint="eastAsia"/>
                <w:sz w:val="20"/>
              </w:rPr>
              <w:t>邮编</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3" w:type="dxa"/>
            <w:vAlign w:val="center"/>
          </w:tcPr>
          <w:p>
            <w:r>
              <w:rPr>
                <w:rFonts w:hint="eastAsia"/>
                <w:sz w:val="21"/>
                <w:szCs w:val="21"/>
              </w:rPr>
              <w:t>最高管理者</w:t>
            </w:r>
          </w:p>
        </w:tc>
        <w:tc>
          <w:tcPr>
            <w:tcW w:w="3313" w:type="dxa"/>
            <w:gridSpan w:val="3"/>
            <w:vAlign w:val="center"/>
          </w:tcPr>
          <w:p>
            <w:bookmarkStart w:id="4" w:name="最高管理者"/>
            <w:bookmarkEnd w:id="4"/>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5" w:name="管代电话"/>
            <w:bookmarkEnd w:id="5"/>
          </w:p>
        </w:tc>
        <w:tc>
          <w:tcPr>
            <w:tcW w:w="974" w:type="dxa"/>
            <w:gridSpan w:val="2"/>
            <w:vAlign w:val="center"/>
          </w:tcPr>
          <w:p>
            <w:pPr>
              <w:rPr>
                <w:sz w:val="20"/>
              </w:rPr>
            </w:pPr>
            <w:r>
              <w:rPr>
                <w:rFonts w:hint="eastAsia"/>
                <w:sz w:val="20"/>
              </w:rPr>
              <w:t>邮箱</w:t>
            </w:r>
          </w:p>
        </w:tc>
        <w:tc>
          <w:tcPr>
            <w:tcW w:w="1449" w:type="dxa"/>
            <w:gridSpan w:val="2"/>
            <w:vAlign w:val="center"/>
          </w:tcPr>
          <w:p>
            <w:pPr>
              <w:rPr>
                <w:sz w:val="21"/>
                <w:szCs w:val="21"/>
              </w:rPr>
            </w:pPr>
            <w:bookmarkStart w:id="6" w:name="联系人邮箱"/>
            <w:r>
              <w:rPr>
                <w:sz w:val="21"/>
                <w:szCs w:val="21"/>
              </w:rPr>
              <w:t>929801552@qq.com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43" w:type="dxa"/>
            <w:vAlign w:val="center"/>
          </w:tcPr>
          <w:p>
            <w:pPr>
              <w:rPr>
                <w:sz w:val="20"/>
              </w:rPr>
            </w:pPr>
            <w:r>
              <w:rPr>
                <w:rFonts w:hint="eastAsia"/>
                <w:b/>
                <w:sz w:val="20"/>
              </w:rPr>
              <w:t>合同编号</w:t>
            </w:r>
            <w:r>
              <w:rPr>
                <w:rFonts w:hint="eastAsia"/>
                <w:sz w:val="20"/>
              </w:rPr>
              <w:t>.</w:t>
            </w:r>
          </w:p>
        </w:tc>
        <w:tc>
          <w:tcPr>
            <w:tcW w:w="3313" w:type="dxa"/>
            <w:gridSpan w:val="3"/>
            <w:vAlign w:val="center"/>
          </w:tcPr>
          <w:p>
            <w:pPr>
              <w:rPr>
                <w:sz w:val="20"/>
              </w:rPr>
            </w:pPr>
            <w:bookmarkStart w:id="7" w:name="合同编号"/>
            <w:r>
              <w:rPr>
                <w:sz w:val="20"/>
              </w:rPr>
              <w:t>0663-2021-QF-2022</w:t>
            </w:r>
            <w:bookmarkEnd w:id="7"/>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8" w:name="Q勾选"/>
            <w:r>
              <w:rPr>
                <w:rFonts w:hint="eastAsia" w:ascii="宋体" w:hAnsi="宋体"/>
                <w:b/>
                <w:bCs/>
                <w:sz w:val="20"/>
              </w:rPr>
              <w:t>■</w:t>
            </w:r>
            <w:bookmarkEnd w:id="8"/>
            <w:r>
              <w:rPr>
                <w:spacing w:val="-2"/>
                <w:sz w:val="20"/>
              </w:rPr>
              <w:t>QMS</w:t>
            </w:r>
            <w:r>
              <w:rPr>
                <w:rFonts w:hint="eastAsia" w:ascii="宋体" w:hAnsi="宋体"/>
                <w:b/>
                <w:bCs/>
                <w:sz w:val="20"/>
              </w:rPr>
              <w:t>□</w:t>
            </w:r>
            <w:r>
              <w:rPr>
                <w:rFonts w:hint="eastAsia"/>
                <w:spacing w:val="-2"/>
                <w:sz w:val="20"/>
              </w:rPr>
              <w:t>Ec</w:t>
            </w:r>
            <w:r>
              <w:rPr>
                <w:spacing w:val="-2"/>
                <w:sz w:val="20"/>
              </w:rPr>
              <w:t>MS</w:t>
            </w:r>
            <w:bookmarkStart w:id="9" w:name="E勾选"/>
            <w:r>
              <w:rPr>
                <w:rFonts w:hint="eastAsia" w:ascii="宋体" w:hAnsi="宋体"/>
                <w:b/>
                <w:bCs/>
                <w:sz w:val="20"/>
              </w:rPr>
              <w:t>□</w:t>
            </w:r>
            <w:bookmarkEnd w:id="9"/>
            <w:r>
              <w:rPr>
                <w:spacing w:val="-2"/>
                <w:sz w:val="20"/>
              </w:rPr>
              <w:t>EMS</w:t>
            </w:r>
            <w:bookmarkStart w:id="10" w:name="S勾选Add1"/>
            <w:r>
              <w:rPr>
                <w:rFonts w:hint="eastAsia" w:ascii="宋体" w:hAnsi="宋体"/>
                <w:b/>
                <w:bCs/>
                <w:sz w:val="20"/>
              </w:rPr>
              <w:t>□</w:t>
            </w:r>
            <w:bookmarkEnd w:id="10"/>
            <w:r>
              <w:rPr>
                <w:spacing w:val="-2"/>
                <w:sz w:val="20"/>
              </w:rPr>
              <w:t>OHSMS</w:t>
            </w:r>
          </w:p>
          <w:p>
            <w:pPr>
              <w:rPr>
                <w:rFonts w:ascii="宋体" w:hAnsi="宋体"/>
                <w:b/>
                <w:bCs/>
                <w:sz w:val="20"/>
              </w:rPr>
            </w:pPr>
            <w:bookmarkStart w:id="11" w:name="F勾选"/>
            <w:r>
              <w:rPr>
                <w:rFonts w:hint="eastAsia" w:ascii="宋体" w:hAnsi="宋体"/>
                <w:b/>
                <w:bCs/>
                <w:sz w:val="20"/>
              </w:rPr>
              <w:t>■</w:t>
            </w:r>
            <w:bookmarkEnd w:id="11"/>
            <w:r>
              <w:rPr>
                <w:rFonts w:hint="eastAsia" w:ascii="宋体" w:hAnsi="宋体"/>
                <w:b/>
                <w:bCs/>
                <w:sz w:val="20"/>
              </w:rPr>
              <w:t xml:space="preserve">FSMS </w:t>
            </w:r>
            <w:bookmarkStart w:id="12" w:name="H勾选"/>
            <w:r>
              <w:rPr>
                <w:rFonts w:hint="eastAsia" w:ascii="宋体" w:hAnsi="宋体"/>
                <w:b/>
                <w:bCs/>
                <w:sz w:val="20"/>
              </w:rPr>
              <w:t>□</w:t>
            </w:r>
            <w:bookmarkEnd w:id="12"/>
            <w:r>
              <w:rPr>
                <w:rFonts w:hint="eastAsia" w:ascii="宋体" w:hAnsi="宋体"/>
                <w:b/>
                <w:bCs/>
                <w:sz w:val="20"/>
              </w:rPr>
              <w:t xml:space="preserve">HACCP  </w:t>
            </w:r>
            <w:bookmarkStart w:id="13" w:name="EnMs勾选"/>
            <w:r>
              <w:rPr>
                <w:rFonts w:hint="eastAsia" w:ascii="宋体" w:hAnsi="宋体"/>
                <w:b/>
                <w:bCs/>
                <w:sz w:val="20"/>
              </w:rPr>
              <w:t>□</w:t>
            </w:r>
            <w:bookmarkEnd w:id="13"/>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43" w:type="dxa"/>
            <w:vAlign w:val="center"/>
          </w:tcPr>
          <w:p>
            <w:pPr>
              <w:rPr>
                <w:b/>
                <w:sz w:val="20"/>
              </w:rPr>
            </w:pPr>
            <w:r>
              <w:rPr>
                <w:rFonts w:hint="eastAsia"/>
                <w:b/>
                <w:sz w:val="20"/>
              </w:rPr>
              <w:t>审核类型</w:t>
            </w:r>
          </w:p>
        </w:tc>
        <w:tc>
          <w:tcPr>
            <w:tcW w:w="8778" w:type="dxa"/>
            <w:gridSpan w:val="12"/>
            <w:vAlign w:val="center"/>
          </w:tcPr>
          <w:p>
            <w:pPr>
              <w:rPr>
                <w:rFonts w:ascii="宋体" w:hAnsi="宋体"/>
                <w:b/>
                <w:bCs/>
                <w:sz w:val="20"/>
              </w:rPr>
            </w:pPr>
            <w:bookmarkStart w:id="14" w:name="初审"/>
            <w:r>
              <w:rPr>
                <w:rFonts w:hint="eastAsia" w:ascii="宋体" w:hAnsi="宋体"/>
                <w:b/>
                <w:bCs/>
                <w:sz w:val="20"/>
              </w:rPr>
              <w:t>□</w:t>
            </w:r>
            <w:bookmarkEnd w:id="14"/>
            <w:r>
              <w:rPr>
                <w:rFonts w:hint="eastAsia" w:ascii="宋体" w:hAnsi="宋体"/>
                <w:b/>
                <w:bCs/>
                <w:sz w:val="20"/>
              </w:rPr>
              <w:t>初次认证第（二）阶段</w:t>
            </w:r>
            <w:bookmarkStart w:id="15" w:name="监督勾选"/>
            <w:r>
              <w:rPr>
                <w:rFonts w:hint="eastAsia" w:ascii="宋体" w:hAnsi="宋体"/>
                <w:b/>
                <w:bCs/>
                <w:sz w:val="20"/>
              </w:rPr>
              <w:t>■</w:t>
            </w:r>
            <w:bookmarkEnd w:id="15"/>
            <w:r>
              <w:rPr>
                <w:rFonts w:hint="eastAsia" w:ascii="宋体" w:hAnsi="宋体"/>
                <w:b/>
                <w:bCs/>
                <w:sz w:val="20"/>
              </w:rPr>
              <w:t>监督审核</w:t>
            </w:r>
            <w:r>
              <w:rPr>
                <w:rFonts w:hint="eastAsia"/>
                <w:color w:val="FF0000"/>
                <w:lang w:val="en-US" w:eastAsia="zh-CN"/>
              </w:rPr>
              <w:t>+恢复</w:t>
            </w:r>
            <w:r>
              <w:rPr>
                <w:rFonts w:hint="eastAsia" w:ascii="宋体" w:hAnsi="宋体"/>
                <w:b/>
                <w:bCs/>
                <w:sz w:val="20"/>
              </w:rPr>
              <w:t xml:space="preserve"> </w:t>
            </w:r>
            <w:bookmarkStart w:id="16" w:name="再认证勾选"/>
            <w:r>
              <w:rPr>
                <w:rFonts w:hint="eastAsia" w:ascii="宋体" w:hAnsi="宋体"/>
                <w:b/>
                <w:bCs/>
                <w:sz w:val="20"/>
              </w:rPr>
              <w:t>□</w:t>
            </w:r>
            <w:bookmarkEnd w:id="16"/>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543" w:type="dxa"/>
          </w:tcPr>
          <w:p>
            <w:pPr>
              <w:rPr>
                <w:b/>
                <w:sz w:val="20"/>
              </w:rPr>
            </w:pPr>
            <w:r>
              <w:rPr>
                <w:rFonts w:hint="eastAsia"/>
                <w:b/>
                <w:sz w:val="20"/>
              </w:rPr>
              <w:t>审核方法</w:t>
            </w:r>
          </w:p>
        </w:tc>
        <w:tc>
          <w:tcPr>
            <w:tcW w:w="8778" w:type="dxa"/>
            <w:gridSpan w:val="12"/>
            <w:vAlign w:val="bottom"/>
          </w:tcPr>
          <w:p>
            <w:pPr>
              <w:rPr>
                <w:rFonts w:ascii="宋体" w:hAnsi="宋体"/>
                <w:b/>
                <w:bCs/>
                <w:sz w:val="20"/>
              </w:rPr>
            </w:pPr>
            <w:bookmarkStart w:id="17" w:name="现场审核勾选"/>
            <w:r>
              <w:rPr>
                <w:rFonts w:hint="eastAsia" w:ascii="宋体" w:hAnsi="宋体" w:cs="宋体"/>
                <w:color w:val="000000"/>
                <w:kern w:val="0"/>
                <w:szCs w:val="24"/>
              </w:rPr>
              <w:t>■</w:t>
            </w:r>
            <w:bookmarkEnd w:id="17"/>
            <w:r>
              <w:rPr>
                <w:rFonts w:hint="eastAsia" w:ascii="宋体" w:hAnsi="宋体" w:cs="宋体"/>
                <w:color w:val="000000"/>
                <w:kern w:val="0"/>
                <w:szCs w:val="21"/>
              </w:rPr>
              <w:t xml:space="preserve">现场审核   </w:t>
            </w:r>
            <w:bookmarkStart w:id="18" w:name="远程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远程审核   </w:t>
            </w:r>
            <w:bookmarkStart w:id="19" w:name="现场与远程审核勾选"/>
            <w:r>
              <w:rPr>
                <w:rFonts w:hint="eastAsia" w:ascii="宋体" w:hAnsi="宋体" w:cs="宋体"/>
                <w:color w:val="000000"/>
                <w:kern w:val="0"/>
                <w:szCs w:val="24"/>
              </w:rPr>
              <w:t>□</w:t>
            </w:r>
            <w:bookmarkEnd w:id="19"/>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43" w:type="dxa"/>
          </w:tcPr>
          <w:p>
            <w:pPr>
              <w:rPr>
                <w:b/>
                <w:color w:val="0000FF"/>
                <w:sz w:val="20"/>
              </w:rPr>
            </w:pPr>
            <w:r>
              <w:rPr>
                <w:rFonts w:hint="eastAsia"/>
                <w:b/>
                <w:color w:val="0000FF"/>
                <w:sz w:val="20"/>
              </w:rPr>
              <w:t>远程审核方式</w:t>
            </w:r>
          </w:p>
        </w:tc>
        <w:tc>
          <w:tcPr>
            <w:tcW w:w="8778" w:type="dxa"/>
            <w:gridSpan w:val="12"/>
            <w:vAlign w:val="bottom"/>
          </w:tcPr>
          <w:p>
            <w:pPr>
              <w:rPr>
                <w:rFonts w:hint="eastAsia" w:ascii="宋体" w:hAnsi="宋体" w:eastAsia="宋体"/>
                <w:b/>
                <w:bCs/>
                <w:color w:val="0000FF"/>
                <w:sz w:val="20"/>
                <w:lang w:val="en-US" w:eastAsia="zh-CN"/>
              </w:rPr>
            </w:pPr>
            <w:r>
              <w:rPr>
                <w:rFonts w:hint="eastAsia" w:ascii="宋体" w:hAnsi="宋体"/>
                <w:b/>
                <w:bCs/>
                <w:color w:val="0000FF"/>
                <w:sz w:val="20"/>
              </w:rPr>
              <w:t>□音频□视频□数据共享□远程接入</w:t>
            </w:r>
            <w:r>
              <w:rPr>
                <w:rFonts w:hint="eastAsia" w:ascii="宋体" w:hAnsi="宋体"/>
                <w:b/>
                <w:bCs/>
                <w:color w:val="0000FF"/>
                <w:sz w:val="20"/>
                <w:lang w:val="en-US" w:eastAsia="zh-CN"/>
              </w:rPr>
              <w:t xml:space="preserve"> </w:t>
            </w:r>
            <w:r>
              <w:rPr>
                <w:rFonts w:hint="eastAsia" w:ascii="宋体" w:hAnsi="宋体"/>
                <w:b/>
                <w:bCs/>
                <w:color w:val="0000FF"/>
                <w:sz w:val="20"/>
              </w:rPr>
              <w:sym w:font="Wingdings 2" w:char="0052"/>
            </w:r>
            <w:r>
              <w:rPr>
                <w:rFonts w:hint="eastAsia" w:ascii="宋体" w:hAnsi="宋体"/>
                <w:b/>
                <w:bCs/>
                <w:color w:val="0000FF"/>
                <w:sz w:val="20"/>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43" w:type="dxa"/>
          </w:tcPr>
          <w:p>
            <w:pPr>
              <w:rPr>
                <w:b/>
                <w:color w:val="0000FF"/>
                <w:sz w:val="20"/>
              </w:rPr>
            </w:pPr>
            <w:r>
              <w:rPr>
                <w:rFonts w:hint="eastAsia"/>
                <w:b/>
                <w:color w:val="0000FF"/>
                <w:sz w:val="20"/>
              </w:rPr>
              <w:t>远程审核资源</w:t>
            </w:r>
          </w:p>
        </w:tc>
        <w:tc>
          <w:tcPr>
            <w:tcW w:w="8778" w:type="dxa"/>
            <w:gridSpan w:val="12"/>
            <w:vAlign w:val="bottom"/>
          </w:tcPr>
          <w:p>
            <w:pPr>
              <w:rPr>
                <w:rFonts w:hint="eastAsia" w:ascii="宋体" w:hAnsi="宋体" w:eastAsia="宋体"/>
                <w:b/>
                <w:bCs/>
                <w:color w:val="0000FF"/>
                <w:sz w:val="20"/>
                <w:lang w:val="en-US" w:eastAsia="zh-CN"/>
              </w:rPr>
            </w:pPr>
            <w:r>
              <w:rPr>
                <w:rFonts w:hint="eastAsia" w:ascii="宋体" w:hAnsi="宋体"/>
                <w:b/>
                <w:bCs/>
                <w:color w:val="0000FF"/>
                <w:sz w:val="20"/>
              </w:rPr>
              <w:t>□网络 □智能手机  □台式电脑 □笔记本电脑 □录像机 □照相机 □可穿戴设备</w:t>
            </w:r>
            <w:r>
              <w:rPr>
                <w:rFonts w:hint="eastAsia" w:ascii="宋体" w:hAnsi="宋体"/>
                <w:b/>
                <w:bCs/>
                <w:color w:val="0000FF"/>
                <w:sz w:val="20"/>
                <w:lang w:val="en-US" w:eastAsia="zh-CN"/>
              </w:rPr>
              <w:t xml:space="preserve"> </w:t>
            </w:r>
            <w:r>
              <w:rPr>
                <w:rFonts w:hint="eastAsia" w:ascii="宋体" w:hAnsi="宋体"/>
                <w:b/>
                <w:bCs/>
                <w:color w:val="0000FF"/>
                <w:sz w:val="20"/>
              </w:rPr>
              <w:sym w:font="Wingdings 2" w:char="0052"/>
            </w:r>
            <w:r>
              <w:rPr>
                <w:rFonts w:hint="eastAsia" w:ascii="宋体" w:hAnsi="宋体"/>
                <w:b/>
                <w:bCs/>
                <w:color w:val="0000FF"/>
                <w:sz w:val="20"/>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543" w:type="dxa"/>
            <w:vAlign w:val="center"/>
          </w:tcPr>
          <w:p>
            <w:pPr>
              <w:rPr>
                <w:sz w:val="20"/>
              </w:rPr>
            </w:pPr>
            <w:r>
              <w:rPr>
                <w:rFonts w:hint="eastAsia"/>
                <w:sz w:val="20"/>
              </w:rPr>
              <w:t>审核目的</w:t>
            </w:r>
          </w:p>
        </w:tc>
        <w:tc>
          <w:tcPr>
            <w:tcW w:w="8778" w:type="dxa"/>
            <w:gridSpan w:val="12"/>
          </w:tcPr>
          <w:p>
            <w:pPr>
              <w:rPr>
                <w:rFonts w:ascii="宋体" w:hAnsi="宋体"/>
                <w:b/>
                <w:bCs/>
                <w:sz w:val="20"/>
                <w:szCs w:val="22"/>
              </w:rPr>
            </w:pPr>
            <w:bookmarkStart w:id="20" w:name="二阶段勾选"/>
            <w:r>
              <w:rPr>
                <w:rFonts w:hint="eastAsia" w:ascii="宋体" w:hAnsi="宋体"/>
                <w:b/>
                <w:bCs/>
                <w:sz w:val="20"/>
                <w:szCs w:val="22"/>
              </w:rPr>
              <w:t>□</w:t>
            </w:r>
            <w:bookmarkEnd w:id="20"/>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21" w:name="再认证勾选Add1"/>
            <w:r>
              <w:rPr>
                <w:rFonts w:hint="eastAsia" w:ascii="宋体" w:hAnsi="宋体"/>
                <w:b/>
                <w:bCs/>
                <w:sz w:val="20"/>
                <w:szCs w:val="22"/>
              </w:rPr>
              <w:t>□</w:t>
            </w:r>
            <w:bookmarkEnd w:id="21"/>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2" w:name="特殊审核勾选"/>
            <w:r>
              <w:rPr>
                <w:rFonts w:hint="eastAsia" w:ascii="宋体" w:hAnsi="宋体"/>
                <w:b/>
                <w:bCs/>
                <w:sz w:val="20"/>
                <w:szCs w:val="22"/>
              </w:rPr>
              <w:t>□</w:t>
            </w:r>
            <w:bookmarkEnd w:id="22"/>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color w:val="0000FF"/>
                <w:sz w:val="20"/>
                <w:szCs w:val="22"/>
              </w:rPr>
            </w:pPr>
            <w:r>
              <w:rPr>
                <w:rFonts w:hint="eastAsia" w:ascii="宋体" w:hAnsi="宋体"/>
                <w:b/>
                <w:bCs/>
                <w:color w:val="0000FF"/>
                <w:sz w:val="20"/>
                <w:szCs w:val="22"/>
              </w:rPr>
              <w:sym w:font="Wingdings 2" w:char="0052"/>
            </w:r>
            <w:r>
              <w:rPr>
                <w:rFonts w:hint="eastAsia" w:ascii="宋体" w:hAnsi="宋体"/>
                <w:b/>
                <w:bCs/>
                <w:color w:val="0000FF"/>
                <w:sz w:val="20"/>
                <w:szCs w:val="22"/>
              </w:rPr>
              <w:t>对被暂停客户进行跟踪审核，验证被暂停原因是否已消除，以确定是否恢复认证注册资格。</w:t>
            </w:r>
          </w:p>
          <w:p>
            <w:pPr>
              <w:rPr>
                <w:rFonts w:hint="eastAsia" w:ascii="宋体" w:hAnsi="宋体" w:eastAsia="宋体"/>
                <w:b/>
                <w:bCs/>
                <w:sz w:val="20"/>
                <w:lang w:eastAsia="zh-CN"/>
              </w:rPr>
            </w:pPr>
            <w:r>
              <w:rPr>
                <w:rFonts w:hint="eastAsia" w:ascii="宋体" w:hAnsi="宋体"/>
                <w:b/>
                <w:bCs/>
                <w:color w:val="0000FF"/>
                <w:sz w:val="20"/>
                <w:szCs w:val="22"/>
              </w:rPr>
              <w:sym w:font="Wingdings 2" w:char="0052"/>
            </w:r>
            <w:r>
              <w:rPr>
                <w:rFonts w:hint="eastAsia" w:ascii="宋体" w:hAnsi="宋体"/>
                <w:b/>
                <w:bCs/>
                <w:color w:val="0000FF"/>
                <w:sz w:val="20"/>
                <w:szCs w:val="22"/>
              </w:rPr>
              <w:t>验证管理体系实施运行的符合性及有效性。</w:t>
            </w:r>
            <w:r>
              <w:rPr>
                <w:rFonts w:hint="eastAsia" w:ascii="宋体" w:hAnsi="宋体"/>
                <w:b/>
                <w:bCs/>
                <w:color w:val="0000FF"/>
                <w:sz w:val="20"/>
                <w:szCs w:val="22"/>
                <w:lang w:eastAsia="zh-CN"/>
              </w:rPr>
              <w:t>【</w:t>
            </w:r>
            <w:r>
              <w:rPr>
                <w:rFonts w:hint="eastAsia" w:ascii="宋体" w:hAnsi="宋体"/>
                <w:b/>
                <w:bCs/>
                <w:color w:val="0000FF"/>
                <w:sz w:val="20"/>
                <w:szCs w:val="22"/>
                <w:lang w:val="en-US" w:eastAsia="zh-CN"/>
              </w:rPr>
              <w:t>监审1次</w:t>
            </w:r>
            <w:r>
              <w:rPr>
                <w:rFonts w:hint="eastAsia" w:ascii="宋体" w:hAnsi="宋体"/>
                <w:b/>
                <w:bCs/>
                <w:color w:val="0000FF"/>
                <w:sz w:val="20"/>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543" w:type="dxa"/>
            <w:vAlign w:val="center"/>
          </w:tcPr>
          <w:p>
            <w:pPr>
              <w:rPr>
                <w:sz w:val="20"/>
              </w:rPr>
            </w:pPr>
            <w:r>
              <w:rPr>
                <w:rFonts w:hint="eastAsia"/>
                <w:sz w:val="20"/>
              </w:rPr>
              <w:t>审核范围</w:t>
            </w:r>
          </w:p>
        </w:tc>
        <w:tc>
          <w:tcPr>
            <w:tcW w:w="6649" w:type="dxa"/>
            <w:gridSpan w:val="9"/>
            <w:vAlign w:val="center"/>
          </w:tcPr>
          <w:p>
            <w:pPr>
              <w:rPr>
                <w:sz w:val="20"/>
              </w:rPr>
            </w:pPr>
            <w:bookmarkStart w:id="23" w:name="审核范围"/>
            <w:r>
              <w:rPr>
                <w:sz w:val="20"/>
              </w:rPr>
              <w:t>Q：初级农产品（散装高粱、稻谷、玉米、小麦）销售</w:t>
            </w:r>
          </w:p>
          <w:p>
            <w:pPr>
              <w:rPr>
                <w:sz w:val="20"/>
              </w:rPr>
            </w:pPr>
            <w:r>
              <w:rPr>
                <w:sz w:val="20"/>
              </w:rPr>
              <w:t>F：位于贵州省遵义市习水县杉王街道机械仓/贵州省习水县民化镇三元村水井坪的习水县粮油储备库仓储区的初级农产品（散装高粱、稻谷、玉米、小麦）销售（运输和贮存）</w:t>
            </w:r>
            <w:bookmarkEnd w:id="23"/>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4" w:name="专业代码"/>
            <w:r>
              <w:rPr>
                <w:sz w:val="20"/>
              </w:rPr>
              <w:t>Q：29.06.01</w:t>
            </w:r>
          </w:p>
          <w:p>
            <w:pPr>
              <w:jc w:val="left"/>
              <w:rPr>
                <w:sz w:val="20"/>
              </w:rPr>
            </w:pPr>
            <w:r>
              <w:rPr>
                <w:sz w:val="20"/>
              </w:rPr>
              <w:t>F：GII</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543" w:type="dxa"/>
            <w:vAlign w:val="center"/>
          </w:tcPr>
          <w:p>
            <w:pPr>
              <w:rPr>
                <w:sz w:val="20"/>
              </w:rPr>
            </w:pPr>
            <w:r>
              <w:rPr>
                <w:rFonts w:hint="eastAsia"/>
                <w:sz w:val="20"/>
              </w:rPr>
              <w:t>审核准则</w:t>
            </w:r>
          </w:p>
        </w:tc>
        <w:tc>
          <w:tcPr>
            <w:tcW w:w="8778" w:type="dxa"/>
            <w:gridSpan w:val="12"/>
            <w:vAlign w:val="center"/>
          </w:tcPr>
          <w:p>
            <w:pPr>
              <w:jc w:val="left"/>
              <w:rPr>
                <w:rFonts w:ascii="宋体" w:hAnsi="宋体"/>
                <w:b/>
                <w:sz w:val="21"/>
                <w:szCs w:val="21"/>
              </w:rPr>
            </w:pPr>
            <w:bookmarkStart w:id="25" w:name="Q勾选Add1"/>
            <w:r>
              <w:rPr>
                <w:rFonts w:hint="eastAsia" w:ascii="宋体" w:hAnsi="宋体"/>
                <w:b/>
                <w:sz w:val="21"/>
                <w:szCs w:val="21"/>
              </w:rPr>
              <w:t>■</w:t>
            </w:r>
            <w:bookmarkEnd w:id="25"/>
            <w:r>
              <w:rPr>
                <w:rFonts w:hint="eastAsia" w:ascii="宋体" w:hAnsi="宋体"/>
                <w:b/>
                <w:sz w:val="21"/>
                <w:szCs w:val="21"/>
              </w:rPr>
              <w:t xml:space="preserve">GB/T19001-2016/ISO 9001:2015   </w:t>
            </w:r>
            <w:bookmarkStart w:id="26" w:name="QJ勾选"/>
            <w:r>
              <w:rPr>
                <w:rFonts w:hint="eastAsia" w:ascii="宋体" w:hAnsi="宋体"/>
                <w:b/>
                <w:sz w:val="21"/>
                <w:szCs w:val="21"/>
              </w:rPr>
              <w:t>□</w:t>
            </w:r>
            <w:bookmarkEnd w:id="26"/>
            <w:r>
              <w:rPr>
                <w:rFonts w:hint="eastAsia" w:ascii="宋体" w:hAnsi="宋体"/>
                <w:b/>
                <w:sz w:val="21"/>
                <w:szCs w:val="21"/>
              </w:rPr>
              <w:t>GB/T 50430-2017</w:t>
            </w:r>
            <w:bookmarkStart w:id="27" w:name="E勾选Add1"/>
            <w:r>
              <w:rPr>
                <w:rFonts w:hint="eastAsia" w:ascii="宋体" w:hAnsi="宋体"/>
                <w:b/>
                <w:sz w:val="21"/>
                <w:szCs w:val="21"/>
              </w:rPr>
              <w:t>□</w:t>
            </w:r>
            <w:bookmarkEnd w:id="27"/>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8" w:name="S勾选"/>
            <w:r>
              <w:rPr>
                <w:rFonts w:hint="eastAsia" w:ascii="宋体" w:hAnsi="宋体"/>
                <w:b/>
                <w:sz w:val="21"/>
                <w:szCs w:val="21"/>
              </w:rPr>
              <w:t>□</w:t>
            </w:r>
            <w:bookmarkEnd w:id="28"/>
            <w:r>
              <w:rPr>
                <w:rFonts w:hint="eastAsia" w:ascii="宋体" w:hAnsi="宋体"/>
                <w:b/>
                <w:sz w:val="21"/>
                <w:szCs w:val="21"/>
              </w:rPr>
              <w:t xml:space="preserve">GB/T45001-2020/ISO45001：2020标准 </w:t>
            </w:r>
            <w:bookmarkStart w:id="29" w:name="F勾选Add1"/>
            <w:r>
              <w:rPr>
                <w:rFonts w:hint="eastAsia" w:ascii="宋体" w:hAnsi="宋体"/>
                <w:b/>
                <w:sz w:val="21"/>
                <w:szCs w:val="21"/>
              </w:rPr>
              <w:t>■</w:t>
            </w:r>
            <w:bookmarkEnd w:id="29"/>
            <w:r>
              <w:rPr>
                <w:rFonts w:hint="eastAsia" w:ascii="宋体" w:hAnsi="宋体"/>
                <w:b/>
                <w:sz w:val="21"/>
                <w:szCs w:val="21"/>
              </w:rPr>
              <w:t xml:space="preserve">ISO 22000:2018 </w:t>
            </w:r>
          </w:p>
          <w:p>
            <w:pPr>
              <w:jc w:val="left"/>
              <w:rPr>
                <w:rFonts w:ascii="宋体" w:hAnsi="宋体"/>
                <w:b/>
                <w:sz w:val="21"/>
                <w:szCs w:val="21"/>
              </w:rPr>
            </w:pPr>
            <w:bookmarkStart w:id="30" w:name="H勾选Add1"/>
            <w:r>
              <w:rPr>
                <w:rFonts w:hint="eastAsia" w:ascii="宋体" w:hAnsi="宋体"/>
                <w:b/>
                <w:sz w:val="21"/>
                <w:szCs w:val="21"/>
              </w:rPr>
              <w:t>□</w:t>
            </w:r>
            <w:bookmarkEnd w:id="30"/>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31" w:name="EnMS勾选Add1"/>
            <w:r>
              <w:rPr>
                <w:rFonts w:hint="eastAsia" w:ascii="宋体" w:hAnsi="宋体"/>
                <w:b/>
                <w:sz w:val="21"/>
                <w:szCs w:val="21"/>
              </w:rPr>
              <w:t>□</w:t>
            </w:r>
            <w:bookmarkEnd w:id="31"/>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sym w:font="Wingdings 2" w:char="00A3"/>
            </w: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适用于受审核方的法律法规及其他要求； </w:t>
            </w:r>
            <w:r>
              <w:rPr>
                <w:rFonts w:hint="eastAsia" w:ascii="宋体" w:hAnsi="宋体"/>
                <w:b/>
                <w:sz w:val="21"/>
                <w:szCs w:val="21"/>
              </w:rPr>
              <w:sym w:font="Wingdings 2" w:char="0052"/>
            </w:r>
            <w:r>
              <w:rPr>
                <w:rFonts w:hint="eastAsia" w:ascii="宋体" w:hAnsi="宋体"/>
                <w:b/>
                <w:sz w:val="21"/>
                <w:szCs w:val="21"/>
              </w:rPr>
              <w:t>认证合同</w:t>
            </w:r>
          </w:p>
          <w:p>
            <w:pPr>
              <w:jc w:val="left"/>
              <w:rPr>
                <w:b/>
                <w:sz w:val="20"/>
                <w:lang w:val="de-DE"/>
              </w:rPr>
            </w:pPr>
            <w:r>
              <w:rPr>
                <w:rFonts w:hint="eastAsia" w:ascii="宋体" w:hAnsi="宋体"/>
                <w:b/>
                <w:sz w:val="21"/>
                <w:szCs w:val="21"/>
              </w:rPr>
              <w:sym w:font="Wingdings 2" w:char="0052"/>
            </w:r>
            <w:r>
              <w:rPr>
                <w:rFonts w:hint="eastAsia" w:ascii="宋体" w:hAnsi="宋体"/>
                <w:b/>
                <w:sz w:val="21"/>
                <w:szCs w:val="21"/>
              </w:rPr>
              <w:t>受审核方管理体系文件 (手册版本号：)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543" w:type="dxa"/>
            <w:vMerge w:val="restart"/>
            <w:vAlign w:val="center"/>
          </w:tcPr>
          <w:p>
            <w:pPr>
              <w:rPr>
                <w:sz w:val="20"/>
              </w:rPr>
            </w:pPr>
            <w:r>
              <w:rPr>
                <w:rFonts w:hint="eastAsia"/>
                <w:sz w:val="20"/>
              </w:rPr>
              <w:t>审核日期</w:t>
            </w:r>
          </w:p>
        </w:tc>
        <w:tc>
          <w:tcPr>
            <w:tcW w:w="8778"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2" w:name="审核日期"/>
            <w:r>
              <w:rPr>
                <w:rFonts w:hint="eastAsia"/>
                <w:b/>
                <w:sz w:val="20"/>
              </w:rPr>
              <w:t>2022年08月2</w:t>
            </w:r>
            <w:r>
              <w:rPr>
                <w:rFonts w:hint="eastAsia"/>
                <w:b/>
                <w:sz w:val="20"/>
                <w:lang w:val="en-US" w:eastAsia="zh-CN"/>
              </w:rPr>
              <w:t>1</w:t>
            </w:r>
            <w:r>
              <w:rPr>
                <w:rFonts w:hint="eastAsia"/>
                <w:b/>
                <w:sz w:val="20"/>
              </w:rPr>
              <w:t>日 上午</w:t>
            </w:r>
            <w:r>
              <w:rPr>
                <w:rFonts w:hint="eastAsia"/>
                <w:b/>
                <w:sz w:val="20"/>
                <w:lang w:val="en-US" w:eastAsia="zh-CN"/>
              </w:rPr>
              <w:t>8：30</w:t>
            </w:r>
            <w:r>
              <w:rPr>
                <w:rFonts w:hint="eastAsia"/>
                <w:b/>
                <w:sz w:val="20"/>
              </w:rPr>
              <w:t>至2022年08月2</w:t>
            </w:r>
            <w:r>
              <w:rPr>
                <w:rFonts w:hint="eastAsia"/>
                <w:b/>
                <w:sz w:val="20"/>
                <w:lang w:val="en-US" w:eastAsia="zh-CN"/>
              </w:rPr>
              <w:t>2</w:t>
            </w:r>
            <w:r>
              <w:rPr>
                <w:rFonts w:hint="eastAsia"/>
                <w:b/>
                <w:sz w:val="20"/>
              </w:rPr>
              <w:t>日 下午</w:t>
            </w:r>
            <w:bookmarkEnd w:id="32"/>
            <w:r>
              <w:rPr>
                <w:rFonts w:hint="eastAsia"/>
                <w:b/>
                <w:sz w:val="20"/>
                <w:lang w:val="en-US" w:eastAsia="zh-CN"/>
              </w:rPr>
              <w:t xml:space="preserve">17：00 </w:t>
            </w:r>
            <w:r>
              <w:rPr>
                <w:rFonts w:hint="eastAsia"/>
                <w:b/>
                <w:sz w:val="20"/>
              </w:rPr>
              <w:t>(共</w:t>
            </w:r>
            <w:bookmarkStart w:id="33" w:name="审核天数"/>
            <w:r>
              <w:rPr>
                <w:rFonts w:hint="eastAsia"/>
                <w:b/>
                <w:sz w:val="20"/>
              </w:rPr>
              <w:t>2.0</w:t>
            </w:r>
            <w:bookmarkEnd w:id="33"/>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543" w:type="dxa"/>
            <w:vMerge w:val="continue"/>
            <w:vAlign w:val="center"/>
          </w:tcPr>
          <w:p>
            <w:pPr>
              <w:rPr>
                <w:sz w:val="20"/>
              </w:rPr>
            </w:pPr>
          </w:p>
        </w:tc>
        <w:tc>
          <w:tcPr>
            <w:tcW w:w="8778" w:type="dxa"/>
            <w:gridSpan w:val="12"/>
            <w:vAlign w:val="center"/>
          </w:tcPr>
          <w:p>
            <w:pPr>
              <w:tabs>
                <w:tab w:val="center" w:pos="4153"/>
                <w:tab w:val="right" w:pos="8306"/>
              </w:tabs>
              <w:snapToGrid w:val="0"/>
              <w:spacing w:line="360" w:lineRule="auto"/>
              <w:rPr>
                <w:rFonts w:hint="default" w:ascii="宋体" w:hAnsi="宋体" w:eastAsia="宋体"/>
                <w:b/>
                <w:sz w:val="21"/>
                <w:szCs w:val="21"/>
                <w:lang w:val="en-US" w:eastAsia="zh-CN"/>
              </w:rPr>
            </w:pPr>
            <w:r>
              <w:rPr>
                <w:rFonts w:hint="eastAsia"/>
                <w:b/>
                <w:sz w:val="20"/>
              </w:rPr>
              <w:t>远程审核于年月日上午至年月日下午 (共天)</w:t>
            </w:r>
            <w:r>
              <w:rPr>
                <w:rFonts w:hint="eastAsia"/>
                <w:b/>
                <w:sz w:val="20"/>
                <w:lang w:eastAsia="zh-CN"/>
              </w:rPr>
              <w:t>——</w:t>
            </w:r>
            <w:r>
              <w:rPr>
                <w:rFonts w:hint="eastAsia"/>
                <w:b/>
                <w:sz w:val="20"/>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43" w:type="dxa"/>
            <w:vAlign w:val="center"/>
          </w:tcPr>
          <w:p>
            <w:pPr>
              <w:rPr>
                <w:sz w:val="20"/>
              </w:rPr>
            </w:pPr>
            <w:r>
              <w:rPr>
                <w:rFonts w:hint="eastAsia"/>
                <w:sz w:val="20"/>
              </w:rPr>
              <w:t>审核语言</w:t>
            </w:r>
          </w:p>
        </w:tc>
        <w:tc>
          <w:tcPr>
            <w:tcW w:w="8778" w:type="dxa"/>
            <w:gridSpan w:val="12"/>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43" w:type="dxa"/>
            <w:vAlign w:val="center"/>
          </w:tcPr>
          <w:p>
            <w:pPr>
              <w:jc w:val="center"/>
              <w:rPr>
                <w:sz w:val="20"/>
              </w:rPr>
            </w:pPr>
            <w:r>
              <w:rPr>
                <w:rFonts w:hint="eastAsia"/>
                <w:sz w:val="21"/>
                <w:szCs w:val="21"/>
              </w:rPr>
              <w:t>组内身份</w:t>
            </w:r>
          </w:p>
        </w:tc>
        <w:tc>
          <w:tcPr>
            <w:tcW w:w="949"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401" w:type="dxa"/>
            <w:gridSpan w:val="4"/>
            <w:vAlign w:val="center"/>
          </w:tcPr>
          <w:p>
            <w:pPr>
              <w:jc w:val="center"/>
              <w:rPr>
                <w:sz w:val="20"/>
                <w:lang w:val="de-DE"/>
              </w:rPr>
            </w:pPr>
            <w:r>
              <w:rPr>
                <w:rFonts w:hint="eastAsia"/>
                <w:sz w:val="21"/>
                <w:szCs w:val="21"/>
              </w:rPr>
              <w:t>联系电话</w:t>
            </w:r>
          </w:p>
        </w:tc>
        <w:tc>
          <w:tcPr>
            <w:tcW w:w="1278"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43" w:type="dxa"/>
            <w:vAlign w:val="center"/>
          </w:tcPr>
          <w:p>
            <w:pPr>
              <w:jc w:val="center"/>
              <w:rPr>
                <w:sz w:val="20"/>
              </w:rPr>
            </w:pPr>
            <w:r>
              <w:rPr>
                <w:sz w:val="20"/>
              </w:rPr>
              <w:t>组长</w:t>
            </w:r>
          </w:p>
        </w:tc>
        <w:tc>
          <w:tcPr>
            <w:tcW w:w="949" w:type="dxa"/>
            <w:vAlign w:val="center"/>
          </w:tcPr>
          <w:p>
            <w:pPr>
              <w:jc w:val="center"/>
              <w:rPr>
                <w:sz w:val="20"/>
                <w:lang w:val="de-DE"/>
              </w:rPr>
            </w:pPr>
            <w:bookmarkStart w:id="35" w:name="_GoBack"/>
            <w:r>
              <w:rPr>
                <w:sz w:val="20"/>
                <w:lang w:val="de-DE"/>
              </w:rPr>
              <w:t>肖新龙</w:t>
            </w:r>
            <w:bookmarkEnd w:id="35"/>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2020-N1QMS-1232380</w:t>
            </w:r>
          </w:p>
          <w:p>
            <w:pPr>
              <w:jc w:val="center"/>
              <w:rPr>
                <w:sz w:val="20"/>
                <w:lang w:val="de-DE"/>
              </w:rPr>
            </w:pPr>
            <w:r>
              <w:rPr>
                <w:sz w:val="20"/>
                <w:lang w:val="de-DE"/>
              </w:rPr>
              <w:t>2020-N1FSMS-1232380</w:t>
            </w:r>
          </w:p>
        </w:tc>
        <w:tc>
          <w:tcPr>
            <w:tcW w:w="1696" w:type="dxa"/>
            <w:gridSpan w:val="2"/>
            <w:vAlign w:val="center"/>
          </w:tcPr>
          <w:p>
            <w:pPr>
              <w:jc w:val="center"/>
              <w:rPr>
                <w:sz w:val="20"/>
                <w:lang w:val="de-DE"/>
              </w:rPr>
            </w:pPr>
            <w:r>
              <w:rPr>
                <w:sz w:val="20"/>
                <w:lang w:val="de-DE"/>
              </w:rPr>
              <w:t>Q:29.06.01</w:t>
            </w:r>
          </w:p>
          <w:p>
            <w:pPr>
              <w:jc w:val="center"/>
              <w:rPr>
                <w:sz w:val="20"/>
                <w:lang w:val="de-DE"/>
              </w:rPr>
            </w:pPr>
            <w:r>
              <w:rPr>
                <w:sz w:val="20"/>
                <w:lang w:val="de-DE"/>
              </w:rPr>
              <w:t>F:GII</w:t>
            </w:r>
          </w:p>
        </w:tc>
        <w:tc>
          <w:tcPr>
            <w:tcW w:w="1401" w:type="dxa"/>
            <w:gridSpan w:val="4"/>
            <w:vAlign w:val="center"/>
          </w:tcPr>
          <w:p>
            <w:pPr>
              <w:jc w:val="center"/>
              <w:rPr>
                <w:sz w:val="20"/>
                <w:lang w:val="de-DE"/>
              </w:rPr>
            </w:pPr>
            <w:r>
              <w:rPr>
                <w:sz w:val="20"/>
                <w:lang w:val="de-DE"/>
              </w:rPr>
              <w:t>17706316076</w:t>
            </w:r>
          </w:p>
        </w:tc>
        <w:tc>
          <w:tcPr>
            <w:tcW w:w="1278"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543" w:type="dxa"/>
            <w:vAlign w:val="center"/>
          </w:tcPr>
          <w:p>
            <w:pPr>
              <w:rPr>
                <w:sz w:val="21"/>
                <w:szCs w:val="21"/>
              </w:rPr>
            </w:pPr>
          </w:p>
        </w:tc>
        <w:tc>
          <w:tcPr>
            <w:tcW w:w="949"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pStyle w:val="3"/>
            </w:pPr>
          </w:p>
        </w:tc>
        <w:tc>
          <w:tcPr>
            <w:tcW w:w="1401" w:type="dxa"/>
            <w:gridSpan w:val="4"/>
            <w:vAlign w:val="center"/>
          </w:tcPr>
          <w:p>
            <w:pPr>
              <w:rPr>
                <w:sz w:val="21"/>
                <w:szCs w:val="21"/>
              </w:rPr>
            </w:pPr>
          </w:p>
        </w:tc>
        <w:tc>
          <w:tcPr>
            <w:tcW w:w="1278"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43" w:type="dxa"/>
            <w:vAlign w:val="center"/>
          </w:tcPr>
          <w:p>
            <w:r>
              <w:rPr>
                <w:rFonts w:hint="eastAsia"/>
                <w:sz w:val="21"/>
                <w:szCs w:val="21"/>
              </w:rPr>
              <w:t>组内身份</w:t>
            </w:r>
          </w:p>
        </w:tc>
        <w:tc>
          <w:tcPr>
            <w:tcW w:w="949"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401" w:type="dxa"/>
            <w:gridSpan w:val="4"/>
            <w:vAlign w:val="center"/>
          </w:tcPr>
          <w:p>
            <w:r>
              <w:rPr>
                <w:rFonts w:hint="eastAsia"/>
                <w:sz w:val="21"/>
                <w:szCs w:val="21"/>
              </w:rPr>
              <w:t>组内代码</w:t>
            </w:r>
          </w:p>
        </w:tc>
        <w:tc>
          <w:tcPr>
            <w:tcW w:w="1278"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vAlign w:val="center"/>
          </w:tcPr>
          <w:p>
            <w:pPr>
              <w:rPr>
                <w:rFonts w:hint="eastAsia" w:eastAsia="宋体"/>
                <w:lang w:eastAsia="zh-CN"/>
              </w:rPr>
            </w:pPr>
            <w:r>
              <w:rPr>
                <w:rFonts w:hint="eastAsia"/>
                <w:lang w:eastAsia="zh-CN"/>
              </w:rPr>
              <w:t>——</w:t>
            </w:r>
          </w:p>
        </w:tc>
        <w:tc>
          <w:tcPr>
            <w:tcW w:w="949"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401" w:type="dxa"/>
            <w:gridSpan w:val="4"/>
            <w:vAlign w:val="center"/>
          </w:tcPr>
          <w:p/>
        </w:tc>
        <w:tc>
          <w:tcPr>
            <w:tcW w:w="1278"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43" w:type="dxa"/>
            <w:vAlign w:val="center"/>
          </w:tcPr>
          <w:p/>
        </w:tc>
        <w:tc>
          <w:tcPr>
            <w:tcW w:w="949"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401" w:type="dxa"/>
            <w:gridSpan w:val="4"/>
            <w:vAlign w:val="center"/>
          </w:tcPr>
          <w:p/>
        </w:tc>
        <w:tc>
          <w:tcPr>
            <w:tcW w:w="1278"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43" w:type="dxa"/>
            <w:vAlign w:val="center"/>
          </w:tcPr>
          <w:p>
            <w:pPr>
              <w:rPr>
                <w:sz w:val="21"/>
                <w:szCs w:val="21"/>
              </w:rPr>
            </w:pPr>
            <w:r>
              <w:rPr>
                <w:rFonts w:hint="eastAsia"/>
                <w:sz w:val="20"/>
              </w:rPr>
              <w:t>审核组长</w:t>
            </w:r>
          </w:p>
        </w:tc>
        <w:tc>
          <w:tcPr>
            <w:tcW w:w="1897" w:type="dxa"/>
            <w:gridSpan w:val="2"/>
            <w:vAlign w:val="center"/>
          </w:tcPr>
          <w:p>
            <w:pPr>
              <w:rPr>
                <w:sz w:val="21"/>
                <w:szCs w:val="21"/>
              </w:rPr>
            </w:pP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bookmarkStart w:id="34" w:name="审核派遣人"/>
            <w:r>
              <w:rPr>
                <w:sz w:val="21"/>
                <w:szCs w:val="21"/>
              </w:rPr>
              <w:t>李凤娟</w:t>
            </w:r>
            <w:bookmarkEnd w:id="34"/>
          </w:p>
        </w:tc>
        <w:tc>
          <w:tcPr>
            <w:tcW w:w="2163"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278"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43" w:type="dxa"/>
            <w:vAlign w:val="center"/>
          </w:tcPr>
          <w:p>
            <w:pPr>
              <w:rPr>
                <w:sz w:val="21"/>
                <w:szCs w:val="21"/>
              </w:rPr>
            </w:pPr>
            <w:r>
              <w:rPr>
                <w:rFonts w:hint="eastAsia"/>
                <w:sz w:val="20"/>
              </w:rPr>
              <w:t>联系电话</w:t>
            </w:r>
          </w:p>
        </w:tc>
        <w:tc>
          <w:tcPr>
            <w:tcW w:w="1897" w:type="dxa"/>
            <w:gridSpan w:val="2"/>
            <w:vAlign w:val="center"/>
          </w:tcPr>
          <w:p>
            <w:pPr>
              <w:rPr>
                <w:sz w:val="21"/>
                <w:szCs w:val="21"/>
              </w:rPr>
            </w:pP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163" w:type="dxa"/>
            <w:gridSpan w:val="5"/>
            <w:vMerge w:val="continue"/>
            <w:vAlign w:val="center"/>
          </w:tcPr>
          <w:p>
            <w:pPr>
              <w:rPr>
                <w:sz w:val="21"/>
                <w:szCs w:val="21"/>
              </w:rPr>
            </w:pPr>
          </w:p>
        </w:tc>
        <w:tc>
          <w:tcPr>
            <w:tcW w:w="1278"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3" w:type="dxa"/>
            <w:vAlign w:val="center"/>
          </w:tcPr>
          <w:p>
            <w:pPr>
              <w:rPr>
                <w:sz w:val="21"/>
                <w:szCs w:val="21"/>
              </w:rPr>
            </w:pPr>
            <w:r>
              <w:rPr>
                <w:rFonts w:hint="eastAsia"/>
                <w:sz w:val="20"/>
              </w:rPr>
              <w:t>日期</w:t>
            </w:r>
          </w:p>
        </w:tc>
        <w:tc>
          <w:tcPr>
            <w:tcW w:w="1897"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2022-08-18日</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sz w:val="21"/>
                <w:szCs w:val="21"/>
              </w:rPr>
            </w:pPr>
          </w:p>
        </w:tc>
        <w:tc>
          <w:tcPr>
            <w:tcW w:w="2163" w:type="dxa"/>
            <w:gridSpan w:val="5"/>
            <w:vAlign w:val="center"/>
          </w:tcPr>
          <w:p>
            <w:pPr>
              <w:rPr>
                <w:sz w:val="21"/>
                <w:szCs w:val="21"/>
              </w:rPr>
            </w:pPr>
            <w:r>
              <w:rPr>
                <w:rFonts w:hint="eastAsia"/>
                <w:sz w:val="20"/>
              </w:rPr>
              <w:t>日期</w:t>
            </w:r>
          </w:p>
        </w:tc>
        <w:tc>
          <w:tcPr>
            <w:tcW w:w="1278" w:type="dxa"/>
            <w:vAlign w:val="center"/>
          </w:tcPr>
          <w:p>
            <w:pPr>
              <w:rPr>
                <w:sz w:val="21"/>
                <w:szCs w:val="21"/>
              </w:rPr>
            </w:pPr>
          </w:p>
        </w:tc>
      </w:tr>
    </w:tbl>
    <w:p/>
    <w:tbl>
      <w:tblPr>
        <w:tblStyle w:val="6"/>
        <w:tblW w:w="10290"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49"/>
        <w:gridCol w:w="969"/>
        <w:gridCol w:w="4199"/>
        <w:gridCol w:w="2136"/>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290" w:type="dxa"/>
            <w:gridSpan w:val="6"/>
            <w:tcBorders>
              <w:top w:val="single" w:color="auto" w:sz="8" w:space="0"/>
              <w:left w:val="single" w:color="auto" w:sz="8" w:space="0"/>
              <w:bottom w:val="nil"/>
              <w:right w:val="single" w:color="auto" w:sz="8" w:space="0"/>
            </w:tcBorders>
            <w:vAlign w:val="center"/>
          </w:tcPr>
          <w:p>
            <w:pPr>
              <w:snapToGrid w:val="0"/>
              <w:spacing w:line="280" w:lineRule="exact"/>
              <w:jc w:val="center"/>
              <w:rPr>
                <w:sz w:val="21"/>
                <w:szCs w:val="21"/>
              </w:rPr>
            </w:pPr>
            <w:r>
              <w:rPr>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792" w:type="dxa"/>
            <w:tcBorders>
              <w:left w:val="single" w:color="auto" w:sz="8" w:space="0"/>
            </w:tcBorders>
            <w:vAlign w:val="center"/>
          </w:tcPr>
          <w:p>
            <w:pPr>
              <w:snapToGrid w:val="0"/>
              <w:spacing w:line="280" w:lineRule="exact"/>
              <w:jc w:val="center"/>
              <w:rPr>
                <w:sz w:val="21"/>
                <w:szCs w:val="21"/>
              </w:rPr>
            </w:pPr>
            <w:r>
              <w:rPr>
                <w:sz w:val="21"/>
                <w:szCs w:val="21"/>
              </w:rPr>
              <w:t>日期</w:t>
            </w:r>
          </w:p>
        </w:tc>
        <w:tc>
          <w:tcPr>
            <w:tcW w:w="1349" w:type="dxa"/>
            <w:vAlign w:val="center"/>
          </w:tcPr>
          <w:p>
            <w:pPr>
              <w:snapToGrid w:val="0"/>
              <w:spacing w:line="280" w:lineRule="exact"/>
              <w:jc w:val="center"/>
              <w:rPr>
                <w:sz w:val="21"/>
                <w:szCs w:val="21"/>
              </w:rPr>
            </w:pPr>
            <w:r>
              <w:rPr>
                <w:sz w:val="21"/>
                <w:szCs w:val="21"/>
              </w:rPr>
              <w:t>时间</w:t>
            </w:r>
          </w:p>
        </w:tc>
        <w:tc>
          <w:tcPr>
            <w:tcW w:w="969" w:type="dxa"/>
            <w:vAlign w:val="center"/>
          </w:tcPr>
          <w:p>
            <w:pPr>
              <w:snapToGrid w:val="0"/>
              <w:spacing w:line="280" w:lineRule="exact"/>
              <w:jc w:val="center"/>
              <w:rPr>
                <w:sz w:val="21"/>
                <w:szCs w:val="21"/>
              </w:rPr>
            </w:pPr>
            <w:r>
              <w:rPr>
                <w:sz w:val="21"/>
                <w:szCs w:val="21"/>
              </w:rPr>
              <w:t>部门</w:t>
            </w:r>
          </w:p>
        </w:tc>
        <w:tc>
          <w:tcPr>
            <w:tcW w:w="4199" w:type="dxa"/>
            <w:vAlign w:val="center"/>
          </w:tcPr>
          <w:p>
            <w:pPr>
              <w:snapToGrid w:val="0"/>
              <w:spacing w:line="280" w:lineRule="exact"/>
              <w:jc w:val="center"/>
              <w:rPr>
                <w:sz w:val="21"/>
                <w:szCs w:val="21"/>
              </w:rPr>
            </w:pPr>
            <w:r>
              <w:rPr>
                <w:sz w:val="21"/>
                <w:szCs w:val="21"/>
              </w:rPr>
              <w:t>过程</w:t>
            </w:r>
          </w:p>
        </w:tc>
        <w:tc>
          <w:tcPr>
            <w:tcW w:w="2136" w:type="dxa"/>
            <w:vAlign w:val="center"/>
          </w:tcPr>
          <w:p>
            <w:pPr>
              <w:snapToGrid w:val="0"/>
              <w:spacing w:line="280" w:lineRule="exact"/>
              <w:jc w:val="center"/>
              <w:rPr>
                <w:sz w:val="21"/>
                <w:szCs w:val="21"/>
              </w:rPr>
            </w:pPr>
            <w:r>
              <w:rPr>
                <w:sz w:val="21"/>
                <w:szCs w:val="21"/>
              </w:rPr>
              <w:t>涉及条款</w:t>
            </w:r>
          </w:p>
        </w:tc>
        <w:tc>
          <w:tcPr>
            <w:tcW w:w="845" w:type="dxa"/>
            <w:tcBorders>
              <w:right w:val="single" w:color="auto" w:sz="8" w:space="0"/>
            </w:tcBorders>
            <w:vAlign w:val="center"/>
          </w:tcPr>
          <w:p>
            <w:pPr>
              <w:snapToGrid w:val="0"/>
              <w:spacing w:line="280" w:lineRule="exact"/>
              <w:jc w:val="center"/>
              <w:rPr>
                <w:sz w:val="21"/>
                <w:szCs w:val="21"/>
              </w:rPr>
            </w:pPr>
            <w:r>
              <w:rPr>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792" w:type="dxa"/>
            <w:vMerge w:val="restart"/>
            <w:tcBorders>
              <w:left w:val="single" w:color="auto" w:sz="8" w:space="0"/>
            </w:tcBorders>
            <w:shd w:val="clear" w:color="auto" w:fill="FFFFFF" w:themeFill="background1"/>
            <w:vAlign w:val="center"/>
          </w:tcPr>
          <w:p>
            <w:pPr>
              <w:snapToGrid w:val="0"/>
              <w:spacing w:line="280" w:lineRule="exact"/>
              <w:jc w:val="center"/>
              <w:rPr>
                <w:rFonts w:hint="default" w:eastAsia="宋体"/>
                <w:color w:val="FF0000"/>
                <w:sz w:val="21"/>
                <w:szCs w:val="21"/>
                <w:lang w:val="en-US" w:eastAsia="zh-CN"/>
              </w:rPr>
            </w:pPr>
            <w:r>
              <w:rPr>
                <w:color w:val="auto"/>
                <w:sz w:val="21"/>
                <w:szCs w:val="21"/>
              </w:rPr>
              <w:t>202</w:t>
            </w:r>
            <w:r>
              <w:rPr>
                <w:rFonts w:hint="eastAsia"/>
                <w:color w:val="auto"/>
                <w:sz w:val="21"/>
                <w:szCs w:val="21"/>
                <w:lang w:val="en-US" w:eastAsia="zh-CN"/>
              </w:rPr>
              <w:t>2</w:t>
            </w:r>
            <w:r>
              <w:rPr>
                <w:color w:val="auto"/>
                <w:sz w:val="21"/>
                <w:szCs w:val="21"/>
              </w:rPr>
              <w:t>-</w:t>
            </w:r>
            <w:r>
              <w:rPr>
                <w:rFonts w:hint="eastAsia"/>
                <w:color w:val="auto"/>
                <w:sz w:val="21"/>
                <w:szCs w:val="21"/>
                <w:lang w:val="en-US" w:eastAsia="zh-CN"/>
              </w:rPr>
              <w:t>08-21日全天</w:t>
            </w:r>
          </w:p>
        </w:tc>
        <w:tc>
          <w:tcPr>
            <w:tcW w:w="1349" w:type="dxa"/>
            <w:shd w:val="clear" w:color="auto" w:fill="FFFFFF" w:themeFill="background1"/>
            <w:vAlign w:val="center"/>
          </w:tcPr>
          <w:p>
            <w:pPr>
              <w:snapToGrid w:val="0"/>
              <w:spacing w:line="280" w:lineRule="exact"/>
              <w:rPr>
                <w:color w:val="FF0000"/>
                <w:sz w:val="21"/>
                <w:szCs w:val="21"/>
              </w:rPr>
            </w:pPr>
            <w:r>
              <w:rPr>
                <w:color w:val="FF0000"/>
                <w:sz w:val="21"/>
                <w:szCs w:val="21"/>
              </w:rPr>
              <w:t>第一天</w:t>
            </w:r>
          </w:p>
        </w:tc>
        <w:tc>
          <w:tcPr>
            <w:tcW w:w="969" w:type="dxa"/>
            <w:shd w:val="clear" w:color="auto" w:fill="FFFFFF" w:themeFill="background1"/>
            <w:vAlign w:val="center"/>
          </w:tcPr>
          <w:p>
            <w:pPr>
              <w:snapToGrid w:val="0"/>
              <w:spacing w:line="280" w:lineRule="exact"/>
              <w:jc w:val="center"/>
              <w:rPr>
                <w:color w:val="FF0000"/>
                <w:sz w:val="21"/>
                <w:szCs w:val="21"/>
              </w:rPr>
            </w:pPr>
          </w:p>
        </w:tc>
        <w:tc>
          <w:tcPr>
            <w:tcW w:w="4199" w:type="dxa"/>
            <w:shd w:val="clear" w:color="auto" w:fill="FFFFFF" w:themeFill="background1"/>
            <w:vAlign w:val="center"/>
          </w:tcPr>
          <w:p>
            <w:pPr>
              <w:snapToGrid w:val="0"/>
              <w:spacing w:line="280" w:lineRule="exact"/>
              <w:jc w:val="center"/>
              <w:rPr>
                <w:color w:val="FF0000"/>
                <w:sz w:val="21"/>
                <w:szCs w:val="21"/>
              </w:rPr>
            </w:pPr>
          </w:p>
        </w:tc>
        <w:tc>
          <w:tcPr>
            <w:tcW w:w="2136" w:type="dxa"/>
            <w:shd w:val="clear" w:color="auto" w:fill="FFFFFF" w:themeFill="background1"/>
            <w:vAlign w:val="center"/>
          </w:tcPr>
          <w:p>
            <w:pPr>
              <w:snapToGrid w:val="0"/>
              <w:spacing w:line="280" w:lineRule="exact"/>
              <w:jc w:val="center"/>
              <w:rPr>
                <w:color w:val="FF0000"/>
                <w:sz w:val="21"/>
                <w:szCs w:val="21"/>
              </w:rPr>
            </w:pPr>
          </w:p>
        </w:tc>
        <w:tc>
          <w:tcPr>
            <w:tcW w:w="845" w:type="dxa"/>
            <w:tcBorders>
              <w:right w:val="single" w:color="auto" w:sz="8" w:space="0"/>
            </w:tcBorders>
            <w:shd w:val="clear" w:color="auto" w:fill="FFFFFF" w:themeFill="background1"/>
            <w:vAlign w:val="center"/>
          </w:tcPr>
          <w:p>
            <w:pPr>
              <w:snapToGrid w:val="0"/>
              <w:spacing w:line="280" w:lineRule="exact"/>
              <w:jc w:val="center"/>
              <w:rPr>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92" w:type="dxa"/>
            <w:vMerge w:val="continue"/>
            <w:tcBorders>
              <w:left w:val="single" w:color="auto" w:sz="8" w:space="0"/>
            </w:tcBorders>
            <w:shd w:val="clear" w:color="auto" w:fill="FFFFFF" w:themeFill="background1"/>
          </w:tcPr>
          <w:p>
            <w:pPr>
              <w:snapToGrid w:val="0"/>
              <w:spacing w:line="320" w:lineRule="exact"/>
              <w:rPr>
                <w:sz w:val="21"/>
                <w:szCs w:val="21"/>
              </w:rPr>
            </w:pPr>
          </w:p>
        </w:tc>
        <w:tc>
          <w:tcPr>
            <w:tcW w:w="1349" w:type="dxa"/>
            <w:shd w:val="clear" w:color="auto" w:fill="FFFFFF" w:themeFill="background1"/>
          </w:tcPr>
          <w:p>
            <w:pPr>
              <w:snapToGrid w:val="0"/>
              <w:spacing w:line="320" w:lineRule="exact"/>
              <w:rPr>
                <w:rFonts w:hint="default" w:eastAsia="宋体"/>
                <w:sz w:val="21"/>
                <w:szCs w:val="21"/>
                <w:lang w:val="en-US" w:eastAsia="zh-CN"/>
              </w:rPr>
            </w:pPr>
            <w:r>
              <w:rPr>
                <w:rFonts w:hint="eastAsia"/>
                <w:sz w:val="21"/>
                <w:szCs w:val="21"/>
                <w:lang w:val="en-US" w:eastAsia="zh-CN"/>
              </w:rPr>
              <w:t>9:00-9:30</w:t>
            </w:r>
          </w:p>
        </w:tc>
        <w:tc>
          <w:tcPr>
            <w:tcW w:w="969" w:type="dxa"/>
            <w:shd w:val="clear" w:color="auto" w:fill="FFFFFF" w:themeFill="background1"/>
          </w:tcPr>
          <w:p>
            <w:pPr>
              <w:spacing w:line="300" w:lineRule="exact"/>
              <w:rPr>
                <w:sz w:val="21"/>
                <w:szCs w:val="21"/>
              </w:rPr>
            </w:pPr>
          </w:p>
        </w:tc>
        <w:tc>
          <w:tcPr>
            <w:tcW w:w="4199" w:type="dxa"/>
            <w:shd w:val="clear" w:color="auto" w:fill="FFFFFF" w:themeFill="background1"/>
          </w:tcPr>
          <w:p>
            <w:pPr>
              <w:spacing w:line="300" w:lineRule="exact"/>
              <w:rPr>
                <w:sz w:val="21"/>
                <w:szCs w:val="21"/>
              </w:rPr>
            </w:pPr>
            <w:r>
              <w:rPr>
                <w:sz w:val="21"/>
                <w:szCs w:val="21"/>
              </w:rPr>
              <w:t>首次会议</w:t>
            </w:r>
          </w:p>
        </w:tc>
        <w:tc>
          <w:tcPr>
            <w:tcW w:w="2136" w:type="dxa"/>
            <w:shd w:val="clear" w:color="auto" w:fill="FFFFFF" w:themeFill="background1"/>
          </w:tcPr>
          <w:p>
            <w:pPr>
              <w:spacing w:line="300" w:lineRule="exact"/>
              <w:rPr>
                <w:sz w:val="21"/>
                <w:szCs w:val="21"/>
              </w:rPr>
            </w:pPr>
          </w:p>
        </w:tc>
        <w:tc>
          <w:tcPr>
            <w:tcW w:w="845" w:type="dxa"/>
            <w:tcBorders>
              <w:right w:val="single" w:color="auto" w:sz="8" w:space="0"/>
            </w:tcBorders>
            <w:shd w:val="clear" w:color="auto" w:fill="FFFFFF" w:themeFill="background1"/>
          </w:tcPr>
          <w:p>
            <w:pPr>
              <w:snapToGrid w:val="0"/>
              <w:spacing w:line="320" w:lineRule="exact"/>
              <w:rPr>
                <w:sz w:val="21"/>
                <w:szCs w:val="21"/>
              </w:rPr>
            </w:pPr>
            <w:r>
              <w:rPr>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92" w:type="dxa"/>
            <w:vMerge w:val="continue"/>
            <w:tcBorders>
              <w:left w:val="single" w:color="auto" w:sz="8" w:space="0"/>
            </w:tcBorders>
            <w:shd w:val="clear" w:color="auto" w:fill="FFFFFF" w:themeFill="background1"/>
          </w:tcPr>
          <w:p>
            <w:pPr>
              <w:snapToGrid w:val="0"/>
              <w:spacing w:line="320" w:lineRule="exact"/>
              <w:rPr>
                <w:sz w:val="21"/>
                <w:szCs w:val="21"/>
              </w:rPr>
            </w:pPr>
          </w:p>
        </w:tc>
        <w:tc>
          <w:tcPr>
            <w:tcW w:w="1349" w:type="dxa"/>
            <w:shd w:val="clear" w:color="auto" w:fill="FFFFFF" w:themeFill="background1"/>
          </w:tcPr>
          <w:p>
            <w:pPr>
              <w:snapToGrid w:val="0"/>
              <w:spacing w:line="320" w:lineRule="exact"/>
              <w:rPr>
                <w:rFonts w:hint="default"/>
                <w:sz w:val="21"/>
                <w:szCs w:val="21"/>
                <w:lang w:val="en-US" w:eastAsia="zh-CN"/>
              </w:rPr>
            </w:pPr>
            <w:r>
              <w:rPr>
                <w:rFonts w:hint="eastAsia"/>
                <w:sz w:val="21"/>
                <w:szCs w:val="21"/>
                <w:lang w:val="en-US" w:eastAsia="zh-CN"/>
              </w:rPr>
              <w:t>9:30-10:00</w:t>
            </w:r>
          </w:p>
        </w:tc>
        <w:tc>
          <w:tcPr>
            <w:tcW w:w="969" w:type="dxa"/>
            <w:shd w:val="clear" w:color="auto" w:fill="FFFFFF" w:themeFill="background1"/>
            <w:vAlign w:val="top"/>
          </w:tcPr>
          <w:p>
            <w:pPr>
              <w:keepNext w:val="0"/>
              <w:keepLines w:val="0"/>
              <w:pageBreakBefore w:val="0"/>
              <w:widowControl w:val="0"/>
              <w:kinsoku/>
              <w:wordWrap/>
              <w:overflowPunct/>
              <w:topLinePunct w:val="0"/>
              <w:bidi w:val="0"/>
              <w:spacing w:line="240" w:lineRule="auto"/>
              <w:textAlignment w:val="auto"/>
              <w:rPr>
                <w:rFonts w:hint="default" w:ascii="宋体" w:hAnsi="宋体" w:eastAsia="宋体" w:cs="Times New Roman"/>
                <w:b w:val="0"/>
                <w:bCs w:val="0"/>
                <w:kern w:val="2"/>
                <w:sz w:val="21"/>
                <w:szCs w:val="21"/>
                <w:lang w:val="en-US" w:eastAsia="zh-CN" w:bidi="ar-SA"/>
              </w:rPr>
            </w:pPr>
            <w:r>
              <w:rPr>
                <w:rFonts w:hint="eastAsia" w:ascii="宋体" w:hAnsi="宋体"/>
                <w:b w:val="0"/>
                <w:bCs w:val="0"/>
                <w:sz w:val="21"/>
                <w:szCs w:val="21"/>
                <w:lang w:val="en-US" w:eastAsia="zh-CN"/>
              </w:rPr>
              <w:t>领导层及各部门</w:t>
            </w:r>
          </w:p>
        </w:tc>
        <w:tc>
          <w:tcPr>
            <w:tcW w:w="4199" w:type="dxa"/>
            <w:shd w:val="clear" w:color="auto" w:fill="FFFFFF" w:themeFill="background1"/>
            <w:vAlign w:val="top"/>
          </w:tcPr>
          <w:p>
            <w:pPr>
              <w:keepNext w:val="0"/>
              <w:keepLines w:val="0"/>
              <w:pageBreakBefore w:val="0"/>
              <w:widowControl w:val="0"/>
              <w:kinsoku/>
              <w:wordWrap/>
              <w:overflowPunct/>
              <w:topLinePunct w:val="0"/>
              <w:bidi w:val="0"/>
              <w:spacing w:line="240" w:lineRule="auto"/>
              <w:textAlignment w:val="auto"/>
              <w:rPr>
                <w:rFonts w:hint="eastAsia" w:ascii="宋体" w:hAnsi="宋体" w:eastAsia="宋体" w:cs="Times New Roman"/>
                <w:b w:val="0"/>
                <w:bCs w:val="0"/>
                <w:kern w:val="2"/>
                <w:sz w:val="21"/>
                <w:szCs w:val="21"/>
                <w:lang w:val="en-US" w:eastAsia="zh-CN" w:bidi="ar-SA"/>
              </w:rPr>
            </w:pPr>
            <w:r>
              <w:rPr>
                <w:rFonts w:hint="eastAsia" w:ascii="宋体" w:hAnsi="宋体"/>
                <w:b/>
                <w:bCs/>
                <w:sz w:val="21"/>
                <w:szCs w:val="21"/>
                <w:lang w:val="en-US" w:eastAsia="zh-CN"/>
              </w:rPr>
              <w:t>证书恢复</w:t>
            </w:r>
            <w:r>
              <w:rPr>
                <w:rFonts w:hint="eastAsia" w:ascii="宋体" w:hAnsi="宋体"/>
                <w:b/>
                <w:bCs/>
                <w:sz w:val="21"/>
                <w:szCs w:val="21"/>
              </w:rPr>
              <w:t>确认内容</w:t>
            </w:r>
            <w:r>
              <w:rPr>
                <w:rFonts w:hint="eastAsia" w:ascii="宋体" w:hAnsi="宋体"/>
                <w:b w:val="0"/>
                <w:bCs w:val="0"/>
                <w:sz w:val="21"/>
                <w:szCs w:val="21"/>
              </w:rPr>
              <w:t>：企业执行相关法律法规及其他要求</w:t>
            </w:r>
            <w:r>
              <w:rPr>
                <w:rFonts w:hint="eastAsia" w:ascii="宋体" w:hAnsi="宋体"/>
                <w:b w:val="0"/>
                <w:bCs w:val="0"/>
                <w:sz w:val="21"/>
                <w:szCs w:val="21"/>
                <w:lang w:val="en-US" w:eastAsia="zh-CN"/>
              </w:rPr>
              <w:t>的能力</w:t>
            </w:r>
            <w:r>
              <w:rPr>
                <w:rFonts w:hint="eastAsia" w:ascii="宋体" w:hAnsi="宋体"/>
                <w:b w:val="0"/>
                <w:bCs w:val="0"/>
                <w:sz w:val="21"/>
                <w:szCs w:val="21"/>
                <w:lang w:eastAsia="zh-CN"/>
              </w:rPr>
              <w:t>、</w:t>
            </w:r>
            <w:r>
              <w:rPr>
                <w:rFonts w:hint="eastAsia" w:ascii="宋体" w:hAnsi="宋体"/>
                <w:b w:val="0"/>
                <w:bCs w:val="0"/>
                <w:sz w:val="21"/>
                <w:szCs w:val="21"/>
              </w:rPr>
              <w:t>国家对企业质量、环境、安全监督抽查</w:t>
            </w:r>
            <w:r>
              <w:rPr>
                <w:rFonts w:hint="eastAsia" w:ascii="宋体" w:hAnsi="宋体"/>
                <w:b w:val="0"/>
                <w:bCs w:val="0"/>
                <w:sz w:val="21"/>
                <w:szCs w:val="21"/>
                <w:lang w:val="en-US" w:eastAsia="zh-CN"/>
              </w:rPr>
              <w:t>情况、</w:t>
            </w:r>
            <w:r>
              <w:rPr>
                <w:rFonts w:hint="eastAsia" w:ascii="宋体" w:hAnsi="宋体"/>
                <w:b w:val="0"/>
                <w:bCs w:val="0"/>
                <w:sz w:val="21"/>
                <w:szCs w:val="21"/>
              </w:rPr>
              <w:t>重大质量环境安全事故</w:t>
            </w:r>
            <w:r>
              <w:rPr>
                <w:rFonts w:hint="eastAsia" w:ascii="宋体" w:hAnsi="宋体"/>
                <w:b w:val="0"/>
                <w:bCs w:val="0"/>
                <w:sz w:val="21"/>
                <w:szCs w:val="21"/>
                <w:lang w:eastAsia="zh-CN"/>
              </w:rPr>
              <w:t>、</w:t>
            </w:r>
            <w:r>
              <w:rPr>
                <w:rFonts w:hint="eastAsia" w:ascii="宋体" w:hAnsi="宋体"/>
                <w:b w:val="0"/>
                <w:bCs w:val="0"/>
                <w:sz w:val="21"/>
                <w:szCs w:val="21"/>
              </w:rPr>
              <w:t>主管部门处罚、通报发生</w:t>
            </w:r>
            <w:r>
              <w:rPr>
                <w:rFonts w:hint="eastAsia" w:ascii="宋体" w:hAnsi="宋体"/>
                <w:b w:val="0"/>
                <w:bCs w:val="0"/>
                <w:sz w:val="21"/>
                <w:szCs w:val="21"/>
                <w:lang w:val="en-US" w:eastAsia="zh-CN"/>
              </w:rPr>
              <w:t>情况、</w:t>
            </w:r>
            <w:r>
              <w:rPr>
                <w:rFonts w:hint="eastAsia" w:ascii="宋体" w:hAnsi="宋体"/>
                <w:b w:val="0"/>
                <w:bCs w:val="0"/>
                <w:sz w:val="21"/>
                <w:szCs w:val="21"/>
              </w:rPr>
              <w:t>体系运行正常</w:t>
            </w:r>
            <w:r>
              <w:rPr>
                <w:rFonts w:hint="eastAsia" w:ascii="宋体" w:hAnsi="宋体"/>
                <w:b w:val="0"/>
                <w:bCs w:val="0"/>
                <w:sz w:val="21"/>
                <w:szCs w:val="21"/>
                <w:lang w:val="en-US" w:eastAsia="zh-CN"/>
              </w:rPr>
              <w:t>情况、</w:t>
            </w:r>
            <w:r>
              <w:rPr>
                <w:rFonts w:hint="eastAsia" w:ascii="宋体" w:hAnsi="宋体"/>
                <w:b w:val="0"/>
                <w:bCs w:val="0"/>
                <w:sz w:val="21"/>
                <w:szCs w:val="21"/>
              </w:rPr>
              <w:t>组织发生重大变化</w:t>
            </w:r>
            <w:r>
              <w:rPr>
                <w:rFonts w:hint="eastAsia" w:ascii="宋体" w:hAnsi="宋体"/>
                <w:b w:val="0"/>
                <w:bCs w:val="0"/>
                <w:sz w:val="21"/>
                <w:szCs w:val="21"/>
                <w:lang w:val="en-US" w:eastAsia="zh-CN"/>
              </w:rPr>
              <w:t>情况、暂停期间证书使用情况、重大服务投诉情况等</w:t>
            </w:r>
          </w:p>
        </w:tc>
        <w:tc>
          <w:tcPr>
            <w:tcW w:w="2136" w:type="dxa"/>
            <w:shd w:val="clear" w:color="auto" w:fill="FFFFFF" w:themeFill="background1"/>
            <w:vAlign w:val="top"/>
          </w:tcPr>
          <w:p>
            <w:pPr>
              <w:keepNext w:val="0"/>
              <w:keepLines w:val="0"/>
              <w:pageBreakBefore w:val="0"/>
              <w:widowControl w:val="0"/>
              <w:kinsoku/>
              <w:wordWrap/>
              <w:overflowPunct/>
              <w:topLinePunct w:val="0"/>
              <w:bidi w:val="0"/>
              <w:spacing w:line="240" w:lineRule="auto"/>
              <w:textAlignment w:val="auto"/>
              <w:rPr>
                <w:rFonts w:hint="default" w:ascii="宋体" w:hAnsi="宋体" w:eastAsia="宋体" w:cs="Times New Roman"/>
                <w:b w:val="0"/>
                <w:bCs w:val="0"/>
                <w:kern w:val="2"/>
                <w:sz w:val="21"/>
                <w:szCs w:val="21"/>
                <w:lang w:val="en-US" w:eastAsia="zh-CN" w:bidi="ar-SA"/>
              </w:rPr>
            </w:pPr>
            <w:r>
              <w:rPr>
                <w:rFonts w:hint="eastAsia" w:ascii="宋体" w:hAnsi="宋体"/>
                <w:b w:val="0"/>
                <w:bCs w:val="0"/>
                <w:sz w:val="21"/>
                <w:szCs w:val="21"/>
                <w:lang w:val="en-US" w:eastAsia="zh-CN"/>
              </w:rPr>
              <w:t>证书暂停恢复的各项要求</w:t>
            </w:r>
          </w:p>
        </w:tc>
        <w:tc>
          <w:tcPr>
            <w:tcW w:w="845" w:type="dxa"/>
            <w:tcBorders>
              <w:right w:val="single" w:color="auto" w:sz="8" w:space="0"/>
            </w:tcBorders>
            <w:shd w:val="clear" w:color="auto" w:fill="FFFFFF" w:themeFill="background1"/>
            <w:vAlign w:val="top"/>
          </w:tcPr>
          <w:p>
            <w:pPr>
              <w:keepNext w:val="0"/>
              <w:keepLines w:val="0"/>
              <w:pageBreakBefore w:val="0"/>
              <w:widowControl w:val="0"/>
              <w:kinsoku/>
              <w:wordWrap/>
              <w:overflowPunct/>
              <w:topLinePunct w:val="0"/>
              <w:bidi w:val="0"/>
              <w:snapToGrid w:val="0"/>
              <w:spacing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92" w:type="dxa"/>
            <w:vMerge w:val="continue"/>
            <w:tcBorders>
              <w:left w:val="single" w:color="auto" w:sz="8" w:space="0"/>
            </w:tcBorders>
            <w:shd w:val="clear" w:color="auto" w:fill="FFFFFF" w:themeFill="background1"/>
          </w:tcPr>
          <w:p>
            <w:pPr>
              <w:snapToGrid w:val="0"/>
              <w:spacing w:line="320" w:lineRule="exact"/>
              <w:rPr>
                <w:sz w:val="21"/>
                <w:szCs w:val="21"/>
              </w:rPr>
            </w:pPr>
          </w:p>
        </w:tc>
        <w:tc>
          <w:tcPr>
            <w:tcW w:w="9498" w:type="dxa"/>
            <w:gridSpan w:val="5"/>
            <w:tcBorders>
              <w:right w:val="single" w:color="auto" w:sz="8" w:space="0"/>
            </w:tcBorders>
            <w:shd w:val="clear" w:color="auto" w:fill="FFFFFF" w:themeFill="background1"/>
          </w:tcPr>
          <w:p>
            <w:pPr>
              <w:keepNext w:val="0"/>
              <w:keepLines w:val="0"/>
              <w:pageBreakBefore w:val="0"/>
              <w:widowControl w:val="0"/>
              <w:kinsoku/>
              <w:wordWrap/>
              <w:overflowPunct/>
              <w:topLinePunct w:val="0"/>
              <w:bidi w:val="0"/>
              <w:snapToGrid w:val="0"/>
              <w:spacing w:line="240" w:lineRule="auto"/>
              <w:textAlignment w:val="auto"/>
              <w:rPr>
                <w:rFonts w:hint="eastAsia"/>
                <w:sz w:val="21"/>
                <w:szCs w:val="21"/>
                <w:lang w:val="en-US" w:eastAsia="zh-CN"/>
              </w:rPr>
            </w:pPr>
            <w:r>
              <w:rPr>
                <w:rFonts w:hint="eastAsia"/>
                <w:color w:val="FF0000"/>
                <w:sz w:val="21"/>
                <w:szCs w:val="21"/>
                <w:lang w:val="en-US" w:eastAsia="zh-CN"/>
              </w:rPr>
              <w:t>备注：首次会议结束后进行证书恢复确认，符合恢复条件后开始审核，否则终止审核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92" w:type="dxa"/>
            <w:vMerge w:val="continue"/>
            <w:tcBorders>
              <w:left w:val="single" w:color="auto" w:sz="8" w:space="0"/>
            </w:tcBorders>
            <w:shd w:val="clear" w:color="auto" w:fill="FFFFFF" w:themeFill="background1"/>
          </w:tcPr>
          <w:p>
            <w:pPr>
              <w:snapToGrid w:val="0"/>
              <w:spacing w:line="320" w:lineRule="exact"/>
              <w:rPr>
                <w:sz w:val="21"/>
                <w:szCs w:val="21"/>
              </w:rPr>
            </w:pPr>
          </w:p>
        </w:tc>
        <w:tc>
          <w:tcPr>
            <w:tcW w:w="1349" w:type="dxa"/>
            <w:shd w:val="clear" w:color="auto" w:fill="FFFFFF" w:themeFill="background1"/>
            <w:vAlign w:val="top"/>
          </w:tcPr>
          <w:p>
            <w:pPr>
              <w:snapToGrid w:val="0"/>
              <w:spacing w:line="320" w:lineRule="exact"/>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10:00-12:00</w:t>
            </w:r>
          </w:p>
        </w:tc>
        <w:tc>
          <w:tcPr>
            <w:tcW w:w="969" w:type="dxa"/>
            <w:shd w:val="clear" w:color="auto" w:fill="FFFFFF" w:themeFill="background1"/>
            <w:vAlign w:val="top"/>
          </w:tcPr>
          <w:p>
            <w:pPr>
              <w:spacing w:line="300" w:lineRule="exact"/>
              <w:rPr>
                <w:rFonts w:hint="eastAsia" w:ascii="Times New Roman" w:hAnsi="Times New Roman" w:eastAsia="宋体" w:cs="Times New Roman"/>
                <w:kern w:val="2"/>
                <w:sz w:val="21"/>
                <w:szCs w:val="21"/>
                <w:lang w:val="en-US" w:eastAsia="zh-CN" w:bidi="ar-SA"/>
              </w:rPr>
            </w:pPr>
            <w:r>
              <w:rPr>
                <w:sz w:val="21"/>
                <w:szCs w:val="21"/>
              </w:rPr>
              <w:t>领导层</w:t>
            </w:r>
          </w:p>
        </w:tc>
        <w:tc>
          <w:tcPr>
            <w:tcW w:w="4199" w:type="dxa"/>
            <w:shd w:val="clear" w:color="auto" w:fill="FFFFFF" w:themeFill="background1"/>
            <w:vAlign w:val="top"/>
          </w:tcPr>
          <w:p>
            <w:pPr>
              <w:keepNext w:val="0"/>
              <w:keepLines w:val="0"/>
              <w:pageBreakBefore w:val="0"/>
              <w:widowControl w:val="0"/>
              <w:tabs>
                <w:tab w:val="left" w:pos="709"/>
              </w:tabs>
              <w:kinsoku/>
              <w:wordWrap/>
              <w:overflowPunct/>
              <w:topLinePunct w:val="0"/>
              <w:autoSpaceDE/>
              <w:autoSpaceDN/>
              <w:bidi w:val="0"/>
              <w:adjustRightInd/>
              <w:snapToGrid/>
              <w:spacing w:line="240" w:lineRule="exact"/>
              <w:ind w:right="57"/>
              <w:textAlignment w:val="auto"/>
              <w:rPr>
                <w:rFonts w:hint="eastAsia"/>
                <w:sz w:val="21"/>
                <w:szCs w:val="21"/>
                <w:lang w:val="en-US" w:eastAsia="zh-CN"/>
              </w:rPr>
            </w:pPr>
            <w:r>
              <w:rPr>
                <w:sz w:val="21"/>
                <w:szCs w:val="21"/>
              </w:rPr>
              <w:t>内外部因素、相关方的需求和期望、</w:t>
            </w:r>
            <w:r>
              <w:rPr>
                <w:rFonts w:hint="eastAsia"/>
                <w:sz w:val="21"/>
                <w:szCs w:val="21"/>
                <w:lang w:val="en-US" w:eastAsia="zh-CN"/>
              </w:rPr>
              <w:t>管理体系范围及过程、领导作用、岗位职责、体系方针、体系目标策划及实施情况、</w:t>
            </w:r>
            <w:r>
              <w:rPr>
                <w:sz w:val="21"/>
                <w:szCs w:val="21"/>
              </w:rPr>
              <w:t>风险和机遇的控制、资源提供过程、内外部沟通</w:t>
            </w:r>
            <w:r>
              <w:rPr>
                <w:rFonts w:hint="eastAsia"/>
                <w:sz w:val="21"/>
                <w:szCs w:val="21"/>
                <w:lang w:val="en-US" w:eastAsia="zh-CN"/>
              </w:rPr>
              <w:t>、监视和测量分析总则、内部审核、</w:t>
            </w:r>
            <w:r>
              <w:rPr>
                <w:sz w:val="21"/>
                <w:szCs w:val="21"/>
              </w:rPr>
              <w:t>管理评审</w:t>
            </w:r>
            <w:r>
              <w:rPr>
                <w:rFonts w:hint="eastAsia"/>
                <w:sz w:val="21"/>
                <w:szCs w:val="21"/>
                <w:lang w:eastAsia="zh-CN"/>
              </w:rPr>
              <w:t>、</w:t>
            </w:r>
            <w:r>
              <w:rPr>
                <w:rFonts w:hint="eastAsia"/>
                <w:sz w:val="21"/>
                <w:szCs w:val="21"/>
                <w:lang w:val="en-US" w:eastAsia="zh-CN"/>
              </w:rPr>
              <w:t>运行策划、不符合项和纠正措施情况、持续改进；</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r>
              <w:rPr>
                <w:rFonts w:hint="eastAsia"/>
                <w:sz w:val="21"/>
                <w:szCs w:val="21"/>
              </w:rPr>
              <w:t>标准/规范/法规的执行情况、上次审核不符合项的验证、认证证书、标志的使用情况、投诉或事故、监督抽查情况、体系变动</w:t>
            </w:r>
            <w:r>
              <w:rPr>
                <w:rFonts w:hint="eastAsia"/>
                <w:sz w:val="21"/>
                <w:szCs w:val="21"/>
                <w:lang w:eastAsia="zh-CN"/>
              </w:rPr>
              <w:t>、</w:t>
            </w:r>
            <w:r>
              <w:rPr>
                <w:rFonts w:hint="eastAsia"/>
                <w:sz w:val="21"/>
                <w:szCs w:val="21"/>
                <w:lang w:val="en-US" w:eastAsia="zh-CN"/>
              </w:rPr>
              <w:t>初审不符合项验证等</w:t>
            </w:r>
          </w:p>
        </w:tc>
        <w:tc>
          <w:tcPr>
            <w:tcW w:w="2136" w:type="dxa"/>
            <w:shd w:val="clear" w:color="auto" w:fill="FFFFFF" w:themeFill="background1"/>
            <w:vAlign w:val="top"/>
          </w:tcPr>
          <w:p>
            <w:pPr>
              <w:keepNext w:val="0"/>
              <w:keepLines w:val="0"/>
              <w:pageBreakBefore w:val="0"/>
              <w:widowControl w:val="0"/>
              <w:tabs>
                <w:tab w:val="left" w:pos="709"/>
              </w:tabs>
              <w:kinsoku/>
              <w:wordWrap/>
              <w:overflowPunct/>
              <w:topLinePunct w:val="0"/>
              <w:autoSpaceDE/>
              <w:autoSpaceDN/>
              <w:bidi w:val="0"/>
              <w:adjustRightInd/>
              <w:snapToGrid/>
              <w:spacing w:line="240" w:lineRule="exact"/>
              <w:ind w:right="57"/>
              <w:jc w:val="left"/>
              <w:textAlignment w:val="auto"/>
              <w:rPr>
                <w:sz w:val="21"/>
                <w:szCs w:val="21"/>
              </w:rPr>
            </w:pPr>
            <w:r>
              <w:rPr>
                <w:sz w:val="21"/>
                <w:szCs w:val="21"/>
              </w:rPr>
              <w:t>QMS：4.1/4.2/4.3/4.4/</w:t>
            </w:r>
          </w:p>
          <w:p>
            <w:pPr>
              <w:keepNext w:val="0"/>
              <w:keepLines w:val="0"/>
              <w:pageBreakBefore w:val="0"/>
              <w:widowControl w:val="0"/>
              <w:tabs>
                <w:tab w:val="left" w:pos="709"/>
              </w:tabs>
              <w:kinsoku/>
              <w:wordWrap/>
              <w:overflowPunct/>
              <w:topLinePunct w:val="0"/>
              <w:autoSpaceDE/>
              <w:autoSpaceDN/>
              <w:bidi w:val="0"/>
              <w:adjustRightInd/>
              <w:snapToGrid/>
              <w:spacing w:line="240" w:lineRule="exact"/>
              <w:ind w:right="57"/>
              <w:jc w:val="left"/>
              <w:textAlignment w:val="auto"/>
              <w:rPr>
                <w:sz w:val="21"/>
                <w:szCs w:val="21"/>
              </w:rPr>
            </w:pPr>
            <w:r>
              <w:rPr>
                <w:sz w:val="21"/>
                <w:szCs w:val="21"/>
              </w:rPr>
              <w:t>5.1/5.2/5.3/6.1/6.2/6.3/7.1.1/</w:t>
            </w:r>
            <w:r>
              <w:rPr>
                <w:rFonts w:hint="eastAsia"/>
                <w:sz w:val="21"/>
                <w:szCs w:val="21"/>
              </w:rPr>
              <w:t>7.4/</w:t>
            </w:r>
            <w:r>
              <w:rPr>
                <w:rFonts w:hint="eastAsia"/>
                <w:sz w:val="21"/>
                <w:szCs w:val="21"/>
                <w:lang w:val="en-US" w:eastAsia="zh-CN"/>
              </w:rPr>
              <w:t>8.1/</w:t>
            </w:r>
            <w:r>
              <w:rPr>
                <w:sz w:val="21"/>
                <w:szCs w:val="21"/>
              </w:rPr>
              <w:t>9.1.1</w:t>
            </w:r>
            <w:r>
              <w:rPr>
                <w:rFonts w:hint="eastAsia"/>
                <w:sz w:val="21"/>
                <w:szCs w:val="21"/>
              </w:rPr>
              <w:t>/</w:t>
            </w:r>
            <w:r>
              <w:rPr>
                <w:rFonts w:hint="eastAsia"/>
                <w:sz w:val="21"/>
                <w:szCs w:val="21"/>
                <w:lang w:val="en-US" w:eastAsia="zh-CN"/>
              </w:rPr>
              <w:t>9.2/</w:t>
            </w:r>
            <w:r>
              <w:rPr>
                <w:sz w:val="21"/>
                <w:szCs w:val="21"/>
              </w:rPr>
              <w:t>9.3</w:t>
            </w:r>
            <w:r>
              <w:rPr>
                <w:rFonts w:hint="eastAsia"/>
                <w:sz w:val="21"/>
                <w:szCs w:val="21"/>
              </w:rPr>
              <w:t>/</w:t>
            </w:r>
            <w:r>
              <w:rPr>
                <w:sz w:val="21"/>
                <w:szCs w:val="21"/>
              </w:rPr>
              <w:t>10.1/</w:t>
            </w:r>
            <w:r>
              <w:rPr>
                <w:rFonts w:hint="eastAsia"/>
                <w:sz w:val="21"/>
                <w:szCs w:val="21"/>
                <w:lang w:val="en-US" w:eastAsia="zh-CN"/>
              </w:rPr>
              <w:t>10.2/</w:t>
            </w:r>
            <w:r>
              <w:rPr>
                <w:sz w:val="21"/>
                <w:szCs w:val="21"/>
              </w:rPr>
              <w:t>10.3</w:t>
            </w:r>
          </w:p>
          <w:p>
            <w:pPr>
              <w:keepNext w:val="0"/>
              <w:keepLines w:val="0"/>
              <w:pageBreakBefore w:val="0"/>
              <w:widowControl w:val="0"/>
              <w:tabs>
                <w:tab w:val="left" w:pos="709"/>
              </w:tabs>
              <w:kinsoku/>
              <w:wordWrap/>
              <w:overflowPunct/>
              <w:topLinePunct w:val="0"/>
              <w:autoSpaceDE/>
              <w:autoSpaceDN/>
              <w:bidi w:val="0"/>
              <w:adjustRightInd/>
              <w:snapToGrid/>
              <w:spacing w:line="240" w:lineRule="exact"/>
              <w:ind w:right="57" w:rightChars="0"/>
              <w:jc w:val="left"/>
              <w:textAlignment w:val="auto"/>
              <w:rPr>
                <w:rFonts w:hint="eastAsia" w:ascii="Times New Roman" w:hAnsi="Times New Roman" w:eastAsia="宋体" w:cs="Times New Roman"/>
                <w:kern w:val="2"/>
                <w:sz w:val="21"/>
                <w:szCs w:val="21"/>
                <w:lang w:val="en-US" w:eastAsia="zh-CN" w:bidi="ar-SA"/>
              </w:rPr>
            </w:pPr>
            <w:r>
              <w:rPr>
                <w:sz w:val="21"/>
                <w:szCs w:val="21"/>
              </w:rPr>
              <w:t>FSMS：4.1/4.2/4.3/4.4/5.1/5.2/5.3/6.1/6.2/6.3/7.1.1/7.4/</w:t>
            </w:r>
            <w:r>
              <w:rPr>
                <w:rFonts w:hint="eastAsia"/>
                <w:sz w:val="21"/>
                <w:szCs w:val="21"/>
                <w:lang w:val="en-US" w:eastAsia="zh-CN"/>
              </w:rPr>
              <w:t>8.1/</w:t>
            </w:r>
            <w:r>
              <w:rPr>
                <w:sz w:val="21"/>
                <w:szCs w:val="21"/>
              </w:rPr>
              <w:t>9.1.1/</w:t>
            </w:r>
            <w:r>
              <w:rPr>
                <w:rFonts w:hint="eastAsia"/>
                <w:sz w:val="21"/>
                <w:szCs w:val="21"/>
                <w:lang w:val="en-US" w:eastAsia="zh-CN"/>
              </w:rPr>
              <w:t>9.2/</w:t>
            </w:r>
            <w:r>
              <w:rPr>
                <w:sz w:val="21"/>
                <w:szCs w:val="21"/>
              </w:rPr>
              <w:t>9.3/</w:t>
            </w:r>
            <w:r>
              <w:rPr>
                <w:rFonts w:hint="eastAsia"/>
                <w:sz w:val="21"/>
                <w:szCs w:val="21"/>
                <w:lang w:val="en-US" w:eastAsia="zh-CN"/>
              </w:rPr>
              <w:t>10.1/</w:t>
            </w:r>
            <w:r>
              <w:rPr>
                <w:sz w:val="21"/>
                <w:szCs w:val="21"/>
              </w:rPr>
              <w:t>10.2</w:t>
            </w:r>
          </w:p>
        </w:tc>
        <w:tc>
          <w:tcPr>
            <w:tcW w:w="845" w:type="dxa"/>
            <w:tcBorders>
              <w:right w:val="single" w:color="auto" w:sz="8" w:space="0"/>
            </w:tcBorders>
            <w:shd w:val="clear" w:color="auto" w:fill="FFFFFF" w:themeFill="background1"/>
            <w:vAlign w:val="top"/>
          </w:tcPr>
          <w:p>
            <w:pPr>
              <w:snapToGrid w:val="0"/>
              <w:spacing w:line="320" w:lineRule="exact"/>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92" w:type="dxa"/>
            <w:vMerge w:val="continue"/>
            <w:tcBorders>
              <w:left w:val="single" w:color="auto" w:sz="8" w:space="0"/>
            </w:tcBorders>
            <w:shd w:val="clear" w:color="auto" w:fill="FFFFFF" w:themeFill="background1"/>
          </w:tcPr>
          <w:p>
            <w:pPr>
              <w:snapToGrid w:val="0"/>
              <w:spacing w:line="320" w:lineRule="exact"/>
              <w:rPr>
                <w:sz w:val="21"/>
                <w:szCs w:val="21"/>
              </w:rPr>
            </w:pPr>
          </w:p>
        </w:tc>
        <w:tc>
          <w:tcPr>
            <w:tcW w:w="1349" w:type="dxa"/>
            <w:shd w:val="clear" w:color="auto" w:fill="FFFFFF" w:themeFill="background1"/>
            <w:vAlign w:val="top"/>
          </w:tcPr>
          <w:p>
            <w:pPr>
              <w:keepNext w:val="0"/>
              <w:keepLines w:val="0"/>
              <w:pageBreakBefore w:val="0"/>
              <w:widowControl w:val="0"/>
              <w:kinsoku/>
              <w:wordWrap/>
              <w:overflowPunct/>
              <w:topLinePunct w:val="0"/>
              <w:bidi w:val="0"/>
              <w:snapToGrid w:val="0"/>
              <w:spacing w:line="280" w:lineRule="exact"/>
              <w:textAlignment w:val="auto"/>
              <w:rPr>
                <w:rFonts w:hint="default"/>
                <w:sz w:val="21"/>
                <w:szCs w:val="21"/>
                <w:lang w:val="en-US" w:eastAsia="zh-CN"/>
              </w:rPr>
            </w:pPr>
            <w:r>
              <w:rPr>
                <w:rFonts w:hint="eastAsia"/>
                <w:sz w:val="21"/>
                <w:szCs w:val="21"/>
                <w:lang w:val="en-US" w:eastAsia="zh-CN"/>
              </w:rPr>
              <w:t>12:00-12:30</w:t>
            </w:r>
          </w:p>
        </w:tc>
        <w:tc>
          <w:tcPr>
            <w:tcW w:w="969" w:type="dxa"/>
            <w:shd w:val="clear" w:color="auto" w:fill="FFFFFF" w:themeFill="background1"/>
            <w:vAlign w:val="top"/>
          </w:tcPr>
          <w:p>
            <w:pPr>
              <w:keepNext w:val="0"/>
              <w:keepLines w:val="0"/>
              <w:pageBreakBefore w:val="0"/>
              <w:widowControl w:val="0"/>
              <w:kinsoku/>
              <w:wordWrap/>
              <w:overflowPunct/>
              <w:topLinePunct w:val="0"/>
              <w:bidi w:val="0"/>
              <w:spacing w:line="280" w:lineRule="exact"/>
              <w:jc w:val="left"/>
              <w:textAlignment w:val="auto"/>
              <w:rPr>
                <w:rFonts w:hint="eastAsia" w:ascii="Times New Roman" w:hAnsi="Times New Roman" w:eastAsia="宋体" w:cs="Times New Roman"/>
                <w:spacing w:val="40"/>
                <w:kern w:val="10"/>
                <w:sz w:val="21"/>
                <w:szCs w:val="21"/>
                <w:lang w:val="en-US" w:eastAsia="zh-CN" w:bidi="ar-SA"/>
              </w:rPr>
            </w:pPr>
            <w:r>
              <w:rPr>
                <w:rFonts w:hint="eastAsia"/>
                <w:kern w:val="10"/>
                <w:sz w:val="21"/>
                <w:szCs w:val="21"/>
              </w:rPr>
              <w:t>食品安全</w:t>
            </w:r>
            <w:r>
              <w:rPr>
                <w:spacing w:val="40"/>
                <w:kern w:val="10"/>
                <w:sz w:val="21"/>
                <w:szCs w:val="21"/>
              </w:rPr>
              <w:t>小</w:t>
            </w:r>
            <w:r>
              <w:rPr>
                <w:rFonts w:hint="eastAsia"/>
                <w:spacing w:val="40"/>
                <w:kern w:val="10"/>
                <w:sz w:val="21"/>
                <w:szCs w:val="21"/>
                <w:lang w:val="en-US" w:eastAsia="zh-CN"/>
              </w:rPr>
              <w:t>组</w:t>
            </w:r>
          </w:p>
        </w:tc>
        <w:tc>
          <w:tcPr>
            <w:tcW w:w="4199" w:type="dxa"/>
            <w:shd w:val="clear" w:color="auto" w:fill="FFFFFF" w:themeFill="background1"/>
            <w:vAlign w:val="top"/>
          </w:tcPr>
          <w:p>
            <w:pPr>
              <w:keepNext w:val="0"/>
              <w:keepLines w:val="0"/>
              <w:pageBreakBefore w:val="0"/>
              <w:widowControl w:val="0"/>
              <w:kinsoku/>
              <w:wordWrap/>
              <w:overflowPunct/>
              <w:topLinePunct w:val="0"/>
              <w:bidi w:val="0"/>
              <w:spacing w:line="280" w:lineRule="exact"/>
              <w:textAlignment w:val="auto"/>
              <w:rPr>
                <w:rFonts w:hint="eastAsia" w:ascii="Times New Roman" w:hAnsi="Times New Roman" w:eastAsia="宋体" w:cs="Times New Roman"/>
                <w:kern w:val="2"/>
                <w:sz w:val="21"/>
                <w:szCs w:val="21"/>
                <w:lang w:val="en-US" w:eastAsia="zh-CN" w:bidi="ar-SA"/>
              </w:rPr>
            </w:pPr>
            <w:r>
              <w:rPr>
                <w:sz w:val="21"/>
                <w:szCs w:val="21"/>
              </w:rPr>
              <w:t>食品安全小组及职责、</w:t>
            </w:r>
            <w:r>
              <w:rPr>
                <w:rFonts w:hint="eastAsia"/>
                <w:sz w:val="21"/>
                <w:szCs w:val="21"/>
                <w:lang w:val="en-US" w:eastAsia="zh-CN"/>
              </w:rPr>
              <w:t>外部提供的食品安全管理体系要素、前提方案、</w:t>
            </w:r>
            <w:r>
              <w:rPr>
                <w:sz w:val="21"/>
                <w:szCs w:val="21"/>
              </w:rPr>
              <w:t>实施危害分析的预备步骤、危害分析、</w:t>
            </w:r>
            <w:r>
              <w:rPr>
                <w:rFonts w:hint="eastAsia"/>
                <w:sz w:val="21"/>
                <w:szCs w:val="21"/>
                <w:lang w:val="en-US" w:eastAsia="zh-CN"/>
              </w:rPr>
              <w:t>危害控制计划的建立</w:t>
            </w:r>
            <w:r>
              <w:rPr>
                <w:sz w:val="21"/>
                <w:szCs w:val="21"/>
              </w:rPr>
              <w:t>、</w:t>
            </w:r>
            <w:r>
              <w:rPr>
                <w:rFonts w:hint="eastAsia"/>
                <w:sz w:val="21"/>
                <w:szCs w:val="21"/>
              </w:rPr>
              <w:t>前提方案PRPs和危害控制计划信息更新</w:t>
            </w:r>
            <w:r>
              <w:rPr>
                <w:sz w:val="21"/>
                <w:szCs w:val="21"/>
              </w:rPr>
              <w:t>、验证策划、控制措施组合的确认、食品安全管理体系的验证及结果分析</w:t>
            </w:r>
            <w:r>
              <w:rPr>
                <w:rFonts w:hint="eastAsia"/>
                <w:sz w:val="21"/>
                <w:szCs w:val="21"/>
                <w:lang w:eastAsia="zh-CN"/>
              </w:rPr>
              <w:t>、</w:t>
            </w:r>
            <w:r>
              <w:rPr>
                <w:rFonts w:hint="eastAsia"/>
                <w:sz w:val="21"/>
                <w:szCs w:val="21"/>
                <w:lang w:val="en-US" w:eastAsia="zh-CN"/>
              </w:rPr>
              <w:t>食品安全管理体系的更新</w:t>
            </w:r>
            <w:r>
              <w:rPr>
                <w:sz w:val="21"/>
                <w:szCs w:val="21"/>
              </w:rPr>
              <w:t>；</w:t>
            </w:r>
          </w:p>
        </w:tc>
        <w:tc>
          <w:tcPr>
            <w:tcW w:w="2136" w:type="dxa"/>
            <w:shd w:val="clear" w:color="auto" w:fill="FFFFFF" w:themeFill="background1"/>
            <w:vAlign w:val="top"/>
          </w:tcPr>
          <w:p>
            <w:pPr>
              <w:keepNext w:val="0"/>
              <w:keepLines w:val="0"/>
              <w:pageBreakBefore w:val="0"/>
              <w:widowControl w:val="0"/>
              <w:kinsoku/>
              <w:wordWrap/>
              <w:overflowPunct/>
              <w:topLinePunct w:val="0"/>
              <w:autoSpaceDE w:val="0"/>
              <w:autoSpaceDN w:val="0"/>
              <w:bidi w:val="0"/>
              <w:adjustRightInd w:val="0"/>
              <w:spacing w:line="280" w:lineRule="exact"/>
              <w:jc w:val="left"/>
              <w:textAlignment w:val="auto"/>
              <w:rPr>
                <w:sz w:val="21"/>
                <w:szCs w:val="21"/>
              </w:rPr>
            </w:pPr>
            <w:r>
              <w:rPr>
                <w:sz w:val="21"/>
                <w:szCs w:val="21"/>
              </w:rPr>
              <w:t>FSMS:</w:t>
            </w:r>
          </w:p>
          <w:p>
            <w:pPr>
              <w:keepNext w:val="0"/>
              <w:keepLines w:val="0"/>
              <w:pageBreakBefore w:val="0"/>
              <w:widowControl w:val="0"/>
              <w:kinsoku/>
              <w:wordWrap/>
              <w:overflowPunct/>
              <w:topLinePunct w:val="0"/>
              <w:autoSpaceDE w:val="0"/>
              <w:autoSpaceDN w:val="0"/>
              <w:bidi w:val="0"/>
              <w:adjustRightInd w:val="0"/>
              <w:spacing w:line="280" w:lineRule="exact"/>
              <w:jc w:val="left"/>
              <w:textAlignment w:val="auto"/>
              <w:rPr>
                <w:rFonts w:ascii="Times New Roman" w:hAnsi="Times New Roman" w:eastAsia="宋体" w:cs="Times New Roman"/>
                <w:kern w:val="2"/>
                <w:sz w:val="21"/>
                <w:szCs w:val="21"/>
                <w:lang w:val="en-US" w:eastAsia="zh-CN" w:bidi="ar-SA"/>
              </w:rPr>
            </w:pPr>
            <w:r>
              <w:rPr>
                <w:rFonts w:hint="eastAsia"/>
                <w:sz w:val="21"/>
                <w:szCs w:val="21"/>
              </w:rPr>
              <w:t>5</w:t>
            </w:r>
            <w:r>
              <w:rPr>
                <w:sz w:val="21"/>
                <w:szCs w:val="21"/>
              </w:rPr>
              <w:t>.3/</w:t>
            </w:r>
            <w:r>
              <w:rPr>
                <w:rFonts w:hint="eastAsia"/>
                <w:sz w:val="21"/>
                <w:szCs w:val="21"/>
              </w:rPr>
              <w:t>7.1.5/</w:t>
            </w:r>
            <w:r>
              <w:rPr>
                <w:sz w:val="21"/>
                <w:szCs w:val="21"/>
              </w:rPr>
              <w:t>8.2/8.5/8.6/8.8</w:t>
            </w:r>
            <w:r>
              <w:rPr>
                <w:rFonts w:hint="eastAsia"/>
                <w:sz w:val="21"/>
                <w:szCs w:val="21"/>
                <w:lang w:val="en-US" w:eastAsia="zh-CN"/>
              </w:rPr>
              <w:t>/10.3</w:t>
            </w:r>
          </w:p>
        </w:tc>
        <w:tc>
          <w:tcPr>
            <w:tcW w:w="845" w:type="dxa"/>
            <w:tcBorders>
              <w:right w:val="single" w:color="auto" w:sz="8" w:space="0"/>
            </w:tcBorders>
            <w:shd w:val="clear" w:color="auto" w:fill="FFFFFF" w:themeFill="background1"/>
            <w:vAlign w:val="top"/>
          </w:tcPr>
          <w:p>
            <w:pPr>
              <w:keepNext w:val="0"/>
              <w:keepLines w:val="0"/>
              <w:pageBreakBefore w:val="0"/>
              <w:widowControl w:val="0"/>
              <w:kinsoku/>
              <w:wordWrap/>
              <w:overflowPunct/>
              <w:topLinePunct w:val="0"/>
              <w:bidi w:val="0"/>
              <w:snapToGrid w:val="0"/>
              <w:spacing w:line="28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92" w:type="dxa"/>
            <w:vMerge w:val="continue"/>
            <w:tcBorders>
              <w:left w:val="single" w:color="auto" w:sz="8" w:space="0"/>
            </w:tcBorders>
            <w:shd w:val="clear" w:color="auto" w:fill="FFFFFF" w:themeFill="background1"/>
          </w:tcPr>
          <w:p>
            <w:pPr>
              <w:snapToGrid w:val="0"/>
              <w:spacing w:line="320" w:lineRule="exact"/>
              <w:rPr>
                <w:sz w:val="21"/>
                <w:szCs w:val="21"/>
              </w:rPr>
            </w:pPr>
          </w:p>
        </w:tc>
        <w:tc>
          <w:tcPr>
            <w:tcW w:w="1349" w:type="dxa"/>
            <w:shd w:val="clear" w:color="auto" w:fill="FFFFFF" w:themeFill="background1"/>
            <w:vAlign w:val="top"/>
          </w:tcPr>
          <w:p>
            <w:pPr>
              <w:snapToGrid w:val="0"/>
              <w:spacing w:line="320" w:lineRule="exact"/>
              <w:rPr>
                <w:rFonts w:hint="default"/>
                <w:sz w:val="21"/>
                <w:szCs w:val="21"/>
                <w:lang w:val="en-US" w:eastAsia="zh-CN"/>
              </w:rPr>
            </w:pPr>
            <w:r>
              <w:rPr>
                <w:rFonts w:hint="eastAsia"/>
                <w:sz w:val="21"/>
                <w:szCs w:val="21"/>
                <w:lang w:val="en-US" w:eastAsia="zh-CN"/>
              </w:rPr>
              <w:t>12:30-13:00</w:t>
            </w:r>
          </w:p>
        </w:tc>
        <w:tc>
          <w:tcPr>
            <w:tcW w:w="969" w:type="dxa"/>
            <w:shd w:val="clear" w:color="auto" w:fill="FFFFFF" w:themeFill="background1"/>
            <w:vAlign w:val="top"/>
          </w:tcPr>
          <w:p>
            <w:pPr>
              <w:jc w:val="left"/>
              <w:rPr>
                <w:rFonts w:hint="eastAsia"/>
                <w:kern w:val="10"/>
                <w:sz w:val="21"/>
                <w:szCs w:val="21"/>
              </w:rPr>
            </w:pPr>
          </w:p>
        </w:tc>
        <w:tc>
          <w:tcPr>
            <w:tcW w:w="4199" w:type="dxa"/>
            <w:shd w:val="clear" w:color="auto" w:fill="FFFFFF" w:themeFill="background1"/>
            <w:vAlign w:val="top"/>
          </w:tcPr>
          <w:p>
            <w:pPr>
              <w:spacing w:line="300" w:lineRule="exact"/>
              <w:rPr>
                <w:rFonts w:hint="default" w:eastAsia="宋体"/>
                <w:sz w:val="21"/>
                <w:szCs w:val="21"/>
                <w:lang w:val="en-US" w:eastAsia="zh-CN"/>
              </w:rPr>
            </w:pPr>
            <w:r>
              <w:rPr>
                <w:rFonts w:hint="eastAsia"/>
                <w:sz w:val="21"/>
                <w:szCs w:val="21"/>
                <w:lang w:val="en-US" w:eastAsia="zh-CN"/>
              </w:rPr>
              <w:t>午餐</w:t>
            </w:r>
          </w:p>
        </w:tc>
        <w:tc>
          <w:tcPr>
            <w:tcW w:w="2136" w:type="dxa"/>
            <w:shd w:val="clear" w:color="auto" w:fill="FFFFFF" w:themeFill="background1"/>
            <w:vAlign w:val="top"/>
          </w:tcPr>
          <w:p>
            <w:pPr>
              <w:autoSpaceDE w:val="0"/>
              <w:autoSpaceDN w:val="0"/>
              <w:adjustRightInd w:val="0"/>
              <w:jc w:val="left"/>
              <w:rPr>
                <w:rFonts w:ascii="Times New Roman" w:hAnsi="Times New Roman" w:eastAsia="宋体" w:cs="Times New Roman"/>
                <w:kern w:val="2"/>
                <w:sz w:val="21"/>
                <w:szCs w:val="21"/>
                <w:lang w:val="en-US" w:eastAsia="zh-CN" w:bidi="ar-SA"/>
              </w:rPr>
            </w:pPr>
          </w:p>
        </w:tc>
        <w:tc>
          <w:tcPr>
            <w:tcW w:w="845" w:type="dxa"/>
            <w:tcBorders>
              <w:right w:val="single" w:color="auto" w:sz="8" w:space="0"/>
            </w:tcBorders>
            <w:shd w:val="clear" w:color="auto" w:fill="FFFFFF" w:themeFill="background1"/>
            <w:vAlign w:val="top"/>
          </w:tcPr>
          <w:p>
            <w:pPr>
              <w:snapToGrid w:val="0"/>
              <w:spacing w:line="320" w:lineRule="exact"/>
              <w:rPr>
                <w:rFonts w:hint="default"/>
                <w:sz w:val="21"/>
                <w:szCs w:val="21"/>
                <w:lang w:val="en-US" w:eastAsia="zh-CN"/>
              </w:rPr>
            </w:pPr>
            <w:r>
              <w:rPr>
                <w:rFonts w:hint="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92" w:type="dxa"/>
            <w:vMerge w:val="continue"/>
            <w:tcBorders>
              <w:left w:val="single" w:color="auto" w:sz="8" w:space="0"/>
            </w:tcBorders>
            <w:shd w:val="clear" w:color="auto" w:fill="FFFFFF" w:themeFill="background1"/>
          </w:tcPr>
          <w:p>
            <w:pPr>
              <w:snapToGrid w:val="0"/>
              <w:spacing w:line="320" w:lineRule="exact"/>
              <w:rPr>
                <w:sz w:val="21"/>
                <w:szCs w:val="21"/>
              </w:rPr>
            </w:pPr>
          </w:p>
        </w:tc>
        <w:tc>
          <w:tcPr>
            <w:tcW w:w="1349" w:type="dxa"/>
            <w:shd w:val="clear" w:color="auto" w:fill="FFFFFF" w:themeFill="background1"/>
            <w:vAlign w:val="top"/>
          </w:tcPr>
          <w:p>
            <w:pPr>
              <w:snapToGrid w:val="0"/>
              <w:spacing w:line="320" w:lineRule="exact"/>
              <w:rPr>
                <w:rFonts w:hint="default"/>
                <w:sz w:val="21"/>
                <w:szCs w:val="21"/>
                <w:lang w:val="en-US" w:eastAsia="zh-CN"/>
              </w:rPr>
            </w:pPr>
            <w:r>
              <w:rPr>
                <w:rFonts w:hint="eastAsia"/>
                <w:sz w:val="21"/>
                <w:szCs w:val="21"/>
                <w:lang w:val="en-US" w:eastAsia="zh-CN"/>
              </w:rPr>
              <w:t>13:00-14:00</w:t>
            </w:r>
          </w:p>
        </w:tc>
        <w:tc>
          <w:tcPr>
            <w:tcW w:w="969" w:type="dxa"/>
            <w:shd w:val="clear" w:color="auto" w:fill="FFFFFF" w:themeFill="background1"/>
            <w:vAlign w:val="top"/>
          </w:tcPr>
          <w:p>
            <w:pPr>
              <w:keepNext w:val="0"/>
              <w:keepLines w:val="0"/>
              <w:pageBreakBefore w:val="0"/>
              <w:widowControl w:val="0"/>
              <w:kinsoku/>
              <w:wordWrap/>
              <w:overflowPunct/>
              <w:topLinePunct w:val="0"/>
              <w:bidi w:val="0"/>
              <w:spacing w:line="280" w:lineRule="exact"/>
              <w:jc w:val="left"/>
              <w:textAlignment w:val="auto"/>
              <w:rPr>
                <w:rFonts w:hint="eastAsia" w:ascii="Times New Roman" w:hAnsi="Times New Roman" w:eastAsia="宋体" w:cs="Times New Roman"/>
                <w:spacing w:val="40"/>
                <w:kern w:val="10"/>
                <w:sz w:val="21"/>
                <w:szCs w:val="21"/>
                <w:lang w:val="en-US" w:eastAsia="zh-CN" w:bidi="ar-SA"/>
              </w:rPr>
            </w:pPr>
            <w:r>
              <w:rPr>
                <w:rFonts w:hint="eastAsia"/>
                <w:kern w:val="10"/>
                <w:sz w:val="21"/>
                <w:szCs w:val="21"/>
              </w:rPr>
              <w:t>食品安全</w:t>
            </w:r>
            <w:r>
              <w:rPr>
                <w:spacing w:val="40"/>
                <w:kern w:val="10"/>
                <w:sz w:val="21"/>
                <w:szCs w:val="21"/>
              </w:rPr>
              <w:t>小</w:t>
            </w:r>
            <w:r>
              <w:rPr>
                <w:rFonts w:hint="eastAsia"/>
                <w:spacing w:val="40"/>
                <w:kern w:val="10"/>
                <w:sz w:val="21"/>
                <w:szCs w:val="21"/>
                <w:lang w:val="en-US" w:eastAsia="zh-CN"/>
              </w:rPr>
              <w:t>组</w:t>
            </w:r>
          </w:p>
        </w:tc>
        <w:tc>
          <w:tcPr>
            <w:tcW w:w="4199" w:type="dxa"/>
            <w:shd w:val="clear" w:color="auto" w:fill="FFFFFF" w:themeFill="background1"/>
            <w:vAlign w:val="top"/>
          </w:tcPr>
          <w:p>
            <w:pPr>
              <w:keepNext w:val="0"/>
              <w:keepLines w:val="0"/>
              <w:pageBreakBefore w:val="0"/>
              <w:widowControl w:val="0"/>
              <w:kinsoku/>
              <w:wordWrap/>
              <w:overflowPunct/>
              <w:topLinePunct w:val="0"/>
              <w:bidi w:val="0"/>
              <w:spacing w:line="280" w:lineRule="exact"/>
              <w:textAlignment w:val="auto"/>
              <w:rPr>
                <w:rFonts w:hint="default" w:ascii="Times New Roman" w:hAnsi="Times New Roman" w:eastAsia="宋体" w:cs="Times New Roman"/>
                <w:kern w:val="2"/>
                <w:sz w:val="21"/>
                <w:szCs w:val="21"/>
                <w:lang w:val="en-US" w:eastAsia="zh-CN" w:bidi="ar-SA"/>
              </w:rPr>
            </w:pPr>
            <w:r>
              <w:rPr>
                <w:sz w:val="21"/>
                <w:szCs w:val="21"/>
              </w:rPr>
              <w:t>食品安全小组及职责、</w:t>
            </w:r>
            <w:r>
              <w:rPr>
                <w:rFonts w:hint="eastAsia"/>
                <w:sz w:val="21"/>
                <w:szCs w:val="21"/>
                <w:lang w:val="en-US" w:eastAsia="zh-CN"/>
              </w:rPr>
              <w:t>外部提供的食品安全管理体系要素、前提方案、</w:t>
            </w:r>
            <w:r>
              <w:rPr>
                <w:sz w:val="21"/>
                <w:szCs w:val="21"/>
              </w:rPr>
              <w:t>实施危害分析的预备步骤、危害分析、</w:t>
            </w:r>
            <w:r>
              <w:rPr>
                <w:rFonts w:hint="eastAsia"/>
                <w:sz w:val="21"/>
                <w:szCs w:val="21"/>
                <w:lang w:val="en-US" w:eastAsia="zh-CN"/>
              </w:rPr>
              <w:t>危害控制计划的建立</w:t>
            </w:r>
            <w:r>
              <w:rPr>
                <w:sz w:val="21"/>
                <w:szCs w:val="21"/>
              </w:rPr>
              <w:t>、</w:t>
            </w:r>
            <w:r>
              <w:rPr>
                <w:rFonts w:hint="eastAsia"/>
                <w:sz w:val="21"/>
                <w:szCs w:val="21"/>
              </w:rPr>
              <w:t>前提方案PRPs和危害控制计划信息更新</w:t>
            </w:r>
            <w:r>
              <w:rPr>
                <w:sz w:val="21"/>
                <w:szCs w:val="21"/>
              </w:rPr>
              <w:t>、验证策划、控制措施组合的确认、食品安全管理体系的验证及结果分析</w:t>
            </w:r>
            <w:r>
              <w:rPr>
                <w:rFonts w:hint="eastAsia"/>
                <w:sz w:val="21"/>
                <w:szCs w:val="21"/>
                <w:lang w:eastAsia="zh-CN"/>
              </w:rPr>
              <w:t>、</w:t>
            </w:r>
            <w:r>
              <w:rPr>
                <w:rFonts w:hint="eastAsia"/>
                <w:sz w:val="21"/>
                <w:szCs w:val="21"/>
                <w:lang w:val="en-US" w:eastAsia="zh-CN"/>
              </w:rPr>
              <w:t>食品安全管理体系的更新——继续审核</w:t>
            </w:r>
          </w:p>
        </w:tc>
        <w:tc>
          <w:tcPr>
            <w:tcW w:w="2136" w:type="dxa"/>
            <w:shd w:val="clear" w:color="auto" w:fill="FFFFFF" w:themeFill="background1"/>
            <w:vAlign w:val="top"/>
          </w:tcPr>
          <w:p>
            <w:pPr>
              <w:keepNext w:val="0"/>
              <w:keepLines w:val="0"/>
              <w:pageBreakBefore w:val="0"/>
              <w:widowControl w:val="0"/>
              <w:kinsoku/>
              <w:wordWrap/>
              <w:overflowPunct/>
              <w:topLinePunct w:val="0"/>
              <w:autoSpaceDE w:val="0"/>
              <w:autoSpaceDN w:val="0"/>
              <w:bidi w:val="0"/>
              <w:adjustRightInd w:val="0"/>
              <w:spacing w:line="280" w:lineRule="exact"/>
              <w:jc w:val="left"/>
              <w:textAlignment w:val="auto"/>
              <w:rPr>
                <w:sz w:val="21"/>
                <w:szCs w:val="21"/>
              </w:rPr>
            </w:pPr>
            <w:r>
              <w:rPr>
                <w:sz w:val="21"/>
                <w:szCs w:val="21"/>
              </w:rPr>
              <w:t>FSMS:</w:t>
            </w:r>
          </w:p>
          <w:p>
            <w:pPr>
              <w:keepNext w:val="0"/>
              <w:keepLines w:val="0"/>
              <w:pageBreakBefore w:val="0"/>
              <w:widowControl w:val="0"/>
              <w:kinsoku/>
              <w:wordWrap/>
              <w:overflowPunct/>
              <w:topLinePunct w:val="0"/>
              <w:autoSpaceDE w:val="0"/>
              <w:autoSpaceDN w:val="0"/>
              <w:bidi w:val="0"/>
              <w:adjustRightInd w:val="0"/>
              <w:spacing w:line="280" w:lineRule="exact"/>
              <w:jc w:val="left"/>
              <w:textAlignment w:val="auto"/>
              <w:rPr>
                <w:rFonts w:ascii="Times New Roman" w:hAnsi="Times New Roman" w:eastAsia="宋体" w:cs="Times New Roman"/>
                <w:kern w:val="2"/>
                <w:sz w:val="21"/>
                <w:szCs w:val="21"/>
                <w:lang w:val="en-US" w:eastAsia="zh-CN" w:bidi="ar-SA"/>
              </w:rPr>
            </w:pPr>
            <w:r>
              <w:rPr>
                <w:rFonts w:hint="eastAsia"/>
                <w:sz w:val="21"/>
                <w:szCs w:val="21"/>
              </w:rPr>
              <w:t>5</w:t>
            </w:r>
            <w:r>
              <w:rPr>
                <w:sz w:val="21"/>
                <w:szCs w:val="21"/>
              </w:rPr>
              <w:t>.3/</w:t>
            </w:r>
            <w:r>
              <w:rPr>
                <w:rFonts w:hint="eastAsia"/>
                <w:sz w:val="21"/>
                <w:szCs w:val="21"/>
              </w:rPr>
              <w:t>7.1.5/</w:t>
            </w:r>
            <w:r>
              <w:rPr>
                <w:sz w:val="21"/>
                <w:szCs w:val="21"/>
              </w:rPr>
              <w:t>8.2/8.5/8.6/8.8</w:t>
            </w:r>
            <w:r>
              <w:rPr>
                <w:rFonts w:hint="eastAsia"/>
                <w:sz w:val="21"/>
                <w:szCs w:val="21"/>
                <w:lang w:val="en-US" w:eastAsia="zh-CN"/>
              </w:rPr>
              <w:t>/10.3</w:t>
            </w:r>
          </w:p>
        </w:tc>
        <w:tc>
          <w:tcPr>
            <w:tcW w:w="845" w:type="dxa"/>
            <w:tcBorders>
              <w:right w:val="single" w:color="auto" w:sz="8" w:space="0"/>
            </w:tcBorders>
            <w:shd w:val="clear" w:color="auto" w:fill="FFFFFF" w:themeFill="background1"/>
            <w:vAlign w:val="top"/>
          </w:tcPr>
          <w:p>
            <w:pPr>
              <w:keepNext w:val="0"/>
              <w:keepLines w:val="0"/>
              <w:pageBreakBefore w:val="0"/>
              <w:widowControl w:val="0"/>
              <w:kinsoku/>
              <w:wordWrap/>
              <w:overflowPunct/>
              <w:topLinePunct w:val="0"/>
              <w:bidi w:val="0"/>
              <w:snapToGrid w:val="0"/>
              <w:spacing w:line="28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92" w:type="dxa"/>
            <w:vMerge w:val="continue"/>
            <w:tcBorders>
              <w:left w:val="single" w:color="auto" w:sz="8" w:space="0"/>
            </w:tcBorders>
            <w:shd w:val="clear" w:color="auto" w:fill="FFFFFF" w:themeFill="background1"/>
          </w:tcPr>
          <w:p>
            <w:pPr>
              <w:snapToGrid w:val="0"/>
              <w:spacing w:line="320" w:lineRule="exact"/>
              <w:rPr>
                <w:sz w:val="21"/>
                <w:szCs w:val="21"/>
              </w:rPr>
            </w:pPr>
          </w:p>
        </w:tc>
        <w:tc>
          <w:tcPr>
            <w:tcW w:w="1349" w:type="dxa"/>
            <w:shd w:val="clear" w:color="auto" w:fill="FFFFFF" w:themeFill="background1"/>
            <w:vAlign w:val="top"/>
          </w:tcPr>
          <w:p>
            <w:pPr>
              <w:snapToGrid w:val="0"/>
              <w:spacing w:line="320" w:lineRule="exact"/>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14:00-17:30</w:t>
            </w:r>
          </w:p>
        </w:tc>
        <w:tc>
          <w:tcPr>
            <w:tcW w:w="969" w:type="dxa"/>
            <w:shd w:val="clear" w:color="auto" w:fill="FFFFFF" w:themeFill="background1"/>
            <w:vAlign w:val="top"/>
          </w:tcPr>
          <w:p>
            <w:pPr>
              <w:jc w:val="left"/>
              <w:rPr>
                <w:rFonts w:hint="default" w:ascii="Times New Roman" w:hAnsi="Times New Roman" w:eastAsia="宋体" w:cs="Times New Roman"/>
                <w:kern w:val="10"/>
                <w:sz w:val="21"/>
                <w:szCs w:val="21"/>
                <w:lang w:val="en-US" w:eastAsia="zh-CN" w:bidi="ar-SA"/>
              </w:rPr>
            </w:pPr>
            <w:r>
              <w:rPr>
                <w:rFonts w:hint="eastAsia" w:ascii="Times New Roman" w:hAnsi="Times New Roman" w:eastAsia="宋体" w:cs="Times New Roman"/>
                <w:kern w:val="10"/>
                <w:sz w:val="21"/>
                <w:szCs w:val="21"/>
                <w:lang w:val="en-US" w:eastAsia="zh-CN" w:bidi="ar-SA"/>
              </w:rPr>
              <w:t>仓储部及现场（新仓库</w:t>
            </w:r>
            <w:r>
              <w:rPr>
                <w:rFonts w:hint="eastAsia" w:cs="Times New Roman"/>
                <w:kern w:val="10"/>
                <w:sz w:val="21"/>
                <w:szCs w:val="21"/>
                <w:lang w:val="en-US" w:eastAsia="zh-CN" w:bidi="ar-SA"/>
              </w:rPr>
              <w:t>）</w:t>
            </w:r>
          </w:p>
        </w:tc>
        <w:tc>
          <w:tcPr>
            <w:tcW w:w="4199" w:type="dxa"/>
            <w:shd w:val="clear" w:color="auto" w:fill="FFFFFF" w:themeFill="background1"/>
            <w:vAlign w:val="top"/>
          </w:tcPr>
          <w:p>
            <w:pPr>
              <w:spacing w:line="300" w:lineRule="exact"/>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职责</w:t>
            </w:r>
            <w:r>
              <w:rPr>
                <w:rFonts w:hint="eastAsia"/>
                <w:sz w:val="21"/>
                <w:szCs w:val="21"/>
                <w:highlight w:val="none"/>
              </w:rPr>
              <w:t>和权限</w:t>
            </w:r>
            <w:r>
              <w:rPr>
                <w:rFonts w:hint="eastAsia"/>
                <w:sz w:val="21"/>
                <w:szCs w:val="21"/>
                <w:lang w:val="en-US" w:eastAsia="zh-CN"/>
              </w:rPr>
              <w:t>、目标、</w:t>
            </w:r>
            <w:r>
              <w:rPr>
                <w:sz w:val="21"/>
                <w:szCs w:val="21"/>
              </w:rPr>
              <w:t>基础设施、特种设备管理</w:t>
            </w:r>
            <w:r>
              <w:rPr>
                <w:rFonts w:hint="eastAsia"/>
                <w:sz w:val="21"/>
                <w:szCs w:val="21"/>
                <w:lang w:eastAsia="zh-CN"/>
              </w:rPr>
              <w:t>【</w:t>
            </w:r>
            <w:r>
              <w:rPr>
                <w:rFonts w:hint="eastAsia"/>
                <w:sz w:val="21"/>
                <w:szCs w:val="21"/>
                <w:lang w:val="en-US" w:eastAsia="zh-CN"/>
              </w:rPr>
              <w:t>适用时</w:t>
            </w:r>
            <w:r>
              <w:rPr>
                <w:rFonts w:hint="eastAsia"/>
                <w:sz w:val="21"/>
                <w:szCs w:val="21"/>
                <w:lang w:eastAsia="zh-CN"/>
              </w:rPr>
              <w:t>】</w:t>
            </w:r>
            <w:r>
              <w:rPr>
                <w:sz w:val="21"/>
                <w:szCs w:val="21"/>
              </w:rPr>
              <w:t>、</w:t>
            </w:r>
            <w:r>
              <w:rPr>
                <w:rFonts w:hint="eastAsia"/>
                <w:sz w:val="21"/>
                <w:szCs w:val="21"/>
                <w:lang w:val="en-US" w:eastAsia="zh-CN"/>
              </w:rPr>
              <w:t>过程</w:t>
            </w:r>
            <w:r>
              <w:rPr>
                <w:sz w:val="21"/>
                <w:szCs w:val="21"/>
              </w:rPr>
              <w:t>环境、</w:t>
            </w:r>
            <w:r>
              <w:rPr>
                <w:rFonts w:hint="eastAsia"/>
                <w:sz w:val="21"/>
                <w:szCs w:val="21"/>
              </w:rPr>
              <w:t>生产和服务提供</w:t>
            </w:r>
            <w:r>
              <w:rPr>
                <w:rFonts w:hint="eastAsia"/>
                <w:sz w:val="21"/>
                <w:szCs w:val="21"/>
                <w:lang w:eastAsia="zh-CN"/>
              </w:rPr>
              <w:t>、</w:t>
            </w:r>
            <w:r>
              <w:rPr>
                <w:rFonts w:hint="eastAsia"/>
                <w:sz w:val="21"/>
                <w:szCs w:val="21"/>
              </w:rPr>
              <w:t>标识和可追溯性</w:t>
            </w:r>
            <w:r>
              <w:rPr>
                <w:rFonts w:hint="eastAsia"/>
                <w:sz w:val="21"/>
                <w:szCs w:val="21"/>
                <w:lang w:eastAsia="zh-CN"/>
              </w:rPr>
              <w:t>、</w:t>
            </w:r>
            <w:r>
              <w:rPr>
                <w:rFonts w:hint="eastAsia"/>
                <w:sz w:val="21"/>
                <w:szCs w:val="21"/>
              </w:rPr>
              <w:t>顾客或外部供方的财产</w:t>
            </w:r>
            <w:r>
              <w:rPr>
                <w:rFonts w:hint="eastAsia"/>
                <w:sz w:val="21"/>
                <w:szCs w:val="21"/>
                <w:lang w:eastAsia="zh-CN"/>
              </w:rPr>
              <w:t>、</w:t>
            </w:r>
            <w:r>
              <w:rPr>
                <w:rFonts w:hint="eastAsia"/>
                <w:sz w:val="21"/>
                <w:szCs w:val="21"/>
              </w:rPr>
              <w:t>防护</w:t>
            </w:r>
            <w:r>
              <w:rPr>
                <w:rFonts w:hint="eastAsia"/>
                <w:sz w:val="21"/>
                <w:szCs w:val="21"/>
                <w:lang w:eastAsia="zh-CN"/>
              </w:rPr>
              <w:t>、</w:t>
            </w:r>
            <w:r>
              <w:rPr>
                <w:rFonts w:hint="eastAsia"/>
                <w:sz w:val="21"/>
                <w:szCs w:val="21"/>
              </w:rPr>
              <w:t>变更的控制</w:t>
            </w:r>
            <w:r>
              <w:rPr>
                <w:rFonts w:hint="eastAsia"/>
                <w:sz w:val="21"/>
                <w:szCs w:val="21"/>
                <w:lang w:eastAsia="zh-CN"/>
              </w:rPr>
              <w:t>、</w:t>
            </w:r>
            <w:r>
              <w:rPr>
                <w:sz w:val="21"/>
                <w:szCs w:val="21"/>
              </w:rPr>
              <w:t>过程能力确认</w:t>
            </w:r>
            <w:r>
              <w:rPr>
                <w:rFonts w:hint="eastAsia"/>
                <w:sz w:val="21"/>
                <w:szCs w:val="21"/>
                <w:lang w:eastAsia="zh-CN"/>
              </w:rPr>
              <w:t>、</w:t>
            </w:r>
            <w:r>
              <w:rPr>
                <w:rFonts w:hint="eastAsia"/>
                <w:sz w:val="21"/>
                <w:szCs w:val="21"/>
                <w:lang w:val="en-US" w:eastAsia="zh-CN"/>
              </w:rPr>
              <w:t>产品的设计与开发【不适用确认】、</w:t>
            </w:r>
            <w:r>
              <w:rPr>
                <w:sz w:val="21"/>
                <w:szCs w:val="21"/>
              </w:rPr>
              <w:t>(PRPs)前提方案</w:t>
            </w:r>
            <w:r>
              <w:rPr>
                <w:rFonts w:hint="eastAsia"/>
                <w:sz w:val="21"/>
                <w:szCs w:val="21"/>
                <w:lang w:val="en-US" w:eastAsia="zh-CN"/>
              </w:rPr>
              <w:t>及现场</w:t>
            </w:r>
            <w:r>
              <w:rPr>
                <w:sz w:val="21"/>
                <w:szCs w:val="21"/>
              </w:rPr>
              <w:t>、</w:t>
            </w:r>
            <w:r>
              <w:rPr>
                <w:spacing w:val="-4"/>
                <w:sz w:val="21"/>
              </w:rPr>
              <w:t>交付后活动、</w:t>
            </w:r>
            <w:r>
              <w:rPr>
                <w:rFonts w:hint="eastAsia"/>
                <w:sz w:val="21"/>
                <w:szCs w:val="21"/>
                <w:lang w:val="en-US" w:eastAsia="zh-CN"/>
              </w:rPr>
              <w:t>应急准备和响应、</w:t>
            </w:r>
            <w:r>
              <w:rPr>
                <w:rFonts w:hint="eastAsia"/>
                <w:sz w:val="21"/>
                <w:szCs w:val="21"/>
                <w:u w:val="none"/>
                <w:lang w:val="en-US" w:eastAsia="zh-CN"/>
              </w:rPr>
              <w:t>撤回召回情况、</w:t>
            </w:r>
            <w:r>
              <w:rPr>
                <w:rFonts w:hint="eastAsia"/>
                <w:sz w:val="21"/>
                <w:szCs w:val="21"/>
                <w:lang w:val="en-US" w:eastAsia="zh-CN"/>
              </w:rPr>
              <w:t>OPRP/CCP的实施情况、</w:t>
            </w:r>
            <w:r>
              <w:rPr>
                <w:rFonts w:hint="eastAsia"/>
                <w:sz w:val="21"/>
                <w:szCs w:val="21"/>
                <w:highlight w:val="none"/>
              </w:rPr>
              <w:t>监视和测量资源、产品放行、不合格品管理</w:t>
            </w:r>
            <w:r>
              <w:rPr>
                <w:rFonts w:hint="eastAsia"/>
                <w:sz w:val="21"/>
                <w:szCs w:val="21"/>
                <w:highlight w:val="none"/>
                <w:lang w:val="en-US" w:eastAsia="zh-CN"/>
              </w:rPr>
              <w:t>/</w:t>
            </w:r>
            <w:r>
              <w:rPr>
                <w:sz w:val="21"/>
                <w:szCs w:val="21"/>
                <w:highlight w:val="none"/>
              </w:rPr>
              <w:t>潜在不符合品控制</w:t>
            </w:r>
            <w:r>
              <w:rPr>
                <w:rFonts w:hint="eastAsia"/>
                <w:sz w:val="21"/>
                <w:szCs w:val="21"/>
                <w:highlight w:val="none"/>
                <w:lang w:val="en-US" w:eastAsia="zh-CN"/>
              </w:rPr>
              <w:t>、分析和评价——继续审核</w:t>
            </w:r>
          </w:p>
        </w:tc>
        <w:tc>
          <w:tcPr>
            <w:tcW w:w="2136" w:type="dxa"/>
            <w:shd w:val="clear" w:color="auto" w:fill="FFFFFF" w:themeFill="background1"/>
            <w:vAlign w:val="top"/>
          </w:tcPr>
          <w:p>
            <w:pPr>
              <w:jc w:val="left"/>
              <w:rPr>
                <w:rFonts w:hint="eastAsia" w:eastAsia="宋体"/>
                <w:sz w:val="21"/>
                <w:szCs w:val="21"/>
                <w:lang w:eastAsia="zh-CN"/>
              </w:rPr>
            </w:pPr>
            <w:r>
              <w:rPr>
                <w:sz w:val="21"/>
                <w:szCs w:val="21"/>
              </w:rPr>
              <w:t>QMS:5.3</w:t>
            </w:r>
            <w:r>
              <w:rPr>
                <w:rFonts w:hint="eastAsia"/>
                <w:sz w:val="21"/>
                <w:szCs w:val="21"/>
              </w:rPr>
              <w:t>/</w:t>
            </w:r>
            <w:r>
              <w:rPr>
                <w:sz w:val="21"/>
                <w:szCs w:val="21"/>
              </w:rPr>
              <w:t>6.2/7.1.3</w:t>
            </w:r>
            <w:r>
              <w:rPr>
                <w:rFonts w:hint="eastAsia"/>
                <w:sz w:val="21"/>
                <w:szCs w:val="21"/>
              </w:rPr>
              <w:t>/</w:t>
            </w:r>
            <w:r>
              <w:rPr>
                <w:sz w:val="21"/>
                <w:szCs w:val="21"/>
              </w:rPr>
              <w:t>7.1.4</w:t>
            </w:r>
            <w:r>
              <w:rPr>
                <w:rFonts w:hint="eastAsia"/>
                <w:sz w:val="21"/>
                <w:szCs w:val="21"/>
              </w:rPr>
              <w:t>/</w:t>
            </w:r>
            <w:r>
              <w:rPr>
                <w:rFonts w:hint="eastAsia"/>
                <w:sz w:val="21"/>
                <w:szCs w:val="21"/>
                <w:lang w:val="en-US" w:eastAsia="zh-CN"/>
              </w:rPr>
              <w:t>7.1.5/</w:t>
            </w:r>
            <w:r>
              <w:rPr>
                <w:sz w:val="21"/>
                <w:szCs w:val="21"/>
              </w:rPr>
              <w:t>8.5</w:t>
            </w:r>
            <w:r>
              <w:rPr>
                <w:rFonts w:hint="eastAsia"/>
                <w:sz w:val="21"/>
                <w:szCs w:val="21"/>
                <w:lang w:val="en-US" w:eastAsia="zh-CN"/>
              </w:rPr>
              <w:t>.1/8.5.2/8.5.3/8.5.4/8.5.6/8.5.5./</w:t>
            </w:r>
            <w:r>
              <w:rPr>
                <w:rFonts w:hint="eastAsia"/>
                <w:sz w:val="21"/>
                <w:szCs w:val="21"/>
              </w:rPr>
              <w:t>8</w:t>
            </w:r>
            <w:r>
              <w:rPr>
                <w:sz w:val="21"/>
                <w:szCs w:val="21"/>
              </w:rPr>
              <w:t>.3</w:t>
            </w:r>
            <w:r>
              <w:rPr>
                <w:rFonts w:hint="eastAsia"/>
                <w:sz w:val="21"/>
                <w:szCs w:val="21"/>
                <w:lang w:eastAsia="zh-CN"/>
              </w:rPr>
              <w:t>【</w:t>
            </w:r>
            <w:r>
              <w:rPr>
                <w:rFonts w:hint="eastAsia"/>
                <w:sz w:val="21"/>
                <w:szCs w:val="21"/>
                <w:lang w:val="en-US" w:eastAsia="zh-CN"/>
              </w:rPr>
              <w:t>不适用确认</w:t>
            </w:r>
            <w:r>
              <w:rPr>
                <w:rFonts w:hint="eastAsia"/>
                <w:sz w:val="21"/>
                <w:szCs w:val="21"/>
                <w:lang w:eastAsia="zh-CN"/>
              </w:rPr>
              <w:t>】</w:t>
            </w:r>
            <w:r>
              <w:rPr>
                <w:sz w:val="21"/>
                <w:szCs w:val="21"/>
                <w:highlight w:val="none"/>
              </w:rPr>
              <w:t>/</w:t>
            </w:r>
            <w:r>
              <w:rPr>
                <w:rFonts w:hint="eastAsia"/>
                <w:sz w:val="21"/>
                <w:szCs w:val="21"/>
                <w:highlight w:val="none"/>
              </w:rPr>
              <w:t>8.6/8.7</w:t>
            </w:r>
            <w:r>
              <w:rPr>
                <w:sz w:val="21"/>
                <w:szCs w:val="21"/>
                <w:highlight w:val="none"/>
              </w:rPr>
              <w:t>/9.1.3</w:t>
            </w:r>
          </w:p>
          <w:p>
            <w:pPr>
              <w:spacing w:line="300" w:lineRule="exact"/>
              <w:rPr>
                <w:rFonts w:hint="eastAsia" w:ascii="Times New Roman" w:hAnsi="Times New Roman" w:eastAsia="宋体" w:cs="Times New Roman"/>
                <w:kern w:val="2"/>
                <w:sz w:val="21"/>
                <w:szCs w:val="21"/>
                <w:lang w:val="en-US" w:eastAsia="zh-CN" w:bidi="ar-SA"/>
              </w:rPr>
            </w:pPr>
            <w:r>
              <w:rPr>
                <w:sz w:val="21"/>
                <w:szCs w:val="21"/>
              </w:rPr>
              <w:t>F:5.3/6.2/7.1.3/7.1.4/8.2/8.3/</w:t>
            </w:r>
            <w:r>
              <w:rPr>
                <w:rFonts w:hint="eastAsia"/>
                <w:sz w:val="21"/>
                <w:szCs w:val="21"/>
              </w:rPr>
              <w:t>8.4/8.5.4</w:t>
            </w:r>
            <w:r>
              <w:rPr>
                <w:rFonts w:hint="eastAsia"/>
                <w:sz w:val="21"/>
                <w:szCs w:val="21"/>
                <w:lang w:val="en-US" w:eastAsia="zh-CN"/>
              </w:rPr>
              <w:t>.5/8.9.1-8.9.5/9.1.2</w:t>
            </w:r>
          </w:p>
        </w:tc>
        <w:tc>
          <w:tcPr>
            <w:tcW w:w="845" w:type="dxa"/>
            <w:tcBorders>
              <w:right w:val="single" w:color="auto" w:sz="8" w:space="0"/>
            </w:tcBorders>
            <w:shd w:val="clear" w:color="auto" w:fill="FFFFFF" w:themeFill="background1"/>
            <w:vAlign w:val="top"/>
          </w:tcPr>
          <w:p>
            <w:pPr>
              <w:keepNext w:val="0"/>
              <w:keepLines w:val="0"/>
              <w:pageBreakBefore w:val="0"/>
              <w:widowControl w:val="0"/>
              <w:kinsoku/>
              <w:wordWrap/>
              <w:overflowPunct/>
              <w:topLinePunct w:val="0"/>
              <w:bidi w:val="0"/>
              <w:snapToGrid w:val="0"/>
              <w:spacing w:line="280" w:lineRule="exact"/>
              <w:textAlignment w:val="auto"/>
              <w:rPr>
                <w:rFonts w:hint="default"/>
                <w:sz w:val="21"/>
                <w:szCs w:val="21"/>
                <w:lang w:val="en-US" w:eastAsia="zh-CN"/>
              </w:rPr>
            </w:pPr>
            <w:r>
              <w:rPr>
                <w:rFonts w:hint="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92" w:type="dxa"/>
            <w:vMerge w:val="continue"/>
            <w:tcBorders>
              <w:left w:val="single" w:color="auto" w:sz="8" w:space="0"/>
            </w:tcBorders>
            <w:shd w:val="clear" w:color="auto" w:fill="FFFFFF" w:themeFill="background1"/>
          </w:tcPr>
          <w:p>
            <w:pPr>
              <w:snapToGrid w:val="0"/>
              <w:spacing w:line="320" w:lineRule="exact"/>
              <w:rPr>
                <w:sz w:val="21"/>
                <w:szCs w:val="21"/>
              </w:rPr>
            </w:pPr>
          </w:p>
        </w:tc>
        <w:tc>
          <w:tcPr>
            <w:tcW w:w="1349" w:type="dxa"/>
            <w:shd w:val="clear" w:color="auto" w:fill="FFFFFF" w:themeFill="background1"/>
            <w:vAlign w:val="top"/>
          </w:tcPr>
          <w:p>
            <w:pPr>
              <w:snapToGrid w:val="0"/>
              <w:spacing w:line="320" w:lineRule="exact"/>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17：30</w:t>
            </w:r>
          </w:p>
        </w:tc>
        <w:tc>
          <w:tcPr>
            <w:tcW w:w="969" w:type="dxa"/>
            <w:shd w:val="clear" w:color="auto" w:fill="FFFFFF" w:themeFill="background1"/>
            <w:vAlign w:val="top"/>
          </w:tcPr>
          <w:p>
            <w:pPr>
              <w:jc w:val="left"/>
              <w:rPr>
                <w:rFonts w:hint="default" w:ascii="Times New Roman" w:hAnsi="Times New Roman" w:eastAsia="宋体" w:cs="Times New Roman"/>
                <w:kern w:val="10"/>
                <w:sz w:val="21"/>
                <w:szCs w:val="21"/>
                <w:lang w:val="en-US" w:eastAsia="zh-CN" w:bidi="ar-SA"/>
              </w:rPr>
            </w:pPr>
          </w:p>
        </w:tc>
        <w:tc>
          <w:tcPr>
            <w:tcW w:w="4199" w:type="dxa"/>
            <w:shd w:val="clear" w:color="auto" w:fill="FFFFFF" w:themeFill="background1"/>
            <w:vAlign w:val="top"/>
          </w:tcPr>
          <w:p>
            <w:pPr>
              <w:spacing w:line="300" w:lineRule="exac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审核结束</w:t>
            </w:r>
          </w:p>
        </w:tc>
        <w:tc>
          <w:tcPr>
            <w:tcW w:w="2136" w:type="dxa"/>
            <w:shd w:val="clear" w:color="auto" w:fill="FFFFFF" w:themeFill="background1"/>
            <w:vAlign w:val="top"/>
          </w:tcPr>
          <w:p>
            <w:pPr>
              <w:spacing w:line="300" w:lineRule="exact"/>
              <w:rPr>
                <w:rFonts w:hint="default" w:ascii="Times New Roman" w:hAnsi="Times New Roman" w:eastAsia="宋体" w:cs="Times New Roman"/>
                <w:kern w:val="2"/>
                <w:sz w:val="21"/>
                <w:szCs w:val="21"/>
                <w:lang w:val="en-US" w:eastAsia="zh-CN" w:bidi="ar-SA"/>
              </w:rPr>
            </w:pPr>
          </w:p>
        </w:tc>
        <w:tc>
          <w:tcPr>
            <w:tcW w:w="845" w:type="dxa"/>
            <w:tcBorders>
              <w:right w:val="single" w:color="auto" w:sz="8" w:space="0"/>
            </w:tcBorders>
            <w:shd w:val="clear" w:color="auto" w:fill="FFFFFF" w:themeFill="background1"/>
            <w:vAlign w:val="top"/>
          </w:tcPr>
          <w:p>
            <w:pPr>
              <w:snapToGrid w:val="0"/>
              <w:spacing w:line="320" w:lineRule="exac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792" w:type="dxa"/>
            <w:vMerge w:val="restart"/>
            <w:tcBorders>
              <w:left w:val="single" w:color="auto" w:sz="8" w:space="0"/>
            </w:tcBorders>
            <w:shd w:val="clear" w:color="auto" w:fill="auto"/>
          </w:tcPr>
          <w:p>
            <w:pPr>
              <w:snapToGrid w:val="0"/>
              <w:spacing w:line="320" w:lineRule="exact"/>
              <w:rPr>
                <w:rFonts w:hint="default" w:eastAsia="宋体"/>
                <w:color w:val="auto"/>
                <w:sz w:val="21"/>
                <w:szCs w:val="21"/>
                <w:lang w:val="en-US" w:eastAsia="zh-CN"/>
              </w:rPr>
            </w:pPr>
            <w:r>
              <w:rPr>
                <w:color w:val="auto"/>
                <w:sz w:val="21"/>
                <w:szCs w:val="21"/>
              </w:rPr>
              <w:t>202</w:t>
            </w:r>
            <w:r>
              <w:rPr>
                <w:rFonts w:hint="eastAsia"/>
                <w:color w:val="auto"/>
                <w:sz w:val="21"/>
                <w:szCs w:val="21"/>
                <w:lang w:val="en-US" w:eastAsia="zh-CN"/>
              </w:rPr>
              <w:t>2</w:t>
            </w:r>
            <w:r>
              <w:rPr>
                <w:color w:val="auto"/>
                <w:sz w:val="21"/>
                <w:szCs w:val="21"/>
              </w:rPr>
              <w:t>-</w:t>
            </w:r>
            <w:r>
              <w:rPr>
                <w:rFonts w:hint="eastAsia"/>
                <w:color w:val="auto"/>
                <w:sz w:val="21"/>
                <w:szCs w:val="21"/>
                <w:lang w:val="en-US" w:eastAsia="zh-CN"/>
              </w:rPr>
              <w:t>08-22日全天</w:t>
            </w:r>
          </w:p>
        </w:tc>
        <w:tc>
          <w:tcPr>
            <w:tcW w:w="1349" w:type="dxa"/>
            <w:shd w:val="clear" w:color="auto" w:fill="auto"/>
          </w:tcPr>
          <w:p>
            <w:pPr>
              <w:snapToGrid w:val="0"/>
              <w:spacing w:line="320" w:lineRule="exact"/>
              <w:rPr>
                <w:color w:val="auto"/>
                <w:sz w:val="21"/>
                <w:szCs w:val="21"/>
              </w:rPr>
            </w:pPr>
            <w:r>
              <w:rPr>
                <w:color w:val="auto"/>
                <w:sz w:val="21"/>
                <w:szCs w:val="21"/>
              </w:rPr>
              <w:t>第二天</w:t>
            </w:r>
          </w:p>
        </w:tc>
        <w:tc>
          <w:tcPr>
            <w:tcW w:w="969" w:type="dxa"/>
            <w:shd w:val="clear" w:color="auto" w:fill="auto"/>
          </w:tcPr>
          <w:p>
            <w:pPr>
              <w:spacing w:line="300" w:lineRule="exact"/>
              <w:rPr>
                <w:sz w:val="21"/>
                <w:szCs w:val="21"/>
              </w:rPr>
            </w:pPr>
          </w:p>
        </w:tc>
        <w:tc>
          <w:tcPr>
            <w:tcW w:w="4199" w:type="dxa"/>
            <w:shd w:val="clear" w:color="auto" w:fill="auto"/>
          </w:tcPr>
          <w:p>
            <w:pPr>
              <w:spacing w:line="300" w:lineRule="exact"/>
              <w:rPr>
                <w:sz w:val="21"/>
                <w:szCs w:val="21"/>
              </w:rPr>
            </w:pPr>
          </w:p>
        </w:tc>
        <w:tc>
          <w:tcPr>
            <w:tcW w:w="2136" w:type="dxa"/>
            <w:shd w:val="clear" w:color="auto" w:fill="auto"/>
          </w:tcPr>
          <w:p>
            <w:pPr>
              <w:spacing w:line="300" w:lineRule="exact"/>
              <w:rPr>
                <w:sz w:val="21"/>
                <w:szCs w:val="21"/>
              </w:rPr>
            </w:pPr>
          </w:p>
        </w:tc>
        <w:tc>
          <w:tcPr>
            <w:tcW w:w="845" w:type="dxa"/>
            <w:tcBorders>
              <w:right w:val="single" w:color="auto" w:sz="8" w:space="0"/>
            </w:tcBorders>
            <w:shd w:val="clear" w:color="auto" w:fill="auto"/>
          </w:tcPr>
          <w:p>
            <w:pPr>
              <w:snapToGrid w:val="0"/>
              <w:spacing w:line="32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792" w:type="dxa"/>
            <w:vMerge w:val="continue"/>
            <w:tcBorders>
              <w:left w:val="single" w:color="auto" w:sz="8" w:space="0"/>
            </w:tcBorders>
            <w:shd w:val="clear" w:color="auto" w:fill="auto"/>
          </w:tcPr>
          <w:p>
            <w:pPr>
              <w:snapToGrid w:val="0"/>
              <w:spacing w:line="320" w:lineRule="exact"/>
              <w:rPr>
                <w:color w:val="auto"/>
                <w:sz w:val="21"/>
                <w:szCs w:val="21"/>
              </w:rPr>
            </w:pPr>
          </w:p>
        </w:tc>
        <w:tc>
          <w:tcPr>
            <w:tcW w:w="1349" w:type="dxa"/>
            <w:shd w:val="clear" w:color="auto" w:fill="auto"/>
          </w:tcPr>
          <w:p>
            <w:pPr>
              <w:snapToGrid w:val="0"/>
              <w:spacing w:line="320" w:lineRule="exact"/>
              <w:rPr>
                <w:rFonts w:hint="default" w:eastAsia="宋体"/>
                <w:color w:val="auto"/>
                <w:sz w:val="21"/>
                <w:szCs w:val="21"/>
                <w:lang w:val="en-US" w:eastAsia="zh-CN"/>
              </w:rPr>
            </w:pPr>
            <w:r>
              <w:rPr>
                <w:rFonts w:hint="eastAsia"/>
                <w:color w:val="auto"/>
                <w:sz w:val="21"/>
                <w:szCs w:val="21"/>
                <w:lang w:val="en-US" w:eastAsia="zh-CN"/>
              </w:rPr>
              <w:t>8:00-9:00</w:t>
            </w:r>
          </w:p>
        </w:tc>
        <w:tc>
          <w:tcPr>
            <w:tcW w:w="969" w:type="dxa"/>
            <w:shd w:val="clear" w:color="auto" w:fill="auto"/>
            <w:vAlign w:val="top"/>
          </w:tcPr>
          <w:p>
            <w:pPr>
              <w:jc w:val="left"/>
              <w:rPr>
                <w:rFonts w:hint="default" w:ascii="Times New Roman" w:hAnsi="Times New Roman" w:eastAsia="宋体" w:cs="Times New Roman"/>
                <w:kern w:val="10"/>
                <w:sz w:val="21"/>
                <w:szCs w:val="21"/>
                <w:lang w:val="en-US" w:eastAsia="zh-CN" w:bidi="ar-SA"/>
              </w:rPr>
            </w:pPr>
            <w:r>
              <w:rPr>
                <w:rFonts w:hint="eastAsia" w:cs="Times New Roman"/>
                <w:kern w:val="10"/>
                <w:sz w:val="21"/>
                <w:szCs w:val="21"/>
                <w:lang w:val="en-US" w:eastAsia="zh-CN" w:bidi="ar-SA"/>
              </w:rPr>
              <w:t>仓储部（老仓库）</w:t>
            </w:r>
          </w:p>
        </w:tc>
        <w:tc>
          <w:tcPr>
            <w:tcW w:w="4199" w:type="dxa"/>
            <w:shd w:val="clear" w:color="auto" w:fill="auto"/>
            <w:vAlign w:val="top"/>
          </w:tcPr>
          <w:p>
            <w:pPr>
              <w:spacing w:line="300" w:lineRule="exact"/>
              <w:rPr>
                <w:rFonts w:hint="default" w:ascii="Times New Roman" w:hAnsi="Times New Roman" w:eastAsia="宋体" w:cs="Times New Roman"/>
                <w:kern w:val="2"/>
                <w:sz w:val="21"/>
                <w:szCs w:val="21"/>
                <w:lang w:val="en-US" w:eastAsia="zh-CN" w:bidi="ar-SA"/>
              </w:rPr>
            </w:pPr>
            <w:r>
              <w:rPr>
                <w:sz w:val="21"/>
                <w:szCs w:val="21"/>
              </w:rPr>
              <w:t>基础设施、</w:t>
            </w:r>
            <w:r>
              <w:rPr>
                <w:rFonts w:hint="eastAsia"/>
                <w:sz w:val="21"/>
                <w:szCs w:val="21"/>
                <w:lang w:val="en-US" w:eastAsia="zh-CN"/>
              </w:rPr>
              <w:t>前提方案、过程运行环境、前提方案</w:t>
            </w:r>
          </w:p>
        </w:tc>
        <w:tc>
          <w:tcPr>
            <w:tcW w:w="2136" w:type="dxa"/>
            <w:shd w:val="clear" w:color="auto" w:fill="auto"/>
            <w:vAlign w:val="top"/>
          </w:tcPr>
          <w:p>
            <w:pPr>
              <w:spacing w:line="300" w:lineRule="exact"/>
              <w:rPr>
                <w:rFonts w:hint="default" w:eastAsia="宋体"/>
                <w:sz w:val="21"/>
                <w:szCs w:val="21"/>
                <w:lang w:val="en-US" w:eastAsia="zh-CN"/>
              </w:rPr>
            </w:pPr>
            <w:r>
              <w:rPr>
                <w:sz w:val="21"/>
                <w:szCs w:val="21"/>
              </w:rPr>
              <w:t>QMS:7.1.3</w:t>
            </w:r>
            <w:r>
              <w:rPr>
                <w:rFonts w:hint="eastAsia"/>
                <w:sz w:val="21"/>
                <w:szCs w:val="21"/>
              </w:rPr>
              <w:t>/</w:t>
            </w:r>
            <w:r>
              <w:rPr>
                <w:sz w:val="21"/>
                <w:szCs w:val="21"/>
              </w:rPr>
              <w:t>7.1.4</w:t>
            </w:r>
          </w:p>
          <w:p>
            <w:pPr>
              <w:pStyle w:val="2"/>
              <w:rPr>
                <w:rFonts w:hint="eastAsia"/>
                <w:sz w:val="21"/>
                <w:szCs w:val="21"/>
                <w:lang w:val="en-US" w:eastAsia="zh-CN"/>
              </w:rPr>
            </w:pPr>
            <w:r>
              <w:rPr>
                <w:rFonts w:hint="eastAsia"/>
                <w:sz w:val="21"/>
                <w:szCs w:val="21"/>
                <w:lang w:val="en-US" w:eastAsia="zh-CN"/>
              </w:rPr>
              <w:t>FSMS：7.1.3/7.1.4/</w:t>
            </w:r>
          </w:p>
          <w:p>
            <w:pPr>
              <w:pStyle w:val="2"/>
              <w:rPr>
                <w:rFonts w:hint="default" w:eastAsia="宋体"/>
                <w:lang w:val="en-US" w:eastAsia="zh-CN"/>
              </w:rPr>
            </w:pPr>
            <w:r>
              <w:rPr>
                <w:rFonts w:hint="eastAsia"/>
                <w:sz w:val="21"/>
                <w:szCs w:val="21"/>
                <w:lang w:val="en-US" w:eastAsia="zh-CN"/>
              </w:rPr>
              <w:t>8.2</w:t>
            </w:r>
          </w:p>
        </w:tc>
        <w:tc>
          <w:tcPr>
            <w:tcW w:w="845" w:type="dxa"/>
            <w:tcBorders>
              <w:right w:val="single" w:color="auto" w:sz="8" w:space="0"/>
            </w:tcBorders>
            <w:shd w:val="clear" w:color="auto" w:fill="auto"/>
            <w:vAlign w:val="top"/>
          </w:tcPr>
          <w:p>
            <w:pPr>
              <w:snapToGrid w:val="0"/>
              <w:spacing w:line="320" w:lineRule="exact"/>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792" w:type="dxa"/>
            <w:vMerge w:val="continue"/>
            <w:tcBorders>
              <w:left w:val="single" w:color="auto" w:sz="8" w:space="0"/>
            </w:tcBorders>
            <w:shd w:val="clear" w:color="auto" w:fill="auto"/>
          </w:tcPr>
          <w:p>
            <w:pPr>
              <w:snapToGrid w:val="0"/>
              <w:spacing w:line="320" w:lineRule="exact"/>
              <w:rPr>
                <w:color w:val="auto"/>
                <w:sz w:val="21"/>
                <w:szCs w:val="21"/>
              </w:rPr>
            </w:pPr>
          </w:p>
        </w:tc>
        <w:tc>
          <w:tcPr>
            <w:tcW w:w="1349" w:type="dxa"/>
            <w:shd w:val="clear" w:color="auto" w:fill="auto"/>
          </w:tcPr>
          <w:p>
            <w:pPr>
              <w:snapToGrid w:val="0"/>
              <w:spacing w:line="320" w:lineRule="exact"/>
              <w:rPr>
                <w:rFonts w:hint="default"/>
                <w:color w:val="auto"/>
                <w:sz w:val="21"/>
                <w:szCs w:val="21"/>
                <w:lang w:val="en-US" w:eastAsia="zh-CN"/>
              </w:rPr>
            </w:pPr>
            <w:r>
              <w:rPr>
                <w:rFonts w:hint="eastAsia"/>
                <w:color w:val="auto"/>
                <w:sz w:val="21"/>
                <w:szCs w:val="21"/>
                <w:lang w:val="en-US" w:eastAsia="zh-CN"/>
              </w:rPr>
              <w:t>9:00-9:30</w:t>
            </w:r>
          </w:p>
        </w:tc>
        <w:tc>
          <w:tcPr>
            <w:tcW w:w="969" w:type="dxa"/>
            <w:shd w:val="clear" w:color="auto" w:fill="auto"/>
            <w:vAlign w:val="top"/>
          </w:tcPr>
          <w:p>
            <w:pPr>
              <w:jc w:val="left"/>
              <w:rPr>
                <w:rFonts w:hint="eastAsia"/>
                <w:kern w:val="10"/>
                <w:sz w:val="21"/>
                <w:szCs w:val="21"/>
                <w:lang w:val="en-US" w:eastAsia="zh-CN"/>
              </w:rPr>
            </w:pPr>
          </w:p>
        </w:tc>
        <w:tc>
          <w:tcPr>
            <w:tcW w:w="4199" w:type="dxa"/>
            <w:shd w:val="clear" w:color="auto" w:fill="auto"/>
            <w:vAlign w:val="top"/>
          </w:tcPr>
          <w:p>
            <w:pPr>
              <w:spacing w:line="300" w:lineRule="exact"/>
              <w:rPr>
                <w:rFonts w:hint="default"/>
                <w:sz w:val="21"/>
                <w:szCs w:val="21"/>
                <w:lang w:val="en-US" w:eastAsia="zh-CN"/>
              </w:rPr>
            </w:pPr>
            <w:r>
              <w:rPr>
                <w:rFonts w:hint="eastAsia"/>
                <w:sz w:val="21"/>
                <w:szCs w:val="21"/>
                <w:lang w:val="en-US" w:eastAsia="zh-CN"/>
              </w:rPr>
              <w:t>在途返回新仓库地址[</w:t>
            </w:r>
            <w:r>
              <w:rPr>
                <w:rFonts w:asciiTheme="minorEastAsia" w:hAnsiTheme="minorEastAsia" w:eastAsiaTheme="minorEastAsia"/>
                <w:sz w:val="20"/>
              </w:rPr>
              <w:t>贵州省习水县民化镇三元村水井坪（新库）</w:t>
            </w:r>
            <w:r>
              <w:rPr>
                <w:rFonts w:hint="eastAsia"/>
                <w:sz w:val="21"/>
                <w:szCs w:val="21"/>
                <w:lang w:val="en-US" w:eastAsia="zh-CN"/>
              </w:rPr>
              <w:t>]</w:t>
            </w:r>
          </w:p>
        </w:tc>
        <w:tc>
          <w:tcPr>
            <w:tcW w:w="2136" w:type="dxa"/>
            <w:shd w:val="clear" w:color="auto" w:fill="auto"/>
            <w:vAlign w:val="top"/>
          </w:tcPr>
          <w:p>
            <w:pPr>
              <w:spacing w:line="300" w:lineRule="exact"/>
              <w:rPr>
                <w:sz w:val="21"/>
                <w:szCs w:val="21"/>
              </w:rPr>
            </w:pPr>
          </w:p>
        </w:tc>
        <w:tc>
          <w:tcPr>
            <w:tcW w:w="845" w:type="dxa"/>
            <w:tcBorders>
              <w:right w:val="single" w:color="auto" w:sz="8" w:space="0"/>
            </w:tcBorders>
            <w:shd w:val="clear" w:color="auto" w:fill="auto"/>
            <w:vAlign w:val="top"/>
          </w:tcPr>
          <w:p>
            <w:pPr>
              <w:snapToGrid w:val="0"/>
              <w:spacing w:line="320" w:lineRule="exact"/>
              <w:rPr>
                <w:rFonts w:hint="default" w:eastAsia="宋体"/>
                <w:sz w:val="21"/>
                <w:szCs w:val="21"/>
                <w:lang w:val="en-US" w:eastAsia="zh-CN"/>
              </w:rPr>
            </w:pPr>
            <w:r>
              <w:rPr>
                <w:rFonts w:hint="eastAsia" w:eastAsia="宋体"/>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792" w:type="dxa"/>
            <w:vMerge w:val="continue"/>
            <w:tcBorders>
              <w:left w:val="single" w:color="auto" w:sz="8" w:space="0"/>
            </w:tcBorders>
            <w:shd w:val="clear" w:color="auto" w:fill="auto"/>
          </w:tcPr>
          <w:p>
            <w:pPr>
              <w:snapToGrid w:val="0"/>
              <w:spacing w:line="320" w:lineRule="exact"/>
              <w:rPr>
                <w:color w:val="auto"/>
                <w:sz w:val="21"/>
                <w:szCs w:val="21"/>
              </w:rPr>
            </w:pPr>
          </w:p>
        </w:tc>
        <w:tc>
          <w:tcPr>
            <w:tcW w:w="1349" w:type="dxa"/>
            <w:shd w:val="clear" w:color="auto" w:fill="auto"/>
          </w:tcPr>
          <w:p>
            <w:pPr>
              <w:snapToGrid w:val="0"/>
              <w:spacing w:line="320" w:lineRule="exact"/>
              <w:rPr>
                <w:rFonts w:hint="default" w:eastAsia="宋体"/>
                <w:color w:val="auto"/>
                <w:sz w:val="21"/>
                <w:szCs w:val="21"/>
                <w:lang w:val="en-US" w:eastAsia="zh-CN"/>
              </w:rPr>
            </w:pPr>
            <w:r>
              <w:rPr>
                <w:rFonts w:hint="eastAsia"/>
                <w:color w:val="auto"/>
                <w:sz w:val="21"/>
                <w:szCs w:val="21"/>
                <w:lang w:val="en-US" w:eastAsia="zh-CN"/>
              </w:rPr>
              <w:t>9:30-12:30</w:t>
            </w:r>
          </w:p>
        </w:tc>
        <w:tc>
          <w:tcPr>
            <w:tcW w:w="969" w:type="dxa"/>
            <w:shd w:val="clear" w:color="auto" w:fill="auto"/>
            <w:vAlign w:val="top"/>
          </w:tcPr>
          <w:p>
            <w:pPr>
              <w:jc w:val="left"/>
              <w:rPr>
                <w:rFonts w:hint="default" w:ascii="Times New Roman" w:hAnsi="Times New Roman" w:eastAsia="宋体" w:cs="Times New Roman"/>
                <w:kern w:val="10"/>
                <w:sz w:val="21"/>
                <w:szCs w:val="21"/>
                <w:lang w:val="en-US" w:eastAsia="zh-CN" w:bidi="ar-SA"/>
              </w:rPr>
            </w:pPr>
            <w:r>
              <w:rPr>
                <w:rFonts w:hint="eastAsia" w:ascii="Times New Roman" w:hAnsi="Times New Roman" w:eastAsia="宋体" w:cs="Times New Roman"/>
                <w:kern w:val="10"/>
                <w:sz w:val="21"/>
                <w:szCs w:val="21"/>
                <w:lang w:val="en-US" w:eastAsia="zh-CN" w:bidi="ar-SA"/>
              </w:rPr>
              <w:t>仓储部及现场（新仓库</w:t>
            </w:r>
            <w:r>
              <w:rPr>
                <w:rFonts w:hint="eastAsia" w:cs="Times New Roman"/>
                <w:kern w:val="10"/>
                <w:sz w:val="21"/>
                <w:szCs w:val="21"/>
                <w:lang w:val="en-US" w:eastAsia="zh-CN" w:bidi="ar-SA"/>
              </w:rPr>
              <w:t>）</w:t>
            </w:r>
          </w:p>
        </w:tc>
        <w:tc>
          <w:tcPr>
            <w:tcW w:w="4199" w:type="dxa"/>
            <w:shd w:val="clear" w:color="auto" w:fill="auto"/>
            <w:vAlign w:val="top"/>
          </w:tcPr>
          <w:p>
            <w:pPr>
              <w:spacing w:line="300" w:lineRule="exact"/>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职责</w:t>
            </w:r>
            <w:r>
              <w:rPr>
                <w:rFonts w:hint="eastAsia"/>
                <w:sz w:val="21"/>
                <w:szCs w:val="21"/>
                <w:highlight w:val="none"/>
              </w:rPr>
              <w:t>和权限</w:t>
            </w:r>
            <w:r>
              <w:rPr>
                <w:rFonts w:hint="eastAsia"/>
                <w:sz w:val="21"/>
                <w:szCs w:val="21"/>
                <w:lang w:val="en-US" w:eastAsia="zh-CN"/>
              </w:rPr>
              <w:t>、目标、</w:t>
            </w:r>
            <w:r>
              <w:rPr>
                <w:sz w:val="21"/>
                <w:szCs w:val="21"/>
              </w:rPr>
              <w:t>基础设施、特种设备管理</w:t>
            </w:r>
            <w:r>
              <w:rPr>
                <w:rFonts w:hint="eastAsia"/>
                <w:sz w:val="21"/>
                <w:szCs w:val="21"/>
                <w:lang w:eastAsia="zh-CN"/>
              </w:rPr>
              <w:t>【</w:t>
            </w:r>
            <w:r>
              <w:rPr>
                <w:rFonts w:hint="eastAsia"/>
                <w:sz w:val="21"/>
                <w:szCs w:val="21"/>
                <w:lang w:val="en-US" w:eastAsia="zh-CN"/>
              </w:rPr>
              <w:t>适用时</w:t>
            </w:r>
            <w:r>
              <w:rPr>
                <w:rFonts w:hint="eastAsia"/>
                <w:sz w:val="21"/>
                <w:szCs w:val="21"/>
                <w:lang w:eastAsia="zh-CN"/>
              </w:rPr>
              <w:t>】</w:t>
            </w:r>
            <w:r>
              <w:rPr>
                <w:sz w:val="21"/>
                <w:szCs w:val="21"/>
              </w:rPr>
              <w:t>、</w:t>
            </w:r>
            <w:r>
              <w:rPr>
                <w:rFonts w:hint="eastAsia"/>
                <w:sz w:val="21"/>
                <w:szCs w:val="21"/>
                <w:lang w:val="en-US" w:eastAsia="zh-CN"/>
              </w:rPr>
              <w:t>过程</w:t>
            </w:r>
            <w:r>
              <w:rPr>
                <w:sz w:val="21"/>
                <w:szCs w:val="21"/>
              </w:rPr>
              <w:t>环境、</w:t>
            </w:r>
            <w:r>
              <w:rPr>
                <w:rFonts w:hint="eastAsia"/>
                <w:sz w:val="21"/>
                <w:szCs w:val="21"/>
              </w:rPr>
              <w:t>生产和服务提供</w:t>
            </w:r>
            <w:r>
              <w:rPr>
                <w:rFonts w:hint="eastAsia"/>
                <w:sz w:val="21"/>
                <w:szCs w:val="21"/>
                <w:lang w:eastAsia="zh-CN"/>
              </w:rPr>
              <w:t>、</w:t>
            </w:r>
            <w:r>
              <w:rPr>
                <w:rFonts w:hint="eastAsia"/>
                <w:sz w:val="21"/>
                <w:szCs w:val="21"/>
              </w:rPr>
              <w:t>标识和可追溯性</w:t>
            </w:r>
            <w:r>
              <w:rPr>
                <w:rFonts w:hint="eastAsia"/>
                <w:sz w:val="21"/>
                <w:szCs w:val="21"/>
                <w:lang w:eastAsia="zh-CN"/>
              </w:rPr>
              <w:t>、</w:t>
            </w:r>
            <w:r>
              <w:rPr>
                <w:rFonts w:hint="eastAsia"/>
                <w:sz w:val="21"/>
                <w:szCs w:val="21"/>
              </w:rPr>
              <w:t>顾客或外部供方的财产</w:t>
            </w:r>
            <w:r>
              <w:rPr>
                <w:rFonts w:hint="eastAsia"/>
                <w:sz w:val="21"/>
                <w:szCs w:val="21"/>
                <w:lang w:eastAsia="zh-CN"/>
              </w:rPr>
              <w:t>、</w:t>
            </w:r>
            <w:r>
              <w:rPr>
                <w:rFonts w:hint="eastAsia"/>
                <w:sz w:val="21"/>
                <w:szCs w:val="21"/>
              </w:rPr>
              <w:t>防护</w:t>
            </w:r>
            <w:r>
              <w:rPr>
                <w:rFonts w:hint="eastAsia"/>
                <w:sz w:val="21"/>
                <w:szCs w:val="21"/>
                <w:lang w:eastAsia="zh-CN"/>
              </w:rPr>
              <w:t>、</w:t>
            </w:r>
            <w:r>
              <w:rPr>
                <w:rFonts w:hint="eastAsia"/>
                <w:sz w:val="21"/>
                <w:szCs w:val="21"/>
              </w:rPr>
              <w:t>变更的控制</w:t>
            </w:r>
            <w:r>
              <w:rPr>
                <w:rFonts w:hint="eastAsia"/>
                <w:sz w:val="21"/>
                <w:szCs w:val="21"/>
                <w:lang w:eastAsia="zh-CN"/>
              </w:rPr>
              <w:t>、</w:t>
            </w:r>
            <w:r>
              <w:rPr>
                <w:sz w:val="21"/>
                <w:szCs w:val="21"/>
              </w:rPr>
              <w:t>过程能力确认</w:t>
            </w:r>
            <w:r>
              <w:rPr>
                <w:rFonts w:hint="eastAsia"/>
                <w:sz w:val="21"/>
                <w:szCs w:val="21"/>
                <w:lang w:eastAsia="zh-CN"/>
              </w:rPr>
              <w:t>、</w:t>
            </w:r>
            <w:r>
              <w:rPr>
                <w:rFonts w:hint="eastAsia"/>
                <w:sz w:val="21"/>
                <w:szCs w:val="21"/>
                <w:lang w:val="en-US" w:eastAsia="zh-CN"/>
              </w:rPr>
              <w:t>产品的设计与开发【不适用确认】、</w:t>
            </w:r>
            <w:r>
              <w:rPr>
                <w:sz w:val="21"/>
                <w:szCs w:val="21"/>
              </w:rPr>
              <w:t>(PRPs)前提方案</w:t>
            </w:r>
            <w:r>
              <w:rPr>
                <w:rFonts w:hint="eastAsia"/>
                <w:sz w:val="21"/>
                <w:szCs w:val="21"/>
                <w:lang w:val="en-US" w:eastAsia="zh-CN"/>
              </w:rPr>
              <w:t>及现场</w:t>
            </w:r>
            <w:r>
              <w:rPr>
                <w:sz w:val="21"/>
                <w:szCs w:val="21"/>
              </w:rPr>
              <w:t>、</w:t>
            </w:r>
            <w:r>
              <w:rPr>
                <w:spacing w:val="-4"/>
                <w:sz w:val="21"/>
              </w:rPr>
              <w:t>交付后活动、</w:t>
            </w:r>
            <w:r>
              <w:rPr>
                <w:rFonts w:hint="eastAsia"/>
                <w:sz w:val="21"/>
                <w:szCs w:val="21"/>
                <w:lang w:val="en-US" w:eastAsia="zh-CN"/>
              </w:rPr>
              <w:t>应急准备和响应、</w:t>
            </w:r>
            <w:r>
              <w:rPr>
                <w:rFonts w:hint="eastAsia"/>
                <w:sz w:val="21"/>
                <w:szCs w:val="21"/>
                <w:u w:val="none"/>
                <w:lang w:val="en-US" w:eastAsia="zh-CN"/>
              </w:rPr>
              <w:t>撤回召回情况、</w:t>
            </w:r>
            <w:r>
              <w:rPr>
                <w:rFonts w:hint="eastAsia"/>
                <w:sz w:val="21"/>
                <w:szCs w:val="21"/>
                <w:lang w:val="en-US" w:eastAsia="zh-CN"/>
              </w:rPr>
              <w:t>OPRP/CCP的实施情况、</w:t>
            </w:r>
            <w:r>
              <w:rPr>
                <w:rFonts w:hint="eastAsia"/>
                <w:sz w:val="21"/>
                <w:szCs w:val="21"/>
                <w:highlight w:val="none"/>
              </w:rPr>
              <w:t>监视和测量资源、产品放行、不合格品管理</w:t>
            </w:r>
            <w:r>
              <w:rPr>
                <w:rFonts w:hint="eastAsia"/>
                <w:sz w:val="21"/>
                <w:szCs w:val="21"/>
                <w:highlight w:val="none"/>
                <w:lang w:val="en-US" w:eastAsia="zh-CN"/>
              </w:rPr>
              <w:t>/</w:t>
            </w:r>
            <w:r>
              <w:rPr>
                <w:sz w:val="21"/>
                <w:szCs w:val="21"/>
                <w:highlight w:val="none"/>
              </w:rPr>
              <w:t>潜在不符合品控制</w:t>
            </w:r>
            <w:r>
              <w:rPr>
                <w:rFonts w:hint="eastAsia"/>
                <w:sz w:val="21"/>
                <w:szCs w:val="21"/>
                <w:highlight w:val="none"/>
                <w:lang w:val="en-US" w:eastAsia="zh-CN"/>
              </w:rPr>
              <w:t>、分析和评价——继续审核</w:t>
            </w:r>
          </w:p>
        </w:tc>
        <w:tc>
          <w:tcPr>
            <w:tcW w:w="2136" w:type="dxa"/>
            <w:shd w:val="clear" w:color="auto" w:fill="auto"/>
            <w:vAlign w:val="top"/>
          </w:tcPr>
          <w:p>
            <w:pPr>
              <w:jc w:val="left"/>
              <w:rPr>
                <w:rFonts w:hint="eastAsia" w:eastAsia="宋体"/>
                <w:sz w:val="21"/>
                <w:szCs w:val="21"/>
                <w:lang w:eastAsia="zh-CN"/>
              </w:rPr>
            </w:pPr>
            <w:r>
              <w:rPr>
                <w:sz w:val="21"/>
                <w:szCs w:val="21"/>
              </w:rPr>
              <w:t>QMS:5.3</w:t>
            </w:r>
            <w:r>
              <w:rPr>
                <w:rFonts w:hint="eastAsia"/>
                <w:sz w:val="21"/>
                <w:szCs w:val="21"/>
              </w:rPr>
              <w:t>/</w:t>
            </w:r>
            <w:r>
              <w:rPr>
                <w:sz w:val="21"/>
                <w:szCs w:val="21"/>
              </w:rPr>
              <w:t>6.2/7.1.3</w:t>
            </w:r>
            <w:r>
              <w:rPr>
                <w:rFonts w:hint="eastAsia"/>
                <w:sz w:val="21"/>
                <w:szCs w:val="21"/>
              </w:rPr>
              <w:t>/</w:t>
            </w:r>
            <w:r>
              <w:rPr>
                <w:sz w:val="21"/>
                <w:szCs w:val="21"/>
              </w:rPr>
              <w:t>7.1.4</w:t>
            </w:r>
            <w:r>
              <w:rPr>
                <w:rFonts w:hint="eastAsia"/>
                <w:sz w:val="21"/>
                <w:szCs w:val="21"/>
              </w:rPr>
              <w:t>/</w:t>
            </w:r>
            <w:r>
              <w:rPr>
                <w:rFonts w:hint="eastAsia"/>
                <w:sz w:val="21"/>
                <w:szCs w:val="21"/>
                <w:lang w:val="en-US" w:eastAsia="zh-CN"/>
              </w:rPr>
              <w:t>7.1.5/</w:t>
            </w:r>
            <w:r>
              <w:rPr>
                <w:sz w:val="21"/>
                <w:szCs w:val="21"/>
              </w:rPr>
              <w:t>8.5</w:t>
            </w:r>
            <w:r>
              <w:rPr>
                <w:rFonts w:hint="eastAsia"/>
                <w:sz w:val="21"/>
                <w:szCs w:val="21"/>
                <w:lang w:val="en-US" w:eastAsia="zh-CN"/>
              </w:rPr>
              <w:t>.1/8.5.2/8.5.3/8.5.4/8.5.6/8.5.5./</w:t>
            </w:r>
            <w:r>
              <w:rPr>
                <w:rFonts w:hint="eastAsia"/>
                <w:sz w:val="21"/>
                <w:szCs w:val="21"/>
              </w:rPr>
              <w:t>8</w:t>
            </w:r>
            <w:r>
              <w:rPr>
                <w:sz w:val="21"/>
                <w:szCs w:val="21"/>
              </w:rPr>
              <w:t>.3</w:t>
            </w:r>
            <w:r>
              <w:rPr>
                <w:rFonts w:hint="eastAsia"/>
                <w:sz w:val="21"/>
                <w:szCs w:val="21"/>
                <w:lang w:eastAsia="zh-CN"/>
              </w:rPr>
              <w:t>【</w:t>
            </w:r>
            <w:r>
              <w:rPr>
                <w:rFonts w:hint="eastAsia"/>
                <w:sz w:val="21"/>
                <w:szCs w:val="21"/>
                <w:lang w:val="en-US" w:eastAsia="zh-CN"/>
              </w:rPr>
              <w:t>不适用确认</w:t>
            </w:r>
            <w:r>
              <w:rPr>
                <w:rFonts w:hint="eastAsia"/>
                <w:sz w:val="21"/>
                <w:szCs w:val="21"/>
                <w:lang w:eastAsia="zh-CN"/>
              </w:rPr>
              <w:t>】</w:t>
            </w:r>
            <w:r>
              <w:rPr>
                <w:sz w:val="21"/>
                <w:szCs w:val="21"/>
                <w:highlight w:val="none"/>
              </w:rPr>
              <w:t>/</w:t>
            </w:r>
            <w:r>
              <w:rPr>
                <w:rFonts w:hint="eastAsia"/>
                <w:sz w:val="21"/>
                <w:szCs w:val="21"/>
                <w:highlight w:val="none"/>
              </w:rPr>
              <w:t>8.6/8.7</w:t>
            </w:r>
            <w:r>
              <w:rPr>
                <w:sz w:val="21"/>
                <w:szCs w:val="21"/>
                <w:highlight w:val="none"/>
              </w:rPr>
              <w:t>/9.1.3</w:t>
            </w:r>
          </w:p>
          <w:p>
            <w:pPr>
              <w:spacing w:line="300" w:lineRule="exact"/>
              <w:rPr>
                <w:rFonts w:hint="default" w:ascii="Times New Roman" w:hAnsi="Times New Roman" w:eastAsia="宋体" w:cs="Times New Roman"/>
                <w:kern w:val="2"/>
                <w:sz w:val="21"/>
                <w:szCs w:val="21"/>
                <w:lang w:val="en-US" w:eastAsia="zh-CN" w:bidi="ar-SA"/>
              </w:rPr>
            </w:pPr>
            <w:r>
              <w:rPr>
                <w:sz w:val="21"/>
                <w:szCs w:val="21"/>
              </w:rPr>
              <w:t>F:5.3/6.2/7.1.3/7.1.4/8.2/8.3/</w:t>
            </w:r>
            <w:r>
              <w:rPr>
                <w:rFonts w:hint="eastAsia"/>
                <w:sz w:val="21"/>
                <w:szCs w:val="21"/>
              </w:rPr>
              <w:t>8.4/8.5.4</w:t>
            </w:r>
            <w:r>
              <w:rPr>
                <w:rFonts w:hint="eastAsia"/>
                <w:sz w:val="21"/>
                <w:szCs w:val="21"/>
                <w:lang w:val="en-US" w:eastAsia="zh-CN"/>
              </w:rPr>
              <w:t>.5/8.9.1-8.9.5/9.1.2</w:t>
            </w:r>
          </w:p>
        </w:tc>
        <w:tc>
          <w:tcPr>
            <w:tcW w:w="845" w:type="dxa"/>
            <w:tcBorders>
              <w:right w:val="single" w:color="auto" w:sz="8" w:space="0"/>
            </w:tcBorders>
            <w:shd w:val="clear" w:color="auto" w:fill="auto"/>
            <w:vAlign w:val="top"/>
          </w:tcPr>
          <w:p>
            <w:pPr>
              <w:keepNext w:val="0"/>
              <w:keepLines w:val="0"/>
              <w:pageBreakBefore w:val="0"/>
              <w:widowControl w:val="0"/>
              <w:kinsoku/>
              <w:wordWrap/>
              <w:overflowPunct/>
              <w:topLinePunct w:val="0"/>
              <w:bidi w:val="0"/>
              <w:snapToGrid w:val="0"/>
              <w:spacing w:line="280" w:lineRule="exact"/>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792" w:type="dxa"/>
            <w:vMerge w:val="continue"/>
            <w:tcBorders>
              <w:left w:val="single" w:color="auto" w:sz="8" w:space="0"/>
            </w:tcBorders>
            <w:shd w:val="clear" w:color="auto" w:fill="auto"/>
          </w:tcPr>
          <w:p>
            <w:pPr>
              <w:snapToGrid w:val="0"/>
              <w:spacing w:line="320" w:lineRule="exact"/>
              <w:rPr>
                <w:color w:val="auto"/>
                <w:sz w:val="21"/>
                <w:szCs w:val="21"/>
              </w:rPr>
            </w:pPr>
          </w:p>
        </w:tc>
        <w:tc>
          <w:tcPr>
            <w:tcW w:w="1349" w:type="dxa"/>
            <w:shd w:val="clear" w:color="auto" w:fill="auto"/>
          </w:tcPr>
          <w:p>
            <w:pPr>
              <w:snapToGrid w:val="0"/>
              <w:spacing w:line="320" w:lineRule="exact"/>
              <w:rPr>
                <w:rFonts w:hint="default"/>
                <w:color w:val="auto"/>
                <w:sz w:val="21"/>
                <w:szCs w:val="21"/>
                <w:lang w:val="en-US" w:eastAsia="zh-CN"/>
              </w:rPr>
            </w:pPr>
            <w:r>
              <w:rPr>
                <w:rFonts w:hint="eastAsia"/>
                <w:color w:val="auto"/>
                <w:sz w:val="21"/>
                <w:szCs w:val="21"/>
                <w:lang w:val="en-US" w:eastAsia="zh-CN"/>
              </w:rPr>
              <w:t>12:30-13:00</w:t>
            </w:r>
          </w:p>
        </w:tc>
        <w:tc>
          <w:tcPr>
            <w:tcW w:w="969" w:type="dxa"/>
            <w:shd w:val="clear" w:color="auto" w:fill="auto"/>
            <w:vAlign w:val="top"/>
          </w:tcPr>
          <w:p>
            <w:pPr>
              <w:jc w:val="left"/>
              <w:rPr>
                <w:rFonts w:hint="eastAsia" w:ascii="Times New Roman" w:hAnsi="Times New Roman" w:eastAsia="宋体" w:cs="Times New Roman"/>
                <w:kern w:val="10"/>
                <w:sz w:val="21"/>
                <w:szCs w:val="21"/>
                <w:lang w:val="en-US" w:eastAsia="zh-CN" w:bidi="ar-SA"/>
              </w:rPr>
            </w:pPr>
          </w:p>
        </w:tc>
        <w:tc>
          <w:tcPr>
            <w:tcW w:w="4199" w:type="dxa"/>
            <w:shd w:val="clear" w:color="auto" w:fill="auto"/>
            <w:vAlign w:val="top"/>
          </w:tcPr>
          <w:p>
            <w:pPr>
              <w:spacing w:line="300" w:lineRule="exact"/>
              <w:rPr>
                <w:rFonts w:hint="default"/>
                <w:sz w:val="21"/>
                <w:szCs w:val="21"/>
                <w:lang w:val="en-US" w:eastAsia="zh-CN"/>
              </w:rPr>
            </w:pPr>
            <w:r>
              <w:rPr>
                <w:rFonts w:hint="eastAsia"/>
                <w:sz w:val="21"/>
                <w:szCs w:val="21"/>
                <w:lang w:val="en-US" w:eastAsia="zh-CN"/>
              </w:rPr>
              <w:t>午餐</w:t>
            </w:r>
          </w:p>
        </w:tc>
        <w:tc>
          <w:tcPr>
            <w:tcW w:w="2136" w:type="dxa"/>
            <w:shd w:val="clear" w:color="auto" w:fill="auto"/>
            <w:vAlign w:val="top"/>
          </w:tcPr>
          <w:p>
            <w:pPr>
              <w:spacing w:line="300" w:lineRule="exact"/>
              <w:rPr>
                <w:sz w:val="21"/>
                <w:szCs w:val="21"/>
              </w:rPr>
            </w:pPr>
          </w:p>
        </w:tc>
        <w:tc>
          <w:tcPr>
            <w:tcW w:w="845" w:type="dxa"/>
            <w:tcBorders>
              <w:right w:val="single" w:color="auto" w:sz="8" w:space="0"/>
            </w:tcBorders>
            <w:shd w:val="clear" w:color="auto" w:fill="auto"/>
            <w:vAlign w:val="top"/>
          </w:tcPr>
          <w:p>
            <w:pPr>
              <w:snapToGrid w:val="0"/>
              <w:spacing w:line="320" w:lineRule="exact"/>
              <w:rPr>
                <w:rFonts w:hint="default" w:cs="Times New Roman"/>
                <w:kern w:val="2"/>
                <w:sz w:val="21"/>
                <w:szCs w:val="21"/>
                <w:lang w:val="en-US" w:eastAsia="zh-CN" w:bidi="ar-SA"/>
              </w:rPr>
            </w:pPr>
            <w:r>
              <w:rPr>
                <w:rFonts w:hint="eastAsia" w:cs="Times New Roman"/>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792" w:type="dxa"/>
            <w:vMerge w:val="continue"/>
            <w:tcBorders>
              <w:left w:val="single" w:color="auto" w:sz="8" w:space="0"/>
            </w:tcBorders>
            <w:shd w:val="clear" w:color="auto" w:fill="auto"/>
          </w:tcPr>
          <w:p>
            <w:pPr>
              <w:snapToGrid w:val="0"/>
              <w:spacing w:line="320" w:lineRule="exact"/>
              <w:rPr>
                <w:color w:val="auto"/>
                <w:sz w:val="21"/>
                <w:szCs w:val="21"/>
              </w:rPr>
            </w:pPr>
          </w:p>
        </w:tc>
        <w:tc>
          <w:tcPr>
            <w:tcW w:w="1349" w:type="dxa"/>
            <w:shd w:val="clear" w:color="auto" w:fill="auto"/>
          </w:tcPr>
          <w:p>
            <w:pPr>
              <w:snapToGrid w:val="0"/>
              <w:spacing w:line="320" w:lineRule="exact"/>
              <w:rPr>
                <w:rFonts w:hint="default"/>
                <w:color w:val="auto"/>
                <w:sz w:val="21"/>
                <w:szCs w:val="21"/>
                <w:lang w:val="en-US" w:eastAsia="zh-CN"/>
              </w:rPr>
            </w:pPr>
            <w:r>
              <w:rPr>
                <w:rFonts w:hint="eastAsia"/>
                <w:color w:val="auto"/>
                <w:sz w:val="21"/>
                <w:szCs w:val="21"/>
                <w:lang w:val="en-US" w:eastAsia="zh-CN"/>
              </w:rPr>
              <w:t>13:00-15:00</w:t>
            </w:r>
          </w:p>
        </w:tc>
        <w:tc>
          <w:tcPr>
            <w:tcW w:w="969" w:type="dxa"/>
            <w:shd w:val="clear" w:color="auto" w:fill="auto"/>
            <w:vAlign w:val="top"/>
          </w:tcPr>
          <w:p>
            <w:pPr>
              <w:pStyle w:val="15"/>
              <w:spacing w:before="28"/>
              <w:rPr>
                <w:rFonts w:hint="eastAsia" w:ascii="宋体" w:hAnsi="宋体" w:eastAsia="宋体" w:cs="宋体"/>
                <w:kern w:val="2"/>
                <w:sz w:val="21"/>
                <w:lang w:val="en-US" w:eastAsia="zh-CN" w:bidi="en-US"/>
              </w:rPr>
            </w:pPr>
            <w:r>
              <w:rPr>
                <w:sz w:val="21"/>
              </w:rPr>
              <w:t>购销</w:t>
            </w:r>
            <w:r>
              <w:rPr>
                <w:rFonts w:hint="eastAsia"/>
                <w:sz w:val="21"/>
                <w:lang w:val="en-US" w:eastAsia="zh-CN"/>
              </w:rPr>
              <w:t>部</w:t>
            </w:r>
          </w:p>
        </w:tc>
        <w:tc>
          <w:tcPr>
            <w:tcW w:w="4199" w:type="dxa"/>
            <w:shd w:val="clear" w:color="auto" w:fill="auto"/>
            <w:vAlign w:val="top"/>
          </w:tcPr>
          <w:p>
            <w:pPr>
              <w:pStyle w:val="15"/>
              <w:spacing w:line="249" w:lineRule="exact"/>
              <w:ind w:left="111" w:right="-15"/>
              <w:rPr>
                <w:rFonts w:hint="eastAsia" w:ascii="宋体" w:hAnsi="宋体" w:eastAsia="宋体" w:cs="宋体"/>
                <w:kern w:val="2"/>
                <w:sz w:val="21"/>
                <w:lang w:val="en-US" w:eastAsia="zh-CN" w:bidi="en-US"/>
              </w:rPr>
            </w:pPr>
            <w:r>
              <w:rPr>
                <w:spacing w:val="-4"/>
                <w:w w:val="95"/>
                <w:sz w:val="21"/>
              </w:rPr>
              <w:t>职责和权限、目标管理、产品和服务的要求、</w:t>
            </w:r>
            <w:r>
              <w:rPr>
                <w:spacing w:val="-4"/>
                <w:sz w:val="21"/>
              </w:rPr>
              <w:t>顾客满意度、</w:t>
            </w:r>
            <w:r>
              <w:rPr>
                <w:sz w:val="21"/>
              </w:rPr>
              <w:t>外部提供的过程产品和服务的控制</w:t>
            </w:r>
          </w:p>
        </w:tc>
        <w:tc>
          <w:tcPr>
            <w:tcW w:w="2136" w:type="dxa"/>
            <w:shd w:val="clear" w:color="auto" w:fill="auto"/>
            <w:vAlign w:val="top"/>
          </w:tcPr>
          <w:p>
            <w:pPr>
              <w:pStyle w:val="15"/>
              <w:keepNext w:val="0"/>
              <w:keepLines w:val="0"/>
              <w:pageBreakBefore w:val="0"/>
              <w:widowControl w:val="0"/>
              <w:kinsoku/>
              <w:wordWrap/>
              <w:overflowPunct/>
              <w:topLinePunct w:val="0"/>
              <w:autoSpaceDE/>
              <w:autoSpaceDN/>
              <w:bidi w:val="0"/>
              <w:adjustRightInd/>
              <w:snapToGrid/>
              <w:spacing w:before="108" w:line="260" w:lineRule="exact"/>
              <w:ind w:left="113"/>
              <w:jc w:val="left"/>
              <w:textAlignment w:val="auto"/>
              <w:rPr>
                <w:rFonts w:ascii="Times New Roman" w:eastAsia="Times New Roman"/>
                <w:sz w:val="21"/>
              </w:rPr>
            </w:pPr>
            <w:r>
              <w:rPr>
                <w:rFonts w:ascii="Times New Roman" w:eastAsia="Times New Roman"/>
                <w:sz w:val="21"/>
              </w:rPr>
              <w:t>QMS</w:t>
            </w:r>
            <w:r>
              <w:rPr>
                <w:sz w:val="21"/>
              </w:rPr>
              <w:t>：</w:t>
            </w:r>
            <w:r>
              <w:rPr>
                <w:rFonts w:ascii="Times New Roman" w:eastAsia="Times New Roman"/>
                <w:sz w:val="21"/>
              </w:rPr>
              <w:t>5.3/6.2/8.2/</w:t>
            </w:r>
          </w:p>
          <w:p>
            <w:pPr>
              <w:pStyle w:val="15"/>
              <w:keepNext w:val="0"/>
              <w:keepLines w:val="0"/>
              <w:pageBreakBefore w:val="0"/>
              <w:widowControl w:val="0"/>
              <w:kinsoku/>
              <w:wordWrap/>
              <w:overflowPunct/>
              <w:topLinePunct w:val="0"/>
              <w:autoSpaceDE/>
              <w:autoSpaceDN/>
              <w:bidi w:val="0"/>
              <w:adjustRightInd/>
              <w:snapToGrid/>
              <w:spacing w:before="108" w:line="260" w:lineRule="exact"/>
              <w:ind w:left="113"/>
              <w:jc w:val="left"/>
              <w:textAlignment w:val="auto"/>
              <w:rPr>
                <w:rFonts w:ascii="Times New Roman"/>
                <w:sz w:val="21"/>
              </w:rPr>
            </w:pPr>
            <w:r>
              <w:rPr>
                <w:rFonts w:ascii="Times New Roman"/>
                <w:sz w:val="21"/>
              </w:rPr>
              <w:t>8.4/9.1.2</w:t>
            </w:r>
          </w:p>
          <w:p>
            <w:pPr>
              <w:pStyle w:val="15"/>
              <w:keepNext w:val="0"/>
              <w:keepLines w:val="0"/>
              <w:pageBreakBefore w:val="0"/>
              <w:widowControl w:val="0"/>
              <w:kinsoku/>
              <w:wordWrap/>
              <w:overflowPunct/>
              <w:topLinePunct w:val="0"/>
              <w:autoSpaceDE/>
              <w:autoSpaceDN/>
              <w:bidi w:val="0"/>
              <w:adjustRightInd/>
              <w:snapToGrid/>
              <w:spacing w:before="86" w:line="260" w:lineRule="exact"/>
              <w:ind w:left="113" w:leftChars="0"/>
              <w:jc w:val="left"/>
              <w:textAlignment w:val="auto"/>
              <w:rPr>
                <w:rFonts w:ascii="Times New Roman" w:eastAsia="Times New Roman"/>
                <w:sz w:val="21"/>
              </w:rPr>
            </w:pPr>
            <w:r>
              <w:rPr>
                <w:rFonts w:ascii="Times New Roman" w:eastAsia="Times New Roman"/>
                <w:sz w:val="21"/>
              </w:rPr>
              <w:t>FSMS</w:t>
            </w:r>
            <w:r>
              <w:rPr>
                <w:sz w:val="21"/>
              </w:rPr>
              <w:t>：5</w:t>
            </w:r>
            <w:r>
              <w:rPr>
                <w:rFonts w:ascii="Times New Roman" w:eastAsia="Times New Roman"/>
                <w:sz w:val="21"/>
              </w:rPr>
              <w:t>.3/6.2/</w:t>
            </w:r>
          </w:p>
          <w:p>
            <w:pPr>
              <w:pStyle w:val="15"/>
              <w:keepNext w:val="0"/>
              <w:keepLines w:val="0"/>
              <w:pageBreakBefore w:val="0"/>
              <w:widowControl w:val="0"/>
              <w:kinsoku/>
              <w:wordWrap/>
              <w:overflowPunct/>
              <w:topLinePunct w:val="0"/>
              <w:autoSpaceDE/>
              <w:autoSpaceDN/>
              <w:bidi w:val="0"/>
              <w:adjustRightInd/>
              <w:snapToGrid/>
              <w:spacing w:before="86" w:line="260" w:lineRule="exact"/>
              <w:ind w:left="113" w:leftChars="0"/>
              <w:jc w:val="left"/>
              <w:textAlignment w:val="auto"/>
              <w:rPr>
                <w:rFonts w:hint="default" w:ascii="Times New Roman" w:hAnsi="宋体" w:eastAsia="Times New Roman" w:cs="宋体"/>
                <w:kern w:val="2"/>
                <w:sz w:val="21"/>
                <w:lang w:val="en-US" w:eastAsia="zh-CN" w:bidi="en-US"/>
              </w:rPr>
            </w:pPr>
            <w:r>
              <w:rPr>
                <w:rFonts w:hint="eastAsia" w:ascii="Times New Roman"/>
                <w:sz w:val="21"/>
                <w:lang w:val="en-US" w:eastAsia="zh-CN"/>
              </w:rPr>
              <w:t>7.1.6</w:t>
            </w:r>
          </w:p>
        </w:tc>
        <w:tc>
          <w:tcPr>
            <w:tcW w:w="845" w:type="dxa"/>
            <w:tcBorders>
              <w:right w:val="single" w:color="auto" w:sz="8" w:space="0"/>
            </w:tcBorders>
            <w:shd w:val="clear" w:color="auto" w:fill="auto"/>
            <w:vAlign w:val="top"/>
          </w:tcPr>
          <w:p>
            <w:pPr>
              <w:snapToGrid w:val="0"/>
              <w:spacing w:line="320" w:lineRule="exact"/>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792" w:type="dxa"/>
            <w:vMerge w:val="continue"/>
            <w:tcBorders>
              <w:left w:val="single" w:color="auto" w:sz="8" w:space="0"/>
            </w:tcBorders>
            <w:shd w:val="clear" w:color="auto" w:fill="auto"/>
          </w:tcPr>
          <w:p>
            <w:pPr>
              <w:snapToGrid w:val="0"/>
              <w:spacing w:line="320" w:lineRule="exact"/>
              <w:rPr>
                <w:color w:val="auto"/>
                <w:sz w:val="21"/>
                <w:szCs w:val="21"/>
              </w:rPr>
            </w:pPr>
          </w:p>
        </w:tc>
        <w:tc>
          <w:tcPr>
            <w:tcW w:w="1349" w:type="dxa"/>
            <w:shd w:val="clear" w:color="auto" w:fill="auto"/>
          </w:tcPr>
          <w:p>
            <w:pPr>
              <w:snapToGrid w:val="0"/>
              <w:spacing w:line="320" w:lineRule="exact"/>
              <w:rPr>
                <w:rFonts w:hint="default"/>
                <w:color w:val="auto"/>
                <w:sz w:val="21"/>
                <w:szCs w:val="21"/>
                <w:lang w:val="en-US" w:eastAsia="zh-CN"/>
              </w:rPr>
            </w:pPr>
            <w:r>
              <w:rPr>
                <w:rFonts w:hint="eastAsia"/>
                <w:color w:val="auto"/>
                <w:sz w:val="21"/>
                <w:szCs w:val="21"/>
                <w:lang w:val="en-US" w:eastAsia="zh-CN"/>
              </w:rPr>
              <w:t>15:00-16:00</w:t>
            </w:r>
          </w:p>
        </w:tc>
        <w:tc>
          <w:tcPr>
            <w:tcW w:w="969" w:type="dxa"/>
            <w:shd w:val="clear" w:color="auto" w:fill="auto"/>
            <w:vAlign w:val="top"/>
          </w:tcPr>
          <w:p>
            <w:pPr>
              <w:jc w:val="left"/>
              <w:rPr>
                <w:rFonts w:hint="eastAsia" w:ascii="Times New Roman" w:hAnsi="Times New Roman" w:eastAsia="宋体" w:cs="Times New Roman"/>
                <w:kern w:val="10"/>
                <w:sz w:val="21"/>
                <w:szCs w:val="21"/>
                <w:lang w:val="en-US" w:eastAsia="zh-CN" w:bidi="ar-SA"/>
              </w:rPr>
            </w:pPr>
            <w:r>
              <w:rPr>
                <w:rFonts w:hint="eastAsia"/>
                <w:kern w:val="10"/>
                <w:sz w:val="21"/>
                <w:szCs w:val="21"/>
                <w:lang w:val="en-US" w:eastAsia="zh-CN"/>
              </w:rPr>
              <w:t>综合部</w:t>
            </w:r>
          </w:p>
        </w:tc>
        <w:tc>
          <w:tcPr>
            <w:tcW w:w="4199" w:type="dxa"/>
            <w:shd w:val="clear" w:color="auto" w:fill="auto"/>
            <w:vAlign w:val="top"/>
          </w:tcPr>
          <w:p>
            <w:pPr>
              <w:spacing w:line="300" w:lineRule="exact"/>
              <w:rPr>
                <w:rFonts w:hint="eastAsia" w:ascii="Times New Roman" w:hAnsi="Times New Roman" w:eastAsia="宋体" w:cs="Times New Roman"/>
                <w:kern w:val="2"/>
                <w:sz w:val="21"/>
                <w:szCs w:val="21"/>
                <w:lang w:val="en-US" w:eastAsia="zh-CN" w:bidi="ar-SA"/>
              </w:rPr>
            </w:pPr>
            <w:r>
              <w:rPr>
                <w:sz w:val="21"/>
                <w:szCs w:val="21"/>
              </w:rPr>
              <w:t>职责</w:t>
            </w:r>
            <w:r>
              <w:rPr>
                <w:rFonts w:hint="eastAsia"/>
                <w:sz w:val="21"/>
                <w:szCs w:val="21"/>
                <w:highlight w:val="none"/>
              </w:rPr>
              <w:t>和权限</w:t>
            </w:r>
            <w:r>
              <w:rPr>
                <w:sz w:val="21"/>
                <w:szCs w:val="21"/>
              </w:rPr>
              <w:t>、目标管理、</w:t>
            </w:r>
            <w:r>
              <w:rPr>
                <w:rFonts w:hint="eastAsia"/>
                <w:sz w:val="21"/>
                <w:szCs w:val="21"/>
                <w:lang w:val="en-US" w:eastAsia="zh-CN"/>
              </w:rPr>
              <w:t>沟通、</w:t>
            </w:r>
            <w:r>
              <w:rPr>
                <w:sz w:val="21"/>
                <w:szCs w:val="21"/>
              </w:rPr>
              <w:t>人员健康管理、持证上岗人员</w:t>
            </w:r>
            <w:r>
              <w:rPr>
                <w:rFonts w:hint="eastAsia"/>
                <w:sz w:val="21"/>
                <w:szCs w:val="21"/>
                <w:lang w:eastAsia="zh-CN"/>
              </w:rPr>
              <w:t>【</w:t>
            </w:r>
            <w:r>
              <w:rPr>
                <w:rFonts w:hint="eastAsia"/>
                <w:sz w:val="21"/>
                <w:szCs w:val="21"/>
                <w:lang w:val="en-US" w:eastAsia="zh-CN"/>
              </w:rPr>
              <w:t>适用时</w:t>
            </w:r>
            <w:r>
              <w:rPr>
                <w:rFonts w:hint="eastAsia"/>
                <w:sz w:val="21"/>
                <w:szCs w:val="21"/>
                <w:lang w:eastAsia="zh-CN"/>
              </w:rPr>
              <w:t>】</w:t>
            </w:r>
            <w:r>
              <w:rPr>
                <w:sz w:val="21"/>
                <w:szCs w:val="21"/>
              </w:rPr>
              <w:t>、人员招聘、员工培训及有效性评价；知识的管理</w:t>
            </w:r>
            <w:r>
              <w:rPr>
                <w:rFonts w:hint="eastAsia"/>
                <w:sz w:val="21"/>
                <w:szCs w:val="21"/>
                <w:lang w:eastAsia="zh-CN"/>
              </w:rPr>
              <w:t>；</w:t>
            </w:r>
            <w:r>
              <w:rPr>
                <w:sz w:val="21"/>
                <w:szCs w:val="21"/>
              </w:rPr>
              <w:t>文件和记录管理；</w:t>
            </w:r>
          </w:p>
        </w:tc>
        <w:tc>
          <w:tcPr>
            <w:tcW w:w="2136" w:type="dxa"/>
            <w:shd w:val="clear" w:color="auto" w:fill="auto"/>
            <w:vAlign w:val="top"/>
          </w:tcPr>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sz w:val="21"/>
                <w:szCs w:val="21"/>
                <w:lang w:val="en-US" w:eastAsia="zh-CN"/>
              </w:rPr>
            </w:pPr>
            <w:r>
              <w:rPr>
                <w:sz w:val="21"/>
                <w:szCs w:val="21"/>
                <w:lang w:val="en-US" w:eastAsia="zh-CN"/>
              </w:rPr>
              <w:t>QMS</w:t>
            </w:r>
            <w:r>
              <w:rPr>
                <w:rFonts w:hint="eastAsia" w:ascii="宋体" w:hAnsi="宋体" w:eastAsia="宋体" w:cs="宋体"/>
                <w:sz w:val="21"/>
                <w:szCs w:val="21"/>
                <w:lang w:val="en-US" w:eastAsia="zh-CN"/>
              </w:rPr>
              <w:t>：</w:t>
            </w:r>
            <w:r>
              <w:rPr>
                <w:rFonts w:hint="eastAsia"/>
                <w:sz w:val="21"/>
                <w:szCs w:val="21"/>
                <w:lang w:val="en-US" w:eastAsia="zh-CN"/>
              </w:rPr>
              <w:t>5.3/</w:t>
            </w:r>
            <w:r>
              <w:rPr>
                <w:sz w:val="21"/>
                <w:szCs w:val="21"/>
                <w:lang w:val="en-US" w:eastAsia="zh-CN"/>
              </w:rPr>
              <w:t>6.2/7.1.2/</w:t>
            </w: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eastAsia="宋体"/>
                <w:sz w:val="21"/>
                <w:szCs w:val="21"/>
                <w:lang w:val="en-US" w:eastAsia="zh-CN"/>
              </w:rPr>
            </w:pPr>
            <w:r>
              <w:rPr>
                <w:sz w:val="21"/>
                <w:szCs w:val="21"/>
                <w:lang w:val="en-US" w:eastAsia="zh-CN"/>
              </w:rPr>
              <w:t>7.1.6/7.2/7.3/7.4/7.</w:t>
            </w:r>
            <w:r>
              <w:rPr>
                <w:rFonts w:eastAsia="宋体"/>
                <w:sz w:val="21"/>
                <w:szCs w:val="21"/>
                <w:lang w:val="en-US" w:eastAsia="zh-CN"/>
              </w:rPr>
              <w:t>5</w:t>
            </w:r>
            <w:r>
              <w:rPr>
                <w:rFonts w:hint="eastAsia" w:eastAsia="宋体"/>
                <w:sz w:val="21"/>
                <w:szCs w:val="21"/>
                <w:lang w:val="en-US" w:eastAsia="zh-CN"/>
              </w:rPr>
              <w:t>；</w:t>
            </w: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eastAsia="宋体"/>
                <w:sz w:val="21"/>
                <w:szCs w:val="21"/>
                <w:lang w:val="en-US" w:eastAsia="zh-CN"/>
              </w:rPr>
            </w:pPr>
            <w:r>
              <w:rPr>
                <w:rFonts w:eastAsia="宋体"/>
                <w:sz w:val="21"/>
                <w:szCs w:val="21"/>
                <w:lang w:val="en-US" w:eastAsia="zh-CN"/>
              </w:rPr>
              <w:t>FSMS</w:t>
            </w:r>
            <w:r>
              <w:rPr>
                <w:rFonts w:hint="eastAsia" w:eastAsia="宋体"/>
                <w:sz w:val="21"/>
                <w:szCs w:val="21"/>
                <w:lang w:val="en-US" w:eastAsia="zh-CN"/>
              </w:rPr>
              <w:t>：5.3/6.2/7.1.2/</w:t>
            </w: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ascii="Times New Roman" w:hAnsi="Times New Roman" w:eastAsia="宋体" w:cs="Times New Roman"/>
                <w:kern w:val="2"/>
                <w:sz w:val="21"/>
                <w:szCs w:val="21"/>
                <w:lang w:val="de-DE" w:eastAsia="zh-CN" w:bidi="ar-SA"/>
              </w:rPr>
            </w:pPr>
            <w:r>
              <w:rPr>
                <w:rFonts w:hint="eastAsia" w:eastAsia="宋体"/>
                <w:sz w:val="21"/>
                <w:szCs w:val="21"/>
                <w:lang w:val="en-US" w:eastAsia="zh-CN"/>
              </w:rPr>
              <w:t>7.2/7.3/7.4/7.5；</w:t>
            </w:r>
          </w:p>
        </w:tc>
        <w:tc>
          <w:tcPr>
            <w:tcW w:w="845" w:type="dxa"/>
            <w:tcBorders>
              <w:right w:val="single" w:color="auto" w:sz="8" w:space="0"/>
            </w:tcBorders>
            <w:shd w:val="clear" w:color="auto" w:fill="auto"/>
            <w:vAlign w:val="top"/>
          </w:tcPr>
          <w:p>
            <w:pPr>
              <w:snapToGrid w:val="0"/>
              <w:spacing w:line="320" w:lineRule="exact"/>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792" w:type="dxa"/>
            <w:vMerge w:val="continue"/>
            <w:tcBorders>
              <w:left w:val="single" w:color="auto" w:sz="8" w:space="0"/>
            </w:tcBorders>
            <w:shd w:val="clear" w:color="auto" w:fill="auto"/>
          </w:tcPr>
          <w:p>
            <w:pPr>
              <w:snapToGrid w:val="0"/>
              <w:spacing w:line="320" w:lineRule="exact"/>
              <w:rPr>
                <w:color w:val="FF0000"/>
                <w:sz w:val="21"/>
                <w:szCs w:val="21"/>
              </w:rPr>
            </w:pPr>
          </w:p>
        </w:tc>
        <w:tc>
          <w:tcPr>
            <w:tcW w:w="1349" w:type="dxa"/>
            <w:shd w:val="clear" w:color="auto" w:fill="auto"/>
            <w:vAlign w:val="top"/>
          </w:tcPr>
          <w:p>
            <w:pPr>
              <w:snapToGrid w:val="0"/>
              <w:spacing w:line="320" w:lineRule="exact"/>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16:00-16:30</w:t>
            </w:r>
          </w:p>
        </w:tc>
        <w:tc>
          <w:tcPr>
            <w:tcW w:w="969" w:type="dxa"/>
            <w:shd w:val="clear" w:color="auto" w:fill="auto"/>
            <w:vAlign w:val="top"/>
          </w:tcPr>
          <w:p>
            <w:pPr>
              <w:spacing w:line="300" w:lineRule="exact"/>
              <w:rPr>
                <w:rFonts w:hint="default" w:ascii="Times New Roman" w:hAnsi="Times New Roman" w:eastAsia="楷体_GB2312" w:cs="Times New Roman"/>
                <w:kern w:val="10"/>
                <w:sz w:val="21"/>
                <w:szCs w:val="21"/>
                <w:lang w:val="en-US" w:eastAsia="zh-CN" w:bidi="ar-SA"/>
              </w:rPr>
            </w:pPr>
          </w:p>
        </w:tc>
        <w:tc>
          <w:tcPr>
            <w:tcW w:w="4199" w:type="dxa"/>
            <w:shd w:val="clear" w:color="auto" w:fill="auto"/>
            <w:vAlign w:val="top"/>
          </w:tcPr>
          <w:p>
            <w:pPr>
              <w:spacing w:line="300" w:lineRule="exact"/>
              <w:rPr>
                <w:rFonts w:hint="eastAsia"/>
                <w:sz w:val="21"/>
                <w:szCs w:val="21"/>
                <w:lang w:val="en-US" w:eastAsia="zh-CN"/>
              </w:rPr>
            </w:pPr>
            <w:r>
              <w:rPr>
                <w:rFonts w:hint="eastAsia"/>
                <w:sz w:val="21"/>
                <w:szCs w:val="21"/>
                <w:lang w:val="en-US" w:eastAsia="zh-CN"/>
              </w:rPr>
              <w:t>审核组整理材料、内部沟通</w:t>
            </w:r>
          </w:p>
          <w:p>
            <w:pPr>
              <w:pStyle w:val="2"/>
              <w:rPr>
                <w:rFonts w:hint="default" w:ascii="Times New Roman" w:hAnsi="Times New Roman" w:eastAsia="宋体" w:cs="Times New Roman"/>
                <w:bCs/>
                <w:spacing w:val="10"/>
                <w:kern w:val="2"/>
                <w:sz w:val="21"/>
                <w:szCs w:val="21"/>
                <w:lang w:val="en-US" w:eastAsia="zh-CN" w:bidi="ar-SA"/>
              </w:rPr>
            </w:pPr>
            <w:r>
              <w:rPr>
                <w:rFonts w:hint="eastAsia"/>
                <w:sz w:val="21"/>
                <w:szCs w:val="21"/>
                <w:lang w:val="en-US" w:eastAsia="zh-CN"/>
              </w:rPr>
              <w:t>审核组与企业管代沟通</w:t>
            </w:r>
          </w:p>
        </w:tc>
        <w:tc>
          <w:tcPr>
            <w:tcW w:w="2136" w:type="dxa"/>
            <w:shd w:val="clear" w:color="auto" w:fill="auto"/>
            <w:vAlign w:val="top"/>
          </w:tcPr>
          <w:p>
            <w:pPr>
              <w:spacing w:line="300" w:lineRule="exact"/>
              <w:jc w:val="left"/>
              <w:rPr>
                <w:rFonts w:hint="default" w:ascii="Times New Roman" w:hAnsi="Times New Roman" w:eastAsia="Times New Roman" w:cs="Times New Roman"/>
                <w:kern w:val="2"/>
                <w:sz w:val="21"/>
                <w:szCs w:val="21"/>
                <w:lang w:val="en-US" w:eastAsia="zh-CN" w:bidi="ar-SA"/>
              </w:rPr>
            </w:pPr>
          </w:p>
        </w:tc>
        <w:tc>
          <w:tcPr>
            <w:tcW w:w="845" w:type="dxa"/>
            <w:tcBorders>
              <w:right w:val="single" w:color="auto" w:sz="8" w:space="0"/>
            </w:tcBorders>
            <w:shd w:val="clear" w:color="auto" w:fill="auto"/>
            <w:vAlign w:val="top"/>
          </w:tcPr>
          <w:p>
            <w:pPr>
              <w:snapToGrid w:val="0"/>
              <w:spacing w:line="320" w:lineRule="exact"/>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792" w:type="dxa"/>
            <w:vMerge w:val="continue"/>
            <w:tcBorders>
              <w:left w:val="single" w:color="auto" w:sz="8" w:space="0"/>
            </w:tcBorders>
            <w:shd w:val="clear" w:color="auto" w:fill="auto"/>
          </w:tcPr>
          <w:p>
            <w:pPr>
              <w:snapToGrid w:val="0"/>
              <w:spacing w:line="320" w:lineRule="exact"/>
              <w:rPr>
                <w:color w:val="FF0000"/>
                <w:sz w:val="21"/>
                <w:szCs w:val="21"/>
              </w:rPr>
            </w:pPr>
          </w:p>
        </w:tc>
        <w:tc>
          <w:tcPr>
            <w:tcW w:w="1349" w:type="dxa"/>
            <w:shd w:val="clear" w:color="auto" w:fill="auto"/>
            <w:vAlign w:val="top"/>
          </w:tcPr>
          <w:p>
            <w:pPr>
              <w:snapToGrid w:val="0"/>
              <w:spacing w:line="320" w:lineRule="exact"/>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16:30-17:00</w:t>
            </w:r>
          </w:p>
        </w:tc>
        <w:tc>
          <w:tcPr>
            <w:tcW w:w="969" w:type="dxa"/>
            <w:shd w:val="clear" w:color="auto" w:fill="auto"/>
            <w:vAlign w:val="top"/>
          </w:tcPr>
          <w:p>
            <w:pPr>
              <w:spacing w:line="300" w:lineRule="exact"/>
              <w:rPr>
                <w:rFonts w:hint="eastAsia" w:ascii="Times New Roman" w:hAnsi="Times New Roman" w:eastAsia="楷体_GB2312" w:cs="Times New Roman"/>
                <w:kern w:val="10"/>
                <w:sz w:val="21"/>
                <w:szCs w:val="21"/>
                <w:lang w:val="en-US" w:eastAsia="zh-CN" w:bidi="ar-SA"/>
              </w:rPr>
            </w:pPr>
          </w:p>
        </w:tc>
        <w:tc>
          <w:tcPr>
            <w:tcW w:w="4199" w:type="dxa"/>
            <w:shd w:val="clear" w:color="auto" w:fill="auto"/>
            <w:vAlign w:val="top"/>
          </w:tcPr>
          <w:p>
            <w:pPr>
              <w:spacing w:line="300" w:lineRule="exact"/>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末次会议</w:t>
            </w:r>
          </w:p>
        </w:tc>
        <w:tc>
          <w:tcPr>
            <w:tcW w:w="2136" w:type="dxa"/>
            <w:shd w:val="clear" w:color="auto" w:fill="auto"/>
            <w:vAlign w:val="top"/>
          </w:tcPr>
          <w:p>
            <w:pPr>
              <w:spacing w:line="300" w:lineRule="exact"/>
              <w:jc w:val="left"/>
              <w:rPr>
                <w:rFonts w:hint="default" w:ascii="Times New Roman" w:hAnsi="Times New Roman" w:eastAsia="Times New Roman" w:cs="Times New Roman"/>
                <w:kern w:val="2"/>
                <w:sz w:val="21"/>
                <w:szCs w:val="21"/>
                <w:lang w:val="en-US" w:eastAsia="zh-CN" w:bidi="ar-SA"/>
              </w:rPr>
            </w:pPr>
          </w:p>
        </w:tc>
        <w:tc>
          <w:tcPr>
            <w:tcW w:w="845" w:type="dxa"/>
            <w:tcBorders>
              <w:right w:val="single" w:color="auto" w:sz="8" w:space="0"/>
            </w:tcBorders>
            <w:shd w:val="clear" w:color="auto" w:fill="auto"/>
            <w:vAlign w:val="top"/>
          </w:tcPr>
          <w:p>
            <w:pPr>
              <w:snapToGrid w:val="0"/>
              <w:spacing w:line="320" w:lineRule="exact"/>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92" w:type="dxa"/>
            <w:vMerge w:val="continue"/>
            <w:tcBorders>
              <w:left w:val="single" w:color="auto" w:sz="8" w:space="0"/>
            </w:tcBorders>
            <w:shd w:val="clear" w:color="auto" w:fill="auto"/>
          </w:tcPr>
          <w:p>
            <w:pPr>
              <w:snapToGrid w:val="0"/>
              <w:spacing w:line="320" w:lineRule="exact"/>
              <w:rPr>
                <w:sz w:val="21"/>
                <w:szCs w:val="21"/>
              </w:rPr>
            </w:pPr>
          </w:p>
        </w:tc>
        <w:tc>
          <w:tcPr>
            <w:tcW w:w="1349" w:type="dxa"/>
            <w:shd w:val="clear" w:color="auto" w:fill="FFFFFF" w:themeFill="background1"/>
            <w:vAlign w:val="top"/>
          </w:tcPr>
          <w:p>
            <w:pPr>
              <w:snapToGrid w:val="0"/>
              <w:spacing w:line="320" w:lineRule="exac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17:00</w:t>
            </w:r>
          </w:p>
        </w:tc>
        <w:tc>
          <w:tcPr>
            <w:tcW w:w="969" w:type="dxa"/>
            <w:shd w:val="clear" w:color="auto" w:fill="FFFFFF" w:themeFill="background1"/>
            <w:vAlign w:val="top"/>
          </w:tcPr>
          <w:p>
            <w:pPr>
              <w:rPr>
                <w:rFonts w:hint="default" w:ascii="Times New Roman" w:hAnsi="Times New Roman" w:eastAsia="楷体_GB2312" w:cs="Times New Roman"/>
                <w:kern w:val="2"/>
                <w:sz w:val="21"/>
                <w:szCs w:val="21"/>
                <w:highlight w:val="cyan"/>
                <w:lang w:val="en-US" w:eastAsia="zh-CN" w:bidi="ar-SA"/>
              </w:rPr>
            </w:pPr>
          </w:p>
        </w:tc>
        <w:tc>
          <w:tcPr>
            <w:tcW w:w="4199" w:type="dxa"/>
            <w:shd w:val="clear" w:color="auto" w:fill="FFFFFF" w:themeFill="background1"/>
            <w:vAlign w:val="top"/>
          </w:tcPr>
          <w:p>
            <w:pPr>
              <w:spacing w:line="300" w:lineRule="exact"/>
              <w:rPr>
                <w:rFonts w:hint="default" w:ascii="Times New Roman" w:hAnsi="Times New Roman" w:eastAsia="宋体" w:cs="Times New Roman"/>
                <w:kern w:val="2"/>
                <w:sz w:val="21"/>
                <w:szCs w:val="21"/>
                <w:highlight w:val="cyan"/>
                <w:lang w:val="en-US" w:eastAsia="zh-CN" w:bidi="ar-SA"/>
              </w:rPr>
            </w:pPr>
            <w:r>
              <w:rPr>
                <w:rFonts w:hint="eastAsia" w:ascii="Times New Roman" w:hAnsi="Times New Roman" w:eastAsia="宋体" w:cs="Times New Roman"/>
                <w:kern w:val="2"/>
                <w:sz w:val="21"/>
                <w:szCs w:val="21"/>
                <w:highlight w:val="none"/>
                <w:lang w:val="en-US" w:eastAsia="zh-CN" w:bidi="ar-SA"/>
              </w:rPr>
              <w:t>第二天审核结束</w:t>
            </w:r>
          </w:p>
        </w:tc>
        <w:tc>
          <w:tcPr>
            <w:tcW w:w="2136" w:type="dxa"/>
            <w:shd w:val="clear" w:color="auto" w:fill="FFFFFF" w:themeFill="background1"/>
            <w:vAlign w:val="top"/>
          </w:tcPr>
          <w:p>
            <w:pPr>
              <w:spacing w:line="300" w:lineRule="exact"/>
              <w:rPr>
                <w:rFonts w:hint="eastAsia" w:ascii="Times New Roman" w:hAnsi="Times New Roman" w:eastAsia="宋体" w:cs="Times New Roman"/>
                <w:kern w:val="2"/>
                <w:sz w:val="21"/>
                <w:szCs w:val="21"/>
                <w:highlight w:val="cyan"/>
                <w:lang w:val="en-US" w:eastAsia="zh-CN" w:bidi="ar-SA"/>
              </w:rPr>
            </w:pPr>
          </w:p>
        </w:tc>
        <w:tc>
          <w:tcPr>
            <w:tcW w:w="845" w:type="dxa"/>
            <w:tcBorders>
              <w:right w:val="single" w:color="auto" w:sz="8" w:space="0"/>
            </w:tcBorders>
            <w:shd w:val="clear" w:color="auto" w:fill="FFFFFF" w:themeFill="background1"/>
            <w:vAlign w:val="top"/>
          </w:tcPr>
          <w:p>
            <w:pPr>
              <w:snapToGrid w:val="0"/>
              <w:spacing w:line="320" w:lineRule="exact"/>
              <w:rPr>
                <w:rFonts w:hint="default" w:ascii="Times New Roman" w:hAnsi="Times New Roman" w:eastAsia="宋体" w:cs="Times New Roman"/>
                <w:kern w:val="2"/>
                <w:sz w:val="21"/>
                <w:szCs w:val="21"/>
                <w:highlight w:val="cyan"/>
                <w:lang w:val="en-US" w:eastAsia="zh-CN" w:bidi="ar-SA"/>
              </w:rPr>
            </w:pPr>
            <w:r>
              <w:rPr>
                <w:rFonts w:hint="eastAsia" w:ascii="Times New Roman" w:hAnsi="Times New Roman" w:eastAsia="宋体" w:cs="Times New Roman"/>
                <w:kern w:val="2"/>
                <w:sz w:val="21"/>
                <w:szCs w:val="21"/>
                <w:highlight w:val="none"/>
                <w:lang w:val="en-US" w:eastAsia="zh-CN" w:bidi="ar-SA"/>
              </w:rPr>
              <w:t>A</w:t>
            </w:r>
          </w:p>
        </w:tc>
      </w:tr>
    </w:tbl>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3N2UwYzRjODcyYjBmZWI4OGFkMDIyNTk1M2M5ZTMifQ=="/>
  </w:docVars>
  <w:rsids>
    <w:rsidRoot w:val="00000000"/>
    <w:rsid w:val="058154AD"/>
    <w:rsid w:val="0DA0371E"/>
    <w:rsid w:val="1E097F1D"/>
    <w:rsid w:val="25837AD6"/>
    <w:rsid w:val="3550635A"/>
    <w:rsid w:val="485D3446"/>
    <w:rsid w:val="489F5EFE"/>
    <w:rsid w:val="4E040AA1"/>
    <w:rsid w:val="615770ED"/>
    <w:rsid w:val="66EF7D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 w:type="paragraph" w:customStyle="1" w:styleId="15">
    <w:name w:val="Table Paragraph"/>
    <w:basedOn w:val="1"/>
    <w:qFormat/>
    <w:uiPriority w:val="1"/>
    <w:rPr>
      <w:rFonts w:ascii="宋体" w:hAnsi="宋体" w:eastAsia="宋体" w:cs="宋体"/>
      <w:lang w:val="en-US"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2917</Words>
  <Characters>4798</Characters>
  <Lines>37</Lines>
  <Paragraphs>10</Paragraphs>
  <TotalTime>2</TotalTime>
  <ScaleCrop>false</ScaleCrop>
  <LinksUpToDate>false</LinksUpToDate>
  <CharactersWithSpaces>5076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肖新龙</cp:lastModifiedBy>
  <dcterms:modified xsi:type="dcterms:W3CDTF">2022-08-22T08:05:09Z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2052-11.1.0.12302</vt:lpwstr>
  </property>
</Properties>
</file>