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主管领导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白孝华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/闵雄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eastAsia="zh-CN"/>
              </w:rPr>
              <w:t>喻荣秋、赵娟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0" w:name="审核日期"/>
            <w:r>
              <w:t>2022年</w:t>
            </w:r>
            <w:r>
              <w:rPr>
                <w:rFonts w:hint="eastAsia"/>
                <w:lang w:val="en-US" w:eastAsia="zh-CN"/>
              </w:rPr>
              <w:t xml:space="preserve"> 8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17 </w:t>
            </w:r>
            <w:r>
              <w:t>日</w:t>
            </w:r>
            <w:r>
              <w:rPr>
                <w:rFonts w:hint="eastAsia"/>
                <w:lang w:eastAsia="zh-CN"/>
              </w:rPr>
              <w:t>上午</w:t>
            </w:r>
            <w:r>
              <w:rPr>
                <w:rFonts w:hint="eastAsia"/>
                <w:lang w:val="en-US" w:eastAsia="zh-CN"/>
              </w:rPr>
              <w:t>-18日下午</w:t>
            </w:r>
            <w:r>
              <w:t xml:space="preserve"> </w:t>
            </w:r>
            <w:bookmarkEnd w:id="0"/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pStyle w:val="14"/>
              <w:spacing w:after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Q</w:t>
            </w:r>
            <w:r>
              <w:rPr>
                <w:rFonts w:ascii="宋体" w:hAnsi="宋体" w:eastAsia="宋体"/>
                <w:sz w:val="21"/>
                <w:szCs w:val="21"/>
              </w:rPr>
              <w:t>MS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8.6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8.7；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6.2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7.1.5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14"/>
              <w:spacing w:after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EMS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6.1.2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8.1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8.2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6.2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r>
              <w:rPr>
                <w:rFonts w:hint="eastAsia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QE5.3</w:t>
            </w:r>
          </w:p>
        </w:tc>
        <w:tc>
          <w:tcPr>
            <w:tcW w:w="10004" w:type="dxa"/>
          </w:tcPr>
          <w:p>
            <w:pPr>
              <w:adjustRightInd w:val="0"/>
              <w:spacing w:line="24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---查管理手册实验室职责如下：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ascii="宋体" w:hAnsi="宋体"/>
                <w:sz w:val="24"/>
              </w:rPr>
              <w:t>负责按国家法规及相关部门标准、规定建立、健全试验室各项管理制度，并遵照落实；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ascii="宋体" w:hAnsi="宋体"/>
                <w:sz w:val="24"/>
              </w:rPr>
              <w:t>负责混凝土相关技术标准、规范等技术资料的搜集、编制及管理；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③</w:t>
            </w:r>
            <w:r>
              <w:rPr>
                <w:rFonts w:ascii="宋体" w:hAnsi="宋体"/>
                <w:sz w:val="24"/>
              </w:rPr>
              <w:t>负责试验、测试、计量设备的保养、管理与周期检定；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④</w:t>
            </w:r>
            <w:r>
              <w:rPr>
                <w:rFonts w:ascii="宋体" w:hAnsi="宋体"/>
                <w:sz w:val="24"/>
              </w:rPr>
              <w:t>对送检原材料及产品样品进行标识和检测，并出具检测报告；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⑤</w:t>
            </w:r>
            <w:r>
              <w:rPr>
                <w:rFonts w:ascii="宋体" w:hAnsi="宋体"/>
                <w:sz w:val="24"/>
              </w:rPr>
              <w:t>负责混凝土配合比的设计、验证，并下达生产配合比；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⑥</w:t>
            </w:r>
            <w:r>
              <w:rPr>
                <w:rFonts w:ascii="宋体" w:hAnsi="宋体"/>
                <w:sz w:val="24"/>
              </w:rPr>
              <w:t>新产品、新工艺和新技术的研究、试验和推广工作；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⑦</w:t>
            </w:r>
            <w:r>
              <w:rPr>
                <w:rFonts w:ascii="宋体" w:hAnsi="宋体"/>
                <w:sz w:val="24"/>
              </w:rPr>
              <w:t>负责原材料、产品相关技术资料、文件的出具、签发、整理保存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⑧</w:t>
            </w:r>
            <w:r>
              <w:rPr>
                <w:rFonts w:ascii="宋体" w:hAnsi="宋体"/>
                <w:sz w:val="24"/>
              </w:rPr>
              <w:t>负责组织混凝土配合比的设计、验证及相关工艺、技术文件的制定，并进行审批；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⑨</w:t>
            </w:r>
            <w:r>
              <w:rPr>
                <w:rFonts w:ascii="宋体" w:hAnsi="宋体"/>
                <w:sz w:val="24"/>
              </w:rPr>
              <w:t>负责质量管理体系的维护与管理。</w:t>
            </w:r>
          </w:p>
          <w:p>
            <w:pPr>
              <w:pStyle w:val="15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——其部门负责人表述与文件规定基本一致。</w:t>
            </w:r>
          </w:p>
          <w:p>
            <w:r>
              <w:rPr>
                <w:rFonts w:hint="eastAsia"/>
                <w:sz w:val="21"/>
                <w:szCs w:val="21"/>
              </w:rPr>
              <w:t>——岗位、职责和权限明确。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2160" w:type="dxa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目标管理</w:t>
            </w:r>
          </w:p>
        </w:tc>
        <w:tc>
          <w:tcPr>
            <w:tcW w:w="960" w:type="dxa"/>
          </w:tcPr>
          <w:p>
            <w:r>
              <w:rPr>
                <w:rFonts w:hint="eastAsia"/>
                <w:sz w:val="21"/>
                <w:szCs w:val="21"/>
                <w:lang w:val="en-US" w:eastAsia="zh-CN"/>
              </w:rPr>
              <w:t>QE6.2</w:t>
            </w:r>
          </w:p>
        </w:tc>
        <w:tc>
          <w:tcPr>
            <w:tcW w:w="10004" w:type="dxa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---本部门的管理目标：查管理目标分解考核结果（2022年01-06月份），显示目标均已达成。</w:t>
            </w:r>
          </w:p>
          <w:p>
            <w:pPr>
              <w:pStyle w:val="4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6209030" cy="995680"/>
                  <wp:effectExtent l="0" t="0" r="1270" b="13970"/>
                  <wp:docPr id="2" name="图片 2" descr="1660704385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607043851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9030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528945" cy="1299210"/>
                  <wp:effectExtent l="0" t="0" r="14605" b="15240"/>
                  <wp:docPr id="3" name="图片 3" descr="1660704432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607044325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45" cy="129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160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E6.1.2</w:t>
            </w:r>
          </w:p>
        </w:tc>
        <w:tc>
          <w:tcPr>
            <w:tcW w:w="10004" w:type="dxa"/>
          </w:tcPr>
          <w:p>
            <w:pPr>
              <w:pStyle w:val="4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环境因素识别与评价控制程序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DGST-CX-2022-02</w:t>
            </w:r>
            <w:r>
              <w:rPr>
                <w:rFonts w:hint="eastAsia"/>
                <w:lang w:eastAsia="zh-CN"/>
              </w:rPr>
              <w:t>，有效文件。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在公司编制的”环境因素识别与评价控制程序”中，对环境因素识别和评价的目的、职责、工作程序和记录的要求均有明确的规定。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AnsiTheme="minorEastAsia" w:eastAsiaTheme="minorEastAsia"/>
                <w:sz w:val="24"/>
                <w:szCs w:val="24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查到《环境因素识别评价表》：已识别生产部的环境因素产生过程包括：</w:t>
            </w:r>
            <w:r>
              <w:rPr>
                <w:rFonts w:hint="eastAsia" w:ascii="宋体" w:hAnsi="宋体" w:cs="宋体"/>
                <w:kern w:val="0"/>
                <w:szCs w:val="21"/>
              </w:rPr>
              <w:t>砼搅拌机、振动台、振筛机等运转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、各类废弃试块、化学试剂的废液排放、化学试剂容器的废弃</w:t>
            </w:r>
            <w:r>
              <w:rPr>
                <w:rFonts w:hAnsiTheme="minorEastAsia" w:eastAsiaTheme="minorEastAsia"/>
                <w:sz w:val="24"/>
                <w:szCs w:val="24"/>
              </w:rPr>
              <w:t>等过程中噪声的排放，能源的消耗，废水、废渣的排放、固废的废弃等，在环境评价过程中考虑到环境影响、三种时态和三种状态等。使用分级评分的方式。基本合理。</w:t>
            </w:r>
          </w:p>
          <w:p>
            <w:pPr>
              <w:spacing w:beforeLines="30" w:afterLines="30" w:line="288" w:lineRule="auto"/>
              <w:ind w:firstLine="480" w:firstLineChars="200"/>
              <w:rPr>
                <w:rFonts w:hint="eastAsia"/>
                <w:lang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查到《重要环境因素清单》已识别重要环境因素包括：</w:t>
            </w:r>
            <w:r>
              <w:rPr>
                <w:rFonts w:hint="eastAsia" w:hAnsiTheme="minorEastAsia" w:eastAsiaTheme="minorEastAsia"/>
                <w:sz w:val="24"/>
                <w:szCs w:val="24"/>
              </w:rPr>
              <w:t>噪音排放、</w:t>
            </w:r>
            <w:r>
              <w:rPr>
                <w:rFonts w:hAnsiTheme="minorEastAsia" w:eastAsiaTheme="minorEastAsia"/>
                <w:sz w:val="24"/>
                <w:szCs w:val="24"/>
              </w:rPr>
              <w:t>明确控制措施和责任部门，基本合理。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2160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Q7.1.5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公司有《产品监视和测量资源控制程序》。</w:t>
            </w:r>
          </w:p>
          <w:p>
            <w:pPr>
              <w:pStyle w:val="4"/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lang w:val="en-US" w:eastAsia="zh-CN" w:bidi="ar-SA"/>
              </w:rPr>
              <w:t>查见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lang w:val="en-US" w:eastAsia="zh-CN" w:bidi="ar-SA"/>
              </w:rPr>
              <w:t>有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lang w:val="en-US" w:eastAsia="zh-CN" w:bidi="ar-SA"/>
              </w:rPr>
              <w:t>电子天平、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lang w:val="en-US" w:eastAsia="zh-CN" w:bidi="ar-SA"/>
              </w:rPr>
              <w:t>水泥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lang w:val="en-US" w:eastAsia="zh-CN" w:bidi="ar-SA"/>
              </w:rPr>
              <w:t>砂浆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lang w:val="en-US" w:eastAsia="zh-CN" w:bidi="ar-SA"/>
              </w:rPr>
              <w:t>流动度测定仪、水泥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lang w:val="en-US" w:eastAsia="zh-CN" w:bidi="ar-SA"/>
              </w:rPr>
              <w:t>胶砂搅拌机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lang w:val="en-US" w:eastAsia="zh-CN" w:bidi="ar-SA"/>
              </w:rPr>
              <w:t>、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lang w:val="en-US" w:eastAsia="zh-CN" w:bidi="ar-SA"/>
              </w:rPr>
              <w:t xml:space="preserve"> 水泥砂浆振实台、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lang w:val="en-US" w:eastAsia="zh-CN" w:bidi="ar-SA"/>
              </w:rPr>
              <w:t>标准恒温恒湿养护箱、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lang w:val="en-US" w:eastAsia="zh-CN" w:bidi="ar-SA"/>
              </w:rPr>
              <w:t>数显压力试验机、电动抗析试验机、全自动恒应压力试验机、砼贯入阻力仪、压碎指标测定仪、电子汽车衡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lang w:val="en-US" w:eastAsia="zh-CN" w:bidi="ar-SA"/>
              </w:rPr>
              <w:t>等监视测量设备的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lang w:val="en-US" w:eastAsia="zh-CN" w:bidi="ar-SA"/>
              </w:rPr>
              <w:t>校准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lang w:val="en-US" w:eastAsia="zh-CN" w:bidi="ar-SA"/>
              </w:rPr>
              <w:t>报告，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lang w:val="en-US" w:eastAsia="zh-CN" w:bidi="ar-SA"/>
              </w:rPr>
              <w:t>自动加压混凝土抗渗仪等监视测量设备，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lang w:val="en-US" w:eastAsia="zh-CN" w:bidi="ar-SA"/>
              </w:rPr>
              <w:t>有效期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lang w:val="en-US" w:eastAsia="zh-CN" w:bidi="ar-SA"/>
              </w:rPr>
              <w:t>为2023年6月22日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lang w:val="en-US" w:eastAsia="zh-CN" w:bidi="ar-SA"/>
              </w:rPr>
              <w:t>。</w:t>
            </w:r>
          </w:p>
          <w:p>
            <w:pPr>
              <w:pStyle w:val="4"/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lang w:val="en-US" w:eastAsia="zh-CN" w:bidi="ar-SA"/>
              </w:rPr>
              <w:drawing>
                <wp:inline distT="0" distB="0" distL="114300" distR="114300">
                  <wp:extent cx="1031875" cy="1419225"/>
                  <wp:effectExtent l="0" t="0" r="15875" b="9525"/>
                  <wp:docPr id="16" name="图片 16" descr="717fefe53594e26622868da99cc7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17fefe53594e26622868da99cc75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7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lang w:val="en-US" w:eastAsia="zh-CN" w:bidi="ar-SA"/>
              </w:rPr>
              <w:drawing>
                <wp:inline distT="0" distB="0" distL="114300" distR="114300">
                  <wp:extent cx="1031240" cy="1418590"/>
                  <wp:effectExtent l="0" t="0" r="16510" b="10160"/>
                  <wp:docPr id="17" name="图片 17" descr="3、水泥胶砂流动测定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、水泥胶砂流动测定仪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lang w:val="en-US" w:eastAsia="zh-CN" w:bidi="ar-SA"/>
              </w:rPr>
              <w:drawing>
                <wp:inline distT="0" distB="0" distL="114300" distR="114300">
                  <wp:extent cx="1023620" cy="1407795"/>
                  <wp:effectExtent l="0" t="0" r="5080" b="1905"/>
                  <wp:docPr id="18" name="图片 18" descr="22标准养护室控温控湿设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2标准养护室控温控湿设备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lang w:val="en-US" w:eastAsia="zh-CN" w:bidi="ar-SA"/>
              </w:rPr>
              <w:drawing>
                <wp:inline distT="0" distB="0" distL="114300" distR="114300">
                  <wp:extent cx="1002030" cy="1379220"/>
                  <wp:effectExtent l="0" t="0" r="7620" b="11430"/>
                  <wp:docPr id="19" name="图片 19" descr="9、数显压力试验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9、数显压力试验机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rPr>
                <w:rFonts w:hint="default" w:cs="Times New Roman"/>
                <w:color w:val="000000" w:themeColor="text1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4"/>
                <w:lang w:val="en-US" w:eastAsia="zh-CN" w:bidi="ar-SA"/>
              </w:rPr>
              <w:t>——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lang w:val="en-US" w:eastAsia="zh-CN" w:bidi="ar-SA"/>
              </w:rPr>
              <w:t xml:space="preserve"> 基本符合。</w:t>
            </w:r>
          </w:p>
        </w:tc>
        <w:tc>
          <w:tcPr>
            <w:tcW w:w="1585" w:type="dxa"/>
          </w:tcPr>
          <w:p/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4"/>
            </w:pP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60" w:type="dxa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更改控制</w:t>
            </w:r>
          </w:p>
        </w:tc>
        <w:tc>
          <w:tcPr>
            <w:tcW w:w="960" w:type="dxa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Q8.5.6</w:t>
            </w:r>
          </w:p>
        </w:tc>
        <w:tc>
          <w:tcPr>
            <w:tcW w:w="10004" w:type="dxa"/>
          </w:tcPr>
          <w:p>
            <w:pPr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---负责人介绍，体系运行至今内未发生变更。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产品和服务的放行</w:t>
            </w:r>
          </w:p>
        </w:tc>
        <w:tc>
          <w:tcPr>
            <w:tcW w:w="960" w:type="dxa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Q8.6</w:t>
            </w:r>
          </w:p>
        </w:tc>
        <w:tc>
          <w:tcPr>
            <w:tcW w:w="10004" w:type="dxa"/>
          </w:tcPr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Arial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eastAsia="zh-CN"/>
              </w:rPr>
              <w:t>公司有</w:t>
            </w:r>
            <w:r>
              <w:rPr>
                <w:rFonts w:hint="eastAsia" w:ascii="宋体" w:hAnsi="宋体" w:cs="Arial"/>
                <w:color w:val="000000" w:themeColor="text1"/>
                <w:szCs w:val="21"/>
              </w:rPr>
              <w:t>采购控制程序</w:t>
            </w:r>
            <w:r>
              <w:rPr>
                <w:rFonts w:hint="eastAsia" w:ascii="宋体" w:hAnsi="宋体" w:cs="Arial"/>
                <w:color w:val="000000" w:themeColor="text1"/>
                <w:szCs w:val="21"/>
              </w:rPr>
              <w:tab/>
            </w:r>
            <w:r>
              <w:rPr>
                <w:rFonts w:hint="eastAsia" w:ascii="宋体" w:hAnsi="宋体" w:cs="Arial"/>
                <w:color w:val="000000" w:themeColor="text1"/>
                <w:szCs w:val="21"/>
              </w:rPr>
              <w:t>DGST-CX-2022-12</w:t>
            </w:r>
            <w:r>
              <w:rPr>
                <w:rFonts w:hint="eastAsia" w:ascii="宋体" w:hAnsi="宋体" w:cs="Arial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000000" w:themeColor="text1"/>
                <w:szCs w:val="21"/>
              </w:rPr>
              <w:t>生产和服务控制程序</w:t>
            </w:r>
            <w:r>
              <w:rPr>
                <w:rFonts w:hint="eastAsia" w:ascii="宋体" w:hAnsi="宋体" w:cs="Arial"/>
                <w:color w:val="000000" w:themeColor="text1"/>
                <w:szCs w:val="21"/>
              </w:rPr>
              <w:tab/>
            </w:r>
            <w:r>
              <w:rPr>
                <w:rFonts w:hint="eastAsia" w:ascii="宋体" w:hAnsi="宋体" w:cs="Arial"/>
                <w:color w:val="000000" w:themeColor="text1"/>
                <w:szCs w:val="21"/>
              </w:rPr>
              <w:t>DGST-CX-2022-13</w:t>
            </w:r>
            <w:r>
              <w:rPr>
                <w:rFonts w:hint="eastAsia" w:ascii="宋体" w:hAnsi="宋体" w:cs="Arial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000000" w:themeColor="text1"/>
                <w:szCs w:val="21"/>
              </w:rPr>
              <w:t>产品的监视和测量控制程序</w:t>
            </w:r>
            <w:r>
              <w:rPr>
                <w:rFonts w:hint="eastAsia" w:ascii="宋体" w:hAnsi="宋体" w:cs="Arial"/>
                <w:color w:val="000000" w:themeColor="text1"/>
                <w:szCs w:val="21"/>
              </w:rPr>
              <w:tab/>
            </w:r>
            <w:r>
              <w:rPr>
                <w:rFonts w:hint="eastAsia" w:ascii="宋体" w:hAnsi="宋体" w:cs="Arial"/>
                <w:color w:val="000000" w:themeColor="text1"/>
                <w:szCs w:val="21"/>
              </w:rPr>
              <w:t>DGST-CX-2022-15</w:t>
            </w:r>
            <w:r>
              <w:rPr>
                <w:rFonts w:hint="eastAsia" w:ascii="宋体" w:hAnsi="宋体" w:cs="Arial"/>
                <w:color w:val="000000" w:themeColor="text1"/>
                <w:szCs w:val="21"/>
                <w:lang w:eastAsia="zh-CN"/>
              </w:rPr>
              <w:t>有效文件。规定了</w:t>
            </w:r>
            <w:r>
              <w:rPr>
                <w:rFonts w:hint="eastAsia" w:ascii="宋体" w:hAnsi="宋体" w:cs="Arial"/>
                <w:szCs w:val="21"/>
              </w:rPr>
              <w:t>原材料、过程产品、成品检验相应的检验规范。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cs="Arial"/>
                <w:color w:val="000000" w:themeColor="text1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</w:rPr>
              <w:t>原材料检验，检验依据：原材料检验规程，明确了原材料的验收要求。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cs="Arial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eastAsia="zh-CN"/>
              </w:rPr>
              <w:t>查见湖北鑫城普瑞化学科技有限公司聚羧酸高性能减水剂检验报告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eastAsia="zh-CN"/>
              </w:rPr>
              <w:t>检验日期</w:t>
            </w: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  <w:t>2022.5.6，产品批号2022050601，检验标准：GB/T8076-2008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  <w:t>检验结果：产品符合GB/T8076-2008的要求，准予出厂。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  <w:t>粉煤灰检验报告：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  <w:t>检验日期2022.7.22  检验标准：GB/T1596-2017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  <w:t>检验结果：所检结果符合GB/T1596-2017混凝土用粉煤灰标准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cs="Arial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  <w:t>附粉煤灰出厂合格证。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cs="Arial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FF0000"/>
                <w:szCs w:val="21"/>
                <w:lang w:val="en-US" w:eastAsia="zh-CN"/>
              </w:rPr>
              <w:drawing>
                <wp:inline distT="0" distB="0" distL="114300" distR="114300">
                  <wp:extent cx="939800" cy="1137285"/>
                  <wp:effectExtent l="0" t="0" r="12700" b="5715"/>
                  <wp:docPr id="15" name="图片 15" descr="76c7d7071ada3dd7c82ba7055e64f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6c7d7071ada3dd7c82ba7055e64f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3980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Arial"/>
                <w:szCs w:val="21"/>
                <w:lang w:eastAsia="zh-CN"/>
              </w:rPr>
              <w:drawing>
                <wp:inline distT="0" distB="0" distL="114300" distR="114300">
                  <wp:extent cx="1005205" cy="1196340"/>
                  <wp:effectExtent l="0" t="0" r="4445" b="3810"/>
                  <wp:docPr id="14" name="图片 14" descr="3745b37a60731b0a88e36bee0a4b7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745b37a60731b0a88e36bee0a4b75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成品检验：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查见预拌混凝土三方交货检验记录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混凝土标号</w:t>
            </w:r>
            <w:r>
              <w:rPr>
                <w:rFonts w:hint="eastAsia"/>
                <w:lang w:val="en-US" w:eastAsia="zh-CN"/>
              </w:rPr>
              <w:t>:C30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  <w:t xml:space="preserve">检验日期2022.1.20  检验标准：GB/T14902    GB/T50080  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有需方、供方、监理方的签字盖章。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查见预拌混凝土三方交货检验记录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混凝土标号</w:t>
            </w:r>
            <w:r>
              <w:rPr>
                <w:rFonts w:hint="eastAsia"/>
                <w:lang w:val="en-US" w:eastAsia="zh-CN"/>
              </w:rPr>
              <w:t>:C30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cs="Arial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Cs w:val="21"/>
                <w:lang w:val="en-US" w:eastAsia="zh-CN"/>
              </w:rPr>
              <w:t xml:space="preserve">检验日期2022.5.25  检验标准：GB/T14902    GB/T50080  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有需方、供方、监理方的签字盖章。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default" w:hAnsi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72160" cy="976630"/>
                  <wp:effectExtent l="0" t="0" r="8890" b="13970"/>
                  <wp:docPr id="7" name="图片 7" descr="0cb8ec20a7bd8cc9488cbe8a2d2ad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cb8ec20a7bd8cc9488cbe8a2d2adb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hAnsi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83590" cy="979805"/>
                  <wp:effectExtent l="0" t="0" r="16510" b="10795"/>
                  <wp:docPr id="13" name="图片 13" descr="5da76a5fd1c20a2e876a695e581fc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da76a5fd1c20a2e876a695e581fc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83590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360" w:lineRule="auto"/>
              <w:rPr>
                <w:rFonts w:hint="eastAsia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第三方检验：</w:t>
            </w:r>
          </w:p>
          <w:p>
            <w:pPr>
              <w:spacing w:line="360" w:lineRule="auto"/>
              <w:rPr>
                <w:rFonts w:hint="default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查见检测报告：2022.8.18，  委托编号;22000664  </w:t>
            </w:r>
            <w:r>
              <w:rPr>
                <w:rFonts w:hint="eastAsia" w:ascii="宋体" w:hAnsi="宋体" w:cs="Arial"/>
                <w:szCs w:val="21"/>
              </w:rPr>
              <w:t>检验依据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  GB/T50081-2019</w:t>
            </w:r>
          </w:p>
          <w:p>
            <w:pPr>
              <w:spacing w:line="360" w:lineRule="auto"/>
              <w:rPr>
                <w:rFonts w:hint="default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混凝土抗压强度检验报告、建设用卵石、碎石检测报告、建设用砂检验报告，由湖北业成建设工程质量检测有限公司检验。检验合格。</w:t>
            </w:r>
          </w:p>
          <w:p>
            <w:pPr>
              <w:pStyle w:val="4"/>
              <w:rPr>
                <w:rFonts w:hint="eastAsia" w:hAnsi="宋体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rPr>
                <w:rFonts w:hint="default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hAnsi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59485" cy="1279525"/>
                  <wp:effectExtent l="0" t="0" r="12065" b="15875"/>
                  <wp:docPr id="1" name="图片 1" descr="6094b1df7908ef8c1d7edf29b213e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094b1df7908ef8c1d7edf29b213ed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85" cy="12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hAnsi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29005" cy="1238885"/>
                  <wp:effectExtent l="0" t="0" r="4445" b="18415"/>
                  <wp:docPr id="5" name="图片 5" descr="7e9d9aaf73030bb0da13c7d673c7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e9d9aaf73030bb0da13c7d673c79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123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hAnsi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44245" cy="1258570"/>
                  <wp:effectExtent l="0" t="0" r="8255" b="17780"/>
                  <wp:docPr id="6" name="图片 6" descr="7e9d9aaf73030bb0da13c7d673c7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e9d9aaf73030bb0da13c7d673c79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rPr>
                <w:rFonts w:hint="eastAsia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不合格控制</w:t>
            </w:r>
          </w:p>
        </w:tc>
        <w:tc>
          <w:tcPr>
            <w:tcW w:w="960" w:type="dxa"/>
          </w:tcPr>
          <w:p>
            <w:pPr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Q8.7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公司有不合格品控制程序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DGST-CX-2022-16，有效文件。</w:t>
            </w:r>
          </w:p>
          <w:p>
            <w:pPr>
              <w:spacing w:beforeLines="20" w:afterLines="20" w:line="288" w:lineRule="auto"/>
              <w:ind w:firstLine="480" w:firstLineChars="200"/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AnsiTheme="minorEastAsia" w:eastAsiaTheme="minorEastAsia"/>
                <w:sz w:val="24"/>
                <w:szCs w:val="24"/>
              </w:rPr>
              <w:t>提供的《不合格品控制程序》中规定了对不合格品的标识、记录、隔离和处置的控制要求。采购检验中发现的不合格，要求做好相应的标识，并及时通知采购人员作退/换货处理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AnsiTheme="minorEastAsia" w:eastAsiaTheme="minorEastAsia"/>
                <w:sz w:val="24"/>
                <w:szCs w:val="24"/>
              </w:rPr>
              <w:t>生产过程</w:t>
            </w:r>
            <w:r>
              <w:rPr>
                <w:rFonts w:hint="eastAsia" w:hAnsiTheme="minorEastAsia" w:eastAsiaTheme="minorEastAsia"/>
                <w:sz w:val="24"/>
                <w:szCs w:val="24"/>
                <w:lang w:eastAsia="zh-CN"/>
              </w:rPr>
              <w:t>无不合格，有砼退货处理。</w:t>
            </w:r>
          </w:p>
          <w:p>
            <w:pPr>
              <w:pStyle w:val="4"/>
              <w:rPr>
                <w:rFonts w:hint="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t>查见2022年度原材料不合格处理记录，2022.1-8月，有原材料拍照、生产厂家、不合格项、处理方式、检测人等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</w:rPr>
              <w:t>。</w:t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eastAsia="zh-CN"/>
              </w:rPr>
              <w:t>处理方式均为拒收。</w:t>
            </w:r>
          </w:p>
          <w:p>
            <w:pPr>
              <w:pStyle w:val="4"/>
              <w:rPr>
                <w:rFonts w:hint="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eastAsia="zh-CN"/>
              </w:rPr>
              <w:t>查见砼退货处理记录：有工程名称、施工部位，强度等级、发车时间、回站时间、退货原因分析、处理方式等。对每项退货进行原因分析，均进行了处理。</w:t>
            </w:r>
          </w:p>
          <w:p>
            <w:pPr>
              <w:pStyle w:val="4"/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89940" cy="1744980"/>
                  <wp:effectExtent l="0" t="0" r="10160" b="7620"/>
                  <wp:docPr id="8" name="图片 8" descr="b555fc7dc4a6c2cdf06dd9989d682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555fc7dc4a6c2cdf06dd9989d682c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40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hAnsiTheme="minorEastAsia" w:eastAsiaTheme="minorEastAsia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86915" cy="1637665"/>
                  <wp:effectExtent l="0" t="0" r="13335" b="635"/>
                  <wp:docPr id="9" name="图片 9" descr="2d92ae770d2dfb2abc6eaebbf07e2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d92ae770d2dfb2abc6eaebbf07e2ec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915" cy="163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不合格控制基本符合。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eastAsia="宋体" w:cs="宋体"/>
                <w:lang w:eastAsia="zh-CN"/>
              </w:rPr>
            </w:pPr>
            <w:r>
              <w:rPr>
                <w:rFonts w:hint="eastAsia" w:cs="宋体"/>
                <w:lang w:eastAsia="zh-CN"/>
              </w:rPr>
              <w:t>运行控制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实验室制定了砂石室管理制度、实验室仪器设备管理员职责、原始数据及试验报告管理制度、事故处理制度等</w:t>
            </w:r>
            <w:r>
              <w:rPr>
                <w:rFonts w:hint="eastAsia"/>
                <w:lang w:val="en-US" w:eastAsia="zh-CN"/>
              </w:rPr>
              <w:t>34项。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现场观察：</w:t>
            </w:r>
            <w:r>
              <w:rPr>
                <w:rFonts w:hint="eastAsia"/>
                <w:lang w:eastAsia="zh-CN"/>
              </w:rPr>
              <w:t>实验室</w:t>
            </w:r>
            <w:r>
              <w:rPr>
                <w:rFonts w:hint="eastAsia"/>
              </w:rPr>
              <w:t>干净整洁，照明、通风良好；配置有空调，温度适宜；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查见配置有灭火器、消防栓，状态良好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检测设备进行了检定校准，墙上有检测设备的操作规程。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恒加载压力试验机、水泥胶砂搅拌机、电动抗折机、负压筛折仪FY-150、水泥净浆搅拌机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水泥胶砂流动度测定仪、电动鼓风恒温干燥箱、标准恒温恒湿养护箱、电子磅秤、强制式混凝土搅拌机、养护室自动控制仪、震击式标准振筛机 等24台件。粘贴了合格标识。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236345" cy="927735"/>
                  <wp:effectExtent l="0" t="0" r="1905" b="5715"/>
                  <wp:docPr id="10" name="图片 10" descr="6a2b30ac520015838a85166ca474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a2b30ac520015838a85166ca47406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45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729615" cy="972185"/>
                  <wp:effectExtent l="0" t="0" r="13335" b="18415"/>
                  <wp:docPr id="11" name="图片 11" descr="c1a04e9a9b7e7b0c7e35157642987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1a04e9a9b7e7b0c7e35157642987df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711835" cy="948690"/>
                  <wp:effectExtent l="0" t="0" r="12065" b="3810"/>
                  <wp:docPr id="12" name="图片 12" descr="0ba3dcb9cc2890e77e877c26e5612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ba3dcb9cc2890e77e877c26e56128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查见原料配料表：</w:t>
            </w:r>
          </w:p>
          <w:p>
            <w:pPr>
              <w:pStyle w:val="2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施工部位：抹灰、砌筑、地坪</w:t>
            </w:r>
          </w:p>
          <w:p>
            <w:pPr>
              <w:pStyle w:val="2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标号：DPM5-20</w:t>
            </w:r>
          </w:p>
          <w:p>
            <w:pPr>
              <w:pStyle w:val="2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原材料配合比：水泥、粉煤灰、砂、外加剂。</w:t>
            </w:r>
          </w:p>
          <w:p>
            <w:pPr>
              <w:pStyle w:val="2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配合比编号：SJPB2022001-SJPB2022007</w:t>
            </w:r>
          </w:p>
          <w:p>
            <w:pPr>
              <w:pStyle w:val="2"/>
              <w:rPr>
                <w:rFonts w:hint="default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基本符合。</w:t>
            </w:r>
          </w:p>
        </w:tc>
        <w:tc>
          <w:tcPr>
            <w:tcW w:w="158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160" w:type="dxa"/>
          </w:tcPr>
          <w:p>
            <w:r>
              <w:rPr>
                <w:rFonts w:hint="eastAsia" w:cs="宋体"/>
              </w:rPr>
              <w:t>应急准备和响应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E8.2</w:t>
            </w:r>
          </w:p>
        </w:tc>
        <w:tc>
          <w:tcPr>
            <w:tcW w:w="10004" w:type="dxa"/>
          </w:tcPr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公司有应急准备和响应控制程序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DGST-CX-2022-14，有效文件。 实验室人员参加了2022.4.3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 xml:space="preserve">0日生产部组织的火灾应急演练，有演练结果评价： 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mYzZkNjY3OTU4NDczNmE2MzQyY2ZjMDNmYTJmNDMifQ=="/>
  </w:docVars>
  <w:rsids>
    <w:rsidRoot w:val="00000000"/>
    <w:rsid w:val="00195FE4"/>
    <w:rsid w:val="011253ED"/>
    <w:rsid w:val="016C6D5F"/>
    <w:rsid w:val="03500781"/>
    <w:rsid w:val="03FF434E"/>
    <w:rsid w:val="040D00EE"/>
    <w:rsid w:val="04643A25"/>
    <w:rsid w:val="0684130B"/>
    <w:rsid w:val="07E15B19"/>
    <w:rsid w:val="0A8305EF"/>
    <w:rsid w:val="0B541D6E"/>
    <w:rsid w:val="0E52784C"/>
    <w:rsid w:val="0E875077"/>
    <w:rsid w:val="11691059"/>
    <w:rsid w:val="16C81832"/>
    <w:rsid w:val="17B2563C"/>
    <w:rsid w:val="1841611B"/>
    <w:rsid w:val="184B6451"/>
    <w:rsid w:val="1B281F85"/>
    <w:rsid w:val="1CA7318C"/>
    <w:rsid w:val="21866D95"/>
    <w:rsid w:val="24625F84"/>
    <w:rsid w:val="26A47037"/>
    <w:rsid w:val="273C4C4D"/>
    <w:rsid w:val="27915437"/>
    <w:rsid w:val="27BE14CC"/>
    <w:rsid w:val="285B4ACF"/>
    <w:rsid w:val="28916E8B"/>
    <w:rsid w:val="2B1C518D"/>
    <w:rsid w:val="2E99262C"/>
    <w:rsid w:val="314E61A2"/>
    <w:rsid w:val="33B478CB"/>
    <w:rsid w:val="33FA6B2E"/>
    <w:rsid w:val="34A90087"/>
    <w:rsid w:val="441B3B85"/>
    <w:rsid w:val="44305F71"/>
    <w:rsid w:val="469C10EB"/>
    <w:rsid w:val="475A6DC9"/>
    <w:rsid w:val="493E3092"/>
    <w:rsid w:val="4A975483"/>
    <w:rsid w:val="4BCE3AD9"/>
    <w:rsid w:val="4C453CFD"/>
    <w:rsid w:val="4EBB48DA"/>
    <w:rsid w:val="4F365D17"/>
    <w:rsid w:val="500945ED"/>
    <w:rsid w:val="510C4F82"/>
    <w:rsid w:val="514A38ED"/>
    <w:rsid w:val="52FF4965"/>
    <w:rsid w:val="54047730"/>
    <w:rsid w:val="54DA61DE"/>
    <w:rsid w:val="55E4045D"/>
    <w:rsid w:val="56CD00C9"/>
    <w:rsid w:val="59815D9D"/>
    <w:rsid w:val="5A045E6B"/>
    <w:rsid w:val="5BA7468F"/>
    <w:rsid w:val="5BF80136"/>
    <w:rsid w:val="5C3B218C"/>
    <w:rsid w:val="5D2D075A"/>
    <w:rsid w:val="5FBF585A"/>
    <w:rsid w:val="625F0260"/>
    <w:rsid w:val="62AC19B2"/>
    <w:rsid w:val="66466EE0"/>
    <w:rsid w:val="67A21D44"/>
    <w:rsid w:val="688F051A"/>
    <w:rsid w:val="6B27080D"/>
    <w:rsid w:val="6D74368B"/>
    <w:rsid w:val="6DBA749C"/>
    <w:rsid w:val="6DF5784D"/>
    <w:rsid w:val="714A1482"/>
    <w:rsid w:val="75C41F55"/>
    <w:rsid w:val="7BB31E82"/>
    <w:rsid w:val="7F8D0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4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1986</Words>
  <Characters>2364</Characters>
  <Lines>1</Lines>
  <Paragraphs>1</Paragraphs>
  <TotalTime>5</TotalTime>
  <ScaleCrop>false</ScaleCrop>
  <LinksUpToDate>false</LinksUpToDate>
  <CharactersWithSpaces>2428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匡吉文</cp:lastModifiedBy>
  <dcterms:modified xsi:type="dcterms:W3CDTF">2022-12-11T05:39:41Z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7DFCEC2663F8433AAB0395BE4DD38EEB</vt:lpwstr>
  </property>
  <property fmtid="{D5CDD505-2E9C-101B-9397-08002B2CF9AE}" pid="3" name="KSOProductBuildVer">
    <vt:lpwstr>2052-11.1.0.12132</vt:lpwstr>
  </property>
</Properties>
</file>