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9510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9510" w:type="dxa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办公室     </w:t>
            </w:r>
            <w:r>
              <w:rPr>
                <w:rFonts w:hint="eastAsia"/>
                <w:sz w:val="21"/>
                <w:szCs w:val="21"/>
              </w:rPr>
              <w:t>主管领导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:邓琴   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夏彬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10" w:type="dxa"/>
            <w:vAlign w:val="center"/>
          </w:tcPr>
          <w:p>
            <w:pPr>
              <w:spacing w:before="120"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eastAsia="zh-CN"/>
              </w:rPr>
              <w:t>喻荣秋、赵娟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bookmarkStart w:id="0" w:name="审核日期"/>
            <w:r>
              <w:rPr>
                <w:sz w:val="21"/>
                <w:szCs w:val="21"/>
              </w:rPr>
              <w:t>2022年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eastAsia="zh-CN"/>
              </w:rPr>
              <w:t>下午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-20日</w:t>
            </w:r>
            <w:r>
              <w:rPr>
                <w:sz w:val="21"/>
                <w:szCs w:val="21"/>
              </w:rPr>
              <w:t xml:space="preserve"> </w:t>
            </w:r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上午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2079" w:type="dxa"/>
            <w:vMerge w:val="continue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510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>
            <w:pPr>
              <w:spacing w:line="3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21"/>
                <w:szCs w:val="21"/>
              </w:rPr>
              <w:t>QMS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5.3，6.2、</w:t>
            </w:r>
            <w:r>
              <w:rPr>
                <w:rFonts w:hint="eastAsia" w:cs="Arial"/>
                <w:sz w:val="21"/>
                <w:szCs w:val="21"/>
              </w:rPr>
              <w:t>7.1.2，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7.4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9.1.1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9.1.3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EMS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Arial"/>
                <w:sz w:val="21"/>
                <w:szCs w:val="21"/>
              </w:rPr>
              <w:t>5.3，6.2，7.2，7.3，7.4 、7.5，9.2</w:t>
            </w:r>
            <w:r>
              <w:rPr>
                <w:rFonts w:hint="eastAsia" w:cs="Arial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，8.1，8.2，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Arial"/>
                <w:sz w:val="21"/>
                <w:szCs w:val="21"/>
              </w:rPr>
              <w:t>9.1.1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079" w:type="dxa"/>
            <w:vMerge w:val="continue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60" w:type="dxa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组织的岗位、职责和权限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QES5.3</w:t>
            </w:r>
          </w:p>
        </w:tc>
        <w:tc>
          <w:tcPr>
            <w:tcW w:w="9510" w:type="dxa"/>
          </w:tcPr>
          <w:p>
            <w:pPr>
              <w:adjustRightInd w:val="0"/>
              <w:spacing w:line="24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---办公室职责具体如下：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1）公司质量、环境和职业健康安全管理体系的归口管理。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2）负责组织内部审核、外部审核、管理评审中纠正和预防措施的实施和内部沟通工作；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3）编制岗位能力要求，负责组织实施职工培训工作，为质量管理体系有效运行提供合格的人力资源；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4）负责对本公司人员教育和管理工作，不断提高人员的质量意识和素质，做好生产过程中的与其他部门的配合接口工作；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5）负责文件、资料的管理工作；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6）建立劳动管理规章制度，负责职工劳动合同的签订及履行；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11）负责内部工作文件、行业管理文件和其它应予归档材料的及时登记、分类、立卷归档，各类资料的分类存放要科学合理，便于查找。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12）负责及时中止作废标准归档和资料销毁工作。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13）负责公司外来人员的等级，保证公司公共财产的安全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14）负责监督公司员工上下班打卡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15）及时完成公司领导交付的各项临时工作。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16）公司财务统筹管理。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17）做好公司财务分析为企业企业正常运作提供财务支持。</w:t>
            </w:r>
          </w:p>
          <w:p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18）识别并控制本部门的环境因素及危险因素，落实本部门的体系目标和指标。</w:t>
            </w:r>
          </w:p>
          <w:p>
            <w:pPr>
              <w:pStyle w:val="14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——其部门负责人表述与文件规定基本一致。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——岗位、职责和权限明确。</w:t>
            </w: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目标管理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QES6.2</w:t>
            </w:r>
          </w:p>
        </w:tc>
        <w:tc>
          <w:tcPr>
            <w:tcW w:w="9510" w:type="dxa"/>
          </w:tcPr>
          <w:p>
            <w:pPr>
              <w:pStyle w:val="2"/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办公室的管理目标：查管理目标分解考核结果（2022年01-06月份），显示目标均已达成。</w:t>
            </w:r>
          </w:p>
          <w:p>
            <w:pPr>
              <w:pStyle w:val="9"/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公司及本部门的管理目标：查管理目标分解考核结果（2022年01-03月份），显示目标均已达成。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862955" cy="940435"/>
                  <wp:effectExtent l="0" t="0" r="4445" b="12065"/>
                  <wp:docPr id="2" name="图片 2" descr="1660704385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607043851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955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831840" cy="1346200"/>
                  <wp:effectExtent l="0" t="0" r="16510" b="6350"/>
                  <wp:docPr id="3" name="图片 3" descr="1660786192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607861921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184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目标实现控制符合。</w:t>
            </w:r>
          </w:p>
          <w:p>
            <w:pPr>
              <w:pStyle w:val="2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960" w:type="dxa"/>
          </w:tcPr>
          <w:p>
            <w:pPr>
              <w:spacing w:line="240" w:lineRule="auto"/>
              <w:ind w:left="210" w:hanging="210" w:hangingChars="1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E6.1.2E,6.1.3</w:t>
            </w:r>
          </w:p>
        </w:tc>
        <w:tc>
          <w:tcPr>
            <w:tcW w:w="9510" w:type="dxa"/>
          </w:tcPr>
          <w:p>
            <w:pPr>
              <w:pStyle w:val="2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环境因素识别与评价控制程序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DGST-CX-2022-02</w:t>
            </w:r>
            <w:r>
              <w:rPr>
                <w:rFonts w:hint="eastAsia"/>
                <w:lang w:eastAsia="zh-CN"/>
              </w:rPr>
              <w:t>，有效文件。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在公司编制的”环境因素识别与评价控制程序”中，对环境因素识别和评价的目的、职责、工作程序和记录的要求均有明确的规定。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查到《环境因素识别评价表》：已识别生产部的环境因素产生过程包括：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空调氟的泄漏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空调噪音的排放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空调水的排放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电脑光的辐射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传真机墨盒的废弃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纸消耗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水消耗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电消耗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生活污水的排放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生活垃圾的排放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生活垃圾清运遗撒</w:t>
            </w:r>
            <w:r>
              <w:rPr>
                <w:rFonts w:hAnsiTheme="minorEastAsia" w:eastAsiaTheme="minorEastAsia"/>
                <w:sz w:val="24"/>
                <w:szCs w:val="24"/>
              </w:rPr>
              <w:t>等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29项</w:t>
            </w:r>
            <w:r>
              <w:rPr>
                <w:rFonts w:hAnsiTheme="minorEastAsia" w:eastAsiaTheme="minorEastAsia"/>
                <w:sz w:val="24"/>
                <w:szCs w:val="24"/>
              </w:rPr>
              <w:t>，在环境评价过程中考虑到环境影响、三种时态和三种状态等。使用分级评分的方式。基本合理。</w:t>
            </w:r>
          </w:p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查到《重要环境因素清单》已识别重要环境因素包括：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噪音排放、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粉尘排放</w:t>
            </w:r>
            <w:r>
              <w:rPr>
                <w:rFonts w:hAnsiTheme="minorEastAsia" w:eastAsiaTheme="minorEastAsia"/>
                <w:sz w:val="24"/>
                <w:szCs w:val="24"/>
              </w:rPr>
              <w:t>明确控制措施和责任部门，基本合理。</w:t>
            </w: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人员；能力；意识；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Q7.1.2、QE7.2、7.3</w:t>
            </w:r>
          </w:p>
        </w:tc>
        <w:tc>
          <w:tcPr>
            <w:tcW w:w="9510" w:type="dxa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公司</w:t>
            </w:r>
            <w:r>
              <w:rPr>
                <w:rFonts w:hint="eastAsia"/>
                <w:sz w:val="21"/>
                <w:szCs w:val="21"/>
              </w:rPr>
              <w:t>有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培训过程控制程序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DGST-CX-2022-07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信息沟通控制程序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DGST-CX-2022-08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文件控制程序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DGST-CX-2022-09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记录控制程序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DGST-CX-2022-10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核查其管理手册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组织的岗位、职责和权限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规定了岗位职责文件内容。包括：总经理、管代、各部门负责人等的岗位职责及能力要求。</w:t>
            </w:r>
          </w:p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查见</w:t>
            </w: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2022.1.20</w:t>
            </w:r>
            <w:r>
              <w:rPr>
                <w:rFonts w:hint="eastAsia"/>
                <w:sz w:val="21"/>
                <w:szCs w:val="21"/>
              </w:rPr>
              <w:t>岗位任职要求能力评价</w:t>
            </w:r>
            <w:r>
              <w:rPr>
                <w:rFonts w:hint="eastAsia"/>
                <w:sz w:val="21"/>
                <w:szCs w:val="21"/>
                <w:lang w:eastAsia="zh-CN"/>
              </w:rPr>
              <w:t>，规定了公司各部门的任职能力要求。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“员工绩效考核评分表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2022.1.20</w:t>
            </w:r>
            <w:r>
              <w:rPr>
                <w:rFonts w:hint="eastAsia"/>
                <w:sz w:val="21"/>
                <w:szCs w:val="21"/>
              </w:rPr>
              <w:t>开展了各部门成员根据公司制定的岗位任职要求进行了评价，评价结果均满足其对应的岗位要求，有能力胜任本职工作，符合要求。</w:t>
            </w:r>
          </w:p>
          <w:p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评分标准：</w:t>
            </w:r>
          </w:p>
          <w:p>
            <w:pPr>
              <w:jc w:val="left"/>
              <w:rPr>
                <w:rFonts w:hint="eastAsia" w:eastAsia="宋体"/>
                <w:color w:val="000000"/>
                <w:sz w:val="13"/>
                <w:szCs w:val="13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70（含）——80分，相当出色，无可挑剔                                合计得分：</w:t>
            </w:r>
            <w:r>
              <w:rPr>
                <w:rFonts w:hint="eastAsia"/>
                <w:color w:val="000000"/>
                <w:sz w:val="13"/>
                <w:szCs w:val="13"/>
                <w:u w:val="single"/>
              </w:rPr>
              <w:t xml:space="preserve">     69                   </w:t>
            </w:r>
          </w:p>
          <w:p>
            <w:pPr>
              <w:jc w:val="left"/>
              <w:rPr>
                <w:rFonts w:hint="eastAsia" w:eastAsia="宋体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 xml:space="preserve">60（含）——70分，出色，不负众望                                </w:t>
            </w:r>
          </w:p>
          <w:p>
            <w:pPr>
              <w:jc w:val="left"/>
              <w:rPr>
                <w:rFonts w:hint="eastAsia" w:eastAsia="宋体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50（含）——60分，满意，可以塑造                                    评    语：</w:t>
            </w:r>
            <w:r>
              <w:rPr>
                <w:rFonts w:hint="eastAsia"/>
                <w:color w:val="000000"/>
                <w:sz w:val="13"/>
                <w:szCs w:val="13"/>
                <w:u w:val="single"/>
              </w:rPr>
              <w:t xml:space="preserve">     出色，不负众望       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           </w:t>
            </w:r>
          </w:p>
          <w:p>
            <w:pPr>
              <w:jc w:val="left"/>
              <w:rPr>
                <w:rFonts w:hint="eastAsia" w:eastAsia="宋体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40（含）——50分，称职，令人安心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40分以下，危险，不努力要被淘汰                                      决定评语：</w:t>
            </w:r>
            <w:r>
              <w:rPr>
                <w:rFonts w:hint="eastAsia"/>
                <w:color w:val="000000"/>
                <w:sz w:val="13"/>
                <w:szCs w:val="13"/>
                <w:u w:val="single"/>
              </w:rPr>
              <w:t xml:space="preserve">     该员工满足职责能力   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查持证上岗人员的资质：</w:t>
            </w:r>
          </w:p>
          <w:p>
            <w:pPr>
              <w:spacing w:line="24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OLE_LINK1"/>
            <w:r>
              <w:rPr>
                <w:rFonts w:hint="eastAsia"/>
                <w:sz w:val="21"/>
                <w:szCs w:val="21"/>
                <w:lang w:val="en-US" w:eastAsia="zh-CN"/>
              </w:rPr>
              <w:t>李鹏成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装载机操作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编号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1431801233794        有效期2024年9月24日</w:t>
            </w:r>
          </w:p>
          <w:bookmarkEnd w:id="1"/>
          <w:p>
            <w:pPr>
              <w:spacing w:line="24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闵雄： 安全生产主要负责人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编号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422426197310130036   有效期2024年9月25日</w:t>
            </w:r>
          </w:p>
          <w:p>
            <w:pPr>
              <w:spacing w:line="240" w:lineRule="auto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邓琴： 安全生产主要负责人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编号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421083198309150020   有效期2024年9月25日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孝华：建筑工程工程师        管理号：DT0002015301037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李琼：  检测员                  编号：CS2019185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晏奇谋：检测员                  编号：CS2019188</w:t>
            </w:r>
          </w:p>
          <w:p>
            <w:pPr>
              <w:spacing w:line="240" w:lineRule="auto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晏奇谋：内审员                  编号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CS20217129         有效期2027年9月16日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邓琴：  内审员                  编号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CS20217128         有效期2027年9月16日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王斌    J-货运            编号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422403196502154711        有效期2025年2月15日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曾祥信    J-货运            编号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421083197208154757        有效期2028年4月1日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曾义华    J-货运            编号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42242619750720473X      有效期2028年4月2日</w:t>
            </w:r>
          </w:p>
          <w:p>
            <w:pPr>
              <w:spacing w:line="24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魏盛   J-货运            编号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422426197512144516          有效期2028年4月1日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——查培训计划及培训记录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/>
                <w:sz w:val="21"/>
                <w:szCs w:val="21"/>
              </w:rPr>
              <w:t>年度培训计划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编号：JL/</w:t>
            </w:r>
            <w:r>
              <w:rPr>
                <w:rFonts w:hint="eastAsia"/>
                <w:lang w:val="en-US" w:eastAsia="zh-CN"/>
              </w:rPr>
              <w:t>DGST</w:t>
            </w:r>
            <w:r>
              <w:t>720</w:t>
            </w:r>
            <w:r>
              <w:rPr>
                <w:rFonts w:hint="eastAsia"/>
              </w:rPr>
              <w:t xml:space="preserve">                                                            </w:t>
            </w:r>
          </w:p>
          <w:tbl>
            <w:tblPr>
              <w:tblStyle w:val="7"/>
              <w:tblW w:w="8396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8"/>
              <w:gridCol w:w="1165"/>
              <w:gridCol w:w="2495"/>
              <w:gridCol w:w="1443"/>
              <w:gridCol w:w="2245"/>
              <w:gridCol w:w="300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4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序号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 间</w:t>
                  </w:r>
                </w:p>
              </w:tc>
              <w:tc>
                <w:tcPr>
                  <w:tcW w:w="249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培 训 内 容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参加培训人员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教  材</w:t>
                  </w:r>
                </w:p>
              </w:tc>
              <w:tc>
                <w:tcPr>
                  <w:tcW w:w="30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1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t>20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/>
                    </w:rPr>
                    <w:t>年1月</w:t>
                  </w:r>
                </w:p>
              </w:tc>
              <w:tc>
                <w:tcPr>
                  <w:tcW w:w="249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环境因素及危险源的识别与评价 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各部门主管、相关管理人员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环境因素识别与评价程序，危险源辨识、评价和控制程序及相关工作文件</w:t>
                  </w:r>
                </w:p>
              </w:tc>
              <w:tc>
                <w:tcPr>
                  <w:tcW w:w="30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2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2022</w:t>
                  </w:r>
                  <w:r>
                    <w:rPr>
                      <w:rFonts w:hint="eastAsia" w:ascii="宋体" w:hAnsi="宋体"/>
                    </w:rPr>
                    <w:t>年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月</w:t>
                  </w:r>
                </w:p>
              </w:tc>
              <w:tc>
                <w:tcPr>
                  <w:tcW w:w="249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高空坠落应急预案及演练培训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公司相关员工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应急预案方案</w:t>
                  </w:r>
                </w:p>
              </w:tc>
              <w:tc>
                <w:tcPr>
                  <w:tcW w:w="30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3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3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2022</w:t>
                  </w:r>
                  <w:r>
                    <w:rPr>
                      <w:rFonts w:hint="eastAsia" w:ascii="宋体" w:hAnsi="宋体"/>
                    </w:rPr>
                    <w:t>年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</w:rPr>
                    <w:t>月</w:t>
                  </w:r>
                </w:p>
              </w:tc>
              <w:tc>
                <w:tcPr>
                  <w:tcW w:w="249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安全生产、消防知识培训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各部门主管、相关管理人员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相关规程、应急准备程序</w:t>
                  </w:r>
                </w:p>
              </w:tc>
              <w:tc>
                <w:tcPr>
                  <w:tcW w:w="30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4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2022</w:t>
                  </w:r>
                  <w:r>
                    <w:rPr>
                      <w:rFonts w:hint="eastAsia" w:ascii="宋体" w:hAnsi="宋体"/>
                    </w:rPr>
                    <w:t>年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</w:rPr>
                    <w:t>月</w:t>
                  </w:r>
                </w:p>
              </w:tc>
              <w:tc>
                <w:tcPr>
                  <w:tcW w:w="249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安全法规培训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公司相关员工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法规文件</w:t>
                  </w:r>
                </w:p>
              </w:tc>
              <w:tc>
                <w:tcPr>
                  <w:tcW w:w="30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5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2022</w:t>
                  </w:r>
                  <w:r>
                    <w:rPr>
                      <w:rFonts w:hint="eastAsia" w:ascii="宋体" w:hAnsi="宋体"/>
                    </w:rPr>
                    <w:t>年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月</w:t>
                  </w:r>
                </w:p>
              </w:tc>
              <w:tc>
                <w:tcPr>
                  <w:tcW w:w="249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操作规程培训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生产人员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操作规程</w:t>
                  </w:r>
                </w:p>
              </w:tc>
              <w:tc>
                <w:tcPr>
                  <w:tcW w:w="30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6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2022</w:t>
                  </w:r>
                  <w:r>
                    <w:rPr>
                      <w:rFonts w:hint="eastAsia" w:ascii="宋体" w:hAnsi="宋体"/>
                    </w:rPr>
                    <w:t>年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</w:rPr>
                    <w:t>月</w:t>
                  </w:r>
                </w:p>
              </w:tc>
              <w:tc>
                <w:tcPr>
                  <w:tcW w:w="249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实验室操作培训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化验员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操作规程</w:t>
                  </w:r>
                </w:p>
              </w:tc>
              <w:tc>
                <w:tcPr>
                  <w:tcW w:w="30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7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2022</w:t>
                  </w:r>
                  <w:r>
                    <w:rPr>
                      <w:rFonts w:hint="eastAsia" w:ascii="宋体" w:hAnsi="宋体"/>
                    </w:rPr>
                    <w:t>年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月</w:t>
                  </w:r>
                </w:p>
              </w:tc>
              <w:tc>
                <w:tcPr>
                  <w:tcW w:w="249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消防演练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相关员工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演练方案</w:t>
                  </w:r>
                </w:p>
              </w:tc>
              <w:tc>
                <w:tcPr>
                  <w:tcW w:w="30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2022</w:t>
                  </w:r>
                  <w:r>
                    <w:rPr>
                      <w:rFonts w:hint="eastAsia" w:ascii="宋体" w:hAnsi="宋体"/>
                    </w:rPr>
                    <w:t>年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</w:rPr>
                    <w:t>月</w:t>
                  </w:r>
                </w:p>
              </w:tc>
              <w:tc>
                <w:tcPr>
                  <w:tcW w:w="249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管理制度的培训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各部门相关人员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程序文件</w:t>
                  </w:r>
                </w:p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工作文件</w:t>
                  </w:r>
                </w:p>
              </w:tc>
              <w:tc>
                <w:tcPr>
                  <w:tcW w:w="30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9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2022</w:t>
                  </w:r>
                  <w:r>
                    <w:rPr>
                      <w:rFonts w:hint="eastAsia" w:ascii="宋体" w:hAnsi="宋体"/>
                    </w:rPr>
                    <w:t>年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月</w:t>
                  </w:r>
                </w:p>
              </w:tc>
              <w:tc>
                <w:tcPr>
                  <w:tcW w:w="249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新员工培训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新员工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程序文件</w:t>
                  </w:r>
                </w:p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工作文件</w:t>
                  </w:r>
                </w:p>
              </w:tc>
              <w:tc>
                <w:tcPr>
                  <w:tcW w:w="30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</w:trPr>
              <w:tc>
                <w:tcPr>
                  <w:tcW w:w="748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10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适  时</w:t>
                  </w:r>
                </w:p>
              </w:tc>
              <w:tc>
                <w:tcPr>
                  <w:tcW w:w="249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新员工培训</w:t>
                  </w:r>
                </w:p>
              </w:tc>
              <w:tc>
                <w:tcPr>
                  <w:tcW w:w="1443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新员工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程序文件</w:t>
                  </w:r>
                </w:p>
                <w:p>
                  <w:pPr>
                    <w:jc w:val="lef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工作文件</w:t>
                  </w:r>
                </w:p>
              </w:tc>
              <w:tc>
                <w:tcPr>
                  <w:tcW w:w="300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编制：办公室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审批：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闵  雄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抽查相应的培训记录</w:t>
            </w:r>
          </w:p>
          <w:p>
            <w:pPr>
              <w:spacing w:line="24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环境因素及危险源的识别与评价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2022.5.12</w:t>
            </w:r>
          </w:p>
          <w:p>
            <w:pPr>
              <w:spacing w:line="24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高空坠落应急预案及演练培训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2022.4.31</w:t>
            </w:r>
          </w:p>
          <w:p>
            <w:pPr>
              <w:spacing w:line="24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安全法规培训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2022.3.31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——以上培训均有效果评价。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查“员工三级安全教育记录表”，内容显示员工接受过三级安全教育。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询问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负责人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邓琴、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白孝华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，其对组织方针和所在工作岗位的环境、安全目标基本熟悉，也了解</w:t>
            </w:r>
            <w:r>
              <w:rPr>
                <w:rFonts w:hint="eastAsia"/>
                <w:sz w:val="21"/>
                <w:szCs w:val="21"/>
              </w:rPr>
              <w:t>自己的工作效益会影响组织环境、安全管理体系的有效运行。</w:t>
            </w:r>
          </w:p>
          <w:p>
            <w:pPr>
              <w:pStyle w:val="2"/>
              <w:spacing w:line="24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基本符合</w:t>
            </w: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60" w:type="dxa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知识管理的策划、实施与保持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Q7.1.6</w:t>
            </w:r>
          </w:p>
        </w:tc>
        <w:tc>
          <w:tcPr>
            <w:tcW w:w="9510" w:type="dxa"/>
          </w:tcPr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公司确定质量、环境和职业健康安全管理体系运行、过程、确保产品和服务符合性及顾客满意所需的知识。这些知识得到保持、保护、需要时便于获取。企业的知识包括：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内部来源的如知识产权、项目经验等，和外部来源的如标准、专业会议、客户或者外部丰富收集的知识等。在应对变化的需求和趋势时，考虑现有的知识基础，确定如何获取必需的更多知识。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 预拌混凝土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混凝土质量控制标准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检测和校准试验室能力的通用要求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混凝土强度检验评定标准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干混砂浆（预拌砂浆）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砌筑砂浆增稠剂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《程序文件汇编》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《管理制度汇编》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基本符合。</w:t>
            </w: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沟通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QE7.4</w:t>
            </w:r>
          </w:p>
        </w:tc>
        <w:tc>
          <w:tcPr>
            <w:tcW w:w="9510" w:type="dxa"/>
          </w:tcPr>
          <w:p>
            <w:pPr>
              <w:pStyle w:val="15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sz w:val="21"/>
                <w:szCs w:val="21"/>
              </w:rPr>
              <w:t>核查其内部沟通主要是通过月度管理例会、不定期的生产质量协调会、内部邮件、电话等方式对公司产品市场分析、产品生产计划管理、质量稳定性、生产物料协调......等进行内部沟通，跟踪核查其相关会议纪要、报表等，确认基本有效。</w:t>
            </w:r>
          </w:p>
          <w:p>
            <w:pPr>
              <w:pStyle w:val="15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sz w:val="21"/>
                <w:szCs w:val="21"/>
              </w:rPr>
              <w:t>核查其外部沟通主要是通过电话、邮件、传真、网络交流、行业交流会议......等方式对行业动态、先进工艺技术掌握、客户信息、政府信息、地区招商政策等信息进行外部沟通，跟踪核查相关会议邀请函、行业会议资料等，确认基本有效。</w:t>
            </w:r>
          </w:p>
          <w:p>
            <w:pPr>
              <w:pStyle w:val="15"/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查见与</w:t>
            </w:r>
            <w:r>
              <w:rPr>
                <w:rFonts w:hint="eastAsia"/>
                <w:szCs w:val="21"/>
                <w:lang w:val="en-US" w:eastAsia="zh-CN"/>
              </w:rPr>
              <w:t>湖北天凯建筑工程有限公司、湖北东鹏建筑工程有限公司、湖北千树园林建设工程有限公司沟通了企业管理体系的相关内容。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——控制基本满足要求。</w:t>
            </w: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160" w:type="dxa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文件化信息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Q7.5</w:t>
            </w:r>
          </w:p>
        </w:tc>
        <w:tc>
          <w:tcPr>
            <w:tcW w:w="9510" w:type="dxa"/>
          </w:tcPr>
          <w:p>
            <w:pPr>
              <w:spacing w:line="24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公司文件分类：一级文件：管理手册。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二级文件：公司编制了程序文件，包括质量、环境、职业健康安全标准要求的所有程序。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三层次文件：制度和作业指导书，外来文件：包括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涉及的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产品国家标准，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行业标准、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环境、职业健康安全及运行记录，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满足公司目前的管理体系运行的需要。体系文件基本能保证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公司体系运行的基本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要求。</w:t>
            </w:r>
          </w:p>
          <w:p>
            <w:pPr>
              <w:spacing w:line="240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查管理手册、程序文件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21份。实施日期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文件，都有受控标识，有效版本。</w:t>
            </w:r>
          </w:p>
          <w:p>
            <w:pPr>
              <w:spacing w:line="240" w:lineRule="auto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环境管理体系标准、职业健康安全管理体系标准等，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预拌混凝土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GB/T 14902-2012</w:t>
            </w:r>
          </w:p>
          <w:p>
            <w:pPr>
              <w:spacing w:line="240" w:lineRule="auto"/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普通混凝土配合比设计规程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JGJ 55-2011</w:t>
            </w:r>
          </w:p>
          <w:p>
            <w:pPr>
              <w:spacing w:line="240" w:lineRule="auto"/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普通混凝土拌合物性能试验方法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GB/T50080-2002</w:t>
            </w:r>
          </w:p>
          <w:p>
            <w:pPr>
              <w:spacing w:line="240" w:lineRule="auto"/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普通混凝土力学性能试验方法标准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GB/T50081-2002</w:t>
            </w:r>
          </w:p>
          <w:p>
            <w:pPr>
              <w:spacing w:line="240" w:lineRule="auto"/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普通混凝土长期性能和耐久性能试验方法标准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GB/T50082-2009</w:t>
            </w:r>
          </w:p>
          <w:p>
            <w:pPr>
              <w:spacing w:line="240" w:lineRule="auto"/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混凝土质量控制标准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JGJ63-2006</w:t>
            </w:r>
          </w:p>
          <w:p>
            <w:pPr>
              <w:spacing w:line="240" w:lineRule="auto"/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混凝土外加剂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GB8076-2008</w:t>
            </w:r>
          </w:p>
          <w:p>
            <w:pPr>
              <w:spacing w:line="240" w:lineRule="auto"/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建设用砂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GB/T 14684-2011</w:t>
            </w:r>
          </w:p>
          <w:p>
            <w:pPr>
              <w:spacing w:line="240" w:lineRule="auto"/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混凝土试验用搅拌机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JG244-2009</w:t>
            </w:r>
          </w:p>
          <w:p>
            <w:pPr>
              <w:spacing w:line="240" w:lineRule="auto"/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混凝土坍落度仪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JG/T248-2009</w:t>
            </w:r>
          </w:p>
          <w:p>
            <w:pPr>
              <w:spacing w:line="240" w:lineRule="auto"/>
              <w:jc w:val="left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混凝土抗渗仪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JG/T249-2009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查文件发放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下发了质量、环境、职业健康安全管理手册等文件。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公司编制并实施了《记录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程序》对管理体系记录的标识、贮存、保护、检索、保存期限和处置等作了明确规定，符合要求。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公司提供《记录清单》，有内审报告、供方评价表、危险源清单、环境因素清单、管理评审报告等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77项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。明确了记录名称、编号、使用保存部门、保存期限等，并经审核后使用。公司各种记录由各使用部门保存，查阅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保存的记录环境情况，归档文件、记录存放于通风、干燥、防蛀的文件柜内，环境干燥、通风，符合文件归档的要求。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原件记录原则上不外借，其它记录查阅时须有关部门同意后，方可查阅。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文件变更及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作废文件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未发生。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公司文件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记录控制基本有效。</w:t>
            </w: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E8.1</w:t>
            </w:r>
          </w:p>
        </w:tc>
        <w:tc>
          <w:tcPr>
            <w:tcW w:w="9510" w:type="dxa"/>
          </w:tcPr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</w:rPr>
              <w:t>公司策划了环境安全管理相关程序文件和管理制度：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运环境因素识别与评价控制程序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危险源识别与风险评价控制程序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法律与其它要求控制程序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基础设施控制程序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监视和测量设备控制程序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培训过程控制程序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信息沟通控制程序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文件控制程序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记录控制程序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与顾客有关的过程控制程序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采购控制程序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生产和服务控制程序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应急准备和响应控制程序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产品的监视和测量控制程序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不合格品控制程序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顾客满意度测量控制程序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合规性评价控制程序内审控制程序等；</w:t>
            </w:r>
          </w:p>
          <w:p>
            <w:pPr>
              <w:spacing w:line="360" w:lineRule="auto"/>
              <w:ind w:firstLine="720" w:firstLineChars="300"/>
              <w:rPr>
                <w:rFonts w:hint="eastAsia"/>
              </w:rPr>
            </w:pPr>
            <w:r>
              <w:rPr>
                <w:rFonts w:hint="eastAsia"/>
              </w:rPr>
              <w:t>实验室质量负责人职责实验室试验负责人职责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实验室检测负责人职责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实验室试验人员职责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实验室资料员职责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实验室样品管理员职责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技术标准、规范的管理制度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技术资料保密制度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安全管理制度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资料室管理制度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试验仪器设备管理制度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砂石室管理制度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混凝土室管理制度等。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</w:rPr>
              <w:t>查见配置有灭火器、消防栓，状态良好，保留检查记录；监控摄像头运行正常；应急疏散指示符合要求；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</w:rPr>
              <w:t>生活废水经市政管网排放；无工业废水；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</w:rPr>
              <w:t>办公环境安静，无明显噪声和废气；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</w:rPr>
              <w:t>办公用固废集中回收，市政环卫部门收集处理；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</w:rPr>
              <w:t>办公用墨盒硒鼓等危废以旧换新。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提供劳保用品发放</w:t>
            </w:r>
            <w:r>
              <w:rPr>
                <w:rFonts w:hint="eastAsia"/>
                <w:lang w:eastAsia="zh-CN"/>
              </w:rPr>
              <w:t>记录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无</w:t>
            </w:r>
            <w:r>
              <w:rPr>
                <w:rFonts w:hint="eastAsia"/>
              </w:rPr>
              <w:t>防噪声耳塞</w:t>
            </w:r>
            <w:r>
              <w:rPr>
                <w:rFonts w:hint="eastAsia"/>
                <w:lang w:eastAsia="zh-CN"/>
              </w:rPr>
              <w:t>的发放记录。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抽查见：202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年发放记录，发放手套、</w:t>
            </w:r>
            <w:r>
              <w:rPr>
                <w:rFonts w:hint="eastAsia"/>
                <w:lang w:eastAsia="zh-CN"/>
              </w:rPr>
              <w:t>口罩、毛巾、雨衣、雨鞋</w:t>
            </w:r>
            <w:r>
              <w:rPr>
                <w:rFonts w:hint="eastAsia"/>
              </w:rPr>
              <w:t>等，领用人签字。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397000" cy="1862455"/>
                  <wp:effectExtent l="0" t="0" r="12700" b="4445"/>
                  <wp:docPr id="12" name="图片 12" descr="d540e8af505a459673eae2e4437c1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540e8af505a459673eae2e4437c1b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8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664335" cy="1903095"/>
                  <wp:effectExtent l="0" t="0" r="12065" b="1905"/>
                  <wp:docPr id="13" name="图片 13" descr="19aa17c7294fa9fc42b45a13a3e02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9aa17c7294fa9fc42b45a13a3e029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经询问办公室主任，员工为周边村民，食宿均自行解决。</w:t>
            </w:r>
          </w:p>
          <w:p>
            <w:pPr>
              <w:pStyle w:val="2"/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基本符合。</w:t>
            </w: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160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监视、测量、分析和评价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QE9.1.1Q9.1.3</w:t>
            </w:r>
          </w:p>
        </w:tc>
        <w:tc>
          <w:tcPr>
            <w:tcW w:w="9510" w:type="dxa"/>
          </w:tcPr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</w:rPr>
              <w:t>管理体系目标考核按季度进行，抽查到202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日目标考核记录，经考核公司和分解各部门管理目标均已完成。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查到《生产现场环保安全检查记录》</w:t>
            </w:r>
            <w:r>
              <w:rPr>
                <w:rFonts w:hint="eastAsia"/>
                <w:lang w:val="en-US" w:eastAsia="zh-CN"/>
              </w:rPr>
              <w:t>2022.4.10</w:t>
            </w:r>
            <w:r>
              <w:rPr>
                <w:rFonts w:hint="eastAsia"/>
              </w:rPr>
              <w:t>，检查项目内容涉及：现场材料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机械设备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文明生产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安全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分包方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水电等。</w:t>
            </w:r>
            <w:r>
              <w:rPr>
                <w:rFonts w:hint="eastAsia"/>
                <w:lang w:eastAsia="zh-CN"/>
              </w:rPr>
              <w:t>有检查情况的判定及检查人。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查见《</w:t>
            </w:r>
            <w:r>
              <w:rPr>
                <w:rFonts w:hint="eastAsia"/>
              </w:rPr>
              <w:t>安全管理检查评分表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2022.3.18/2022.6.18/ 2022.7.18,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对公司</w:t>
            </w:r>
            <w:r>
              <w:rPr>
                <w:rFonts w:hint="default"/>
                <w:lang w:val="en-US" w:eastAsia="zh-CN"/>
              </w:rPr>
              <w:t>封闭管理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生产现场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材料堆放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现场防火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生产现场标志牌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社会服务</w:t>
            </w:r>
            <w:r>
              <w:rPr>
                <w:rFonts w:hint="eastAsia"/>
                <w:lang w:val="en-US" w:eastAsia="zh-CN"/>
              </w:rPr>
              <w:t>等方面打分，分别为96/95/94分。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——不符合：未提供今年的环评监测报告。</w:t>
            </w: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合格评价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E9.1.2</w:t>
            </w:r>
          </w:p>
        </w:tc>
        <w:tc>
          <w:tcPr>
            <w:tcW w:w="9510" w:type="dxa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公司有合规性评价控制程序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DGST-CX-2022-18，有效文件。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2022.5.22，对公司的《职业健康安全法律法规》、《环境法律法规》的合规性进行了评价，形成了评价报告。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评价结论：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本年度检查的结果来看，我公司没有违反国家法律、法规及相关标准，能严格遵守国家有关环境和职业健康安全管理方面的相关规定，密切关注法律法规的变化，并适时调整，严格按体系标准执行。未发生重大安全生产事故，无环境污染事件发生，未发生尘肺病、传染病及其他卫生防疫问题事件，无个人或单位投诉。执行结果是有效的。对公司的环保意识和环境管理水平的提高起到了明显的促进作用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072640" cy="942975"/>
                  <wp:effectExtent l="0" t="0" r="3810" b="9525"/>
                  <wp:docPr id="7" name="图片 7" descr="1660794382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607943823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33880" cy="938530"/>
                  <wp:effectExtent l="0" t="0" r="13970" b="13970"/>
                  <wp:docPr id="8" name="图片 8" descr="1660794419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607944196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合规评价基本符合。</w:t>
            </w: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E8.2</w:t>
            </w:r>
          </w:p>
        </w:tc>
        <w:tc>
          <w:tcPr>
            <w:tcW w:w="9510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公司有</w:t>
            </w:r>
            <w:r>
              <w:rPr>
                <w:rFonts w:hint="eastAsia"/>
                <w:color w:val="000000" w:themeColor="text1"/>
                <w:lang w:val="en-US" w:eastAsia="zh-CN"/>
              </w:rPr>
              <w:t>应急准备和响应控制程序</w:t>
            </w:r>
            <w:r>
              <w:rPr>
                <w:rFonts w:hint="eastAsia"/>
                <w:color w:val="000000" w:themeColor="text1"/>
                <w:lang w:val="en-US" w:eastAsia="zh-CN"/>
              </w:rPr>
              <w:tab/>
            </w:r>
            <w:r>
              <w:rPr>
                <w:rFonts w:hint="eastAsia"/>
                <w:color w:val="000000" w:themeColor="text1"/>
                <w:lang w:val="en-US" w:eastAsia="zh-CN"/>
              </w:rPr>
              <w:t>DGST-CX-2022-14，有效文件。 办公室人员参加了2022.4.3</w:t>
            </w:r>
            <w:bookmarkStart w:id="2" w:name="_GoBack"/>
            <w:bookmarkEnd w:id="2"/>
            <w:r>
              <w:rPr>
                <w:rFonts w:hint="eastAsia"/>
                <w:color w:val="000000" w:themeColor="text1"/>
                <w:lang w:val="en-US" w:eastAsia="zh-CN"/>
              </w:rPr>
              <w:t>0日生产部组织的火灾应急演</w:t>
            </w:r>
            <w:r>
              <w:rPr>
                <w:rFonts w:hint="eastAsia"/>
                <w:lang w:val="en-US" w:eastAsia="zh-CN"/>
              </w:rPr>
              <w:t>练， 演练结果评价：应急准备和响应实施方案具有可操作性，应急求援人员已基本掌握该方案，能够应付突发事件。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跟踪核查其“应急演练相关记录”：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89685" cy="967105"/>
                  <wp:effectExtent l="0" t="0" r="5715" b="4445"/>
                  <wp:docPr id="5" name="图片 5" descr="1a1748540332da1969757504e3422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a1748540332da1969757504e3422f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54760" cy="941070"/>
                  <wp:effectExtent l="0" t="0" r="2540" b="11430"/>
                  <wp:docPr id="6" name="图片 6" descr="ee9f458d828dfa7731bab7b607d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e9f458d828dfa7731bab7b607d54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—基本符合</w:t>
            </w: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内部审核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QE9.2</w:t>
            </w:r>
          </w:p>
        </w:tc>
        <w:tc>
          <w:tcPr>
            <w:tcW w:w="9510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sz w:val="21"/>
                <w:szCs w:val="21"/>
              </w:rPr>
              <w:t>制定了《内部审核控制程序》进行内部审核过程控制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2.6.28.</w:t>
            </w:r>
            <w:r>
              <w:rPr>
                <w:rFonts w:hint="eastAsia"/>
                <w:sz w:val="21"/>
                <w:szCs w:val="21"/>
              </w:rPr>
              <w:t>制定计划，202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7.4-5</w:t>
            </w:r>
            <w:r>
              <w:rPr>
                <w:rFonts w:hint="eastAsia"/>
                <w:sz w:val="21"/>
                <w:szCs w:val="21"/>
              </w:rPr>
              <w:t>实施的内部审核，内容包括审核目的、审核范围、审核准则、审核具体日程安排、编制批准等，内容完整，能够满足策划要求。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>
            <w:pPr>
              <w:spacing w:line="56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查《内审报告》中内部审核结论：通过两天的内部审核，审核组认为公司的质量、环境、职业健康安全管理体系在正常运行，且取得了一定的效果，现场审核通过。 </w:t>
            </w:r>
          </w:p>
          <w:p>
            <w:pPr>
              <w:spacing w:line="56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</w:t>
            </w:r>
            <w:r>
              <w:rPr>
                <w:rFonts w:hint="eastAsia"/>
                <w:sz w:val="21"/>
                <w:szCs w:val="21"/>
                <w:lang w:eastAsia="zh-CN"/>
              </w:rPr>
              <w:t>内审发现不符合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2项生产部“</w:t>
            </w:r>
            <w:r>
              <w:rPr>
                <w:rFonts w:hint="eastAsia"/>
                <w:sz w:val="21"/>
                <w:szCs w:val="21"/>
              </w:rPr>
              <w:t>在审核时发现搅拌站固废到处堆放。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”实验室“</w:t>
            </w:r>
            <w:r>
              <w:rPr>
                <w:rFonts w:hint="eastAsia"/>
                <w:sz w:val="21"/>
                <w:szCs w:val="21"/>
              </w:rPr>
              <w:t>电线裸露在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外”相关部门进行了原因分析，制定了纠正措施，办公室进行了跟踪验证，</w:t>
            </w:r>
            <w:r>
              <w:rPr>
                <w:rFonts w:hint="eastAsia"/>
                <w:sz w:val="21"/>
                <w:szCs w:val="21"/>
              </w:rPr>
              <w:t>不符合已验证关闭。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——内部审核控制基本有效。</w:t>
            </w:r>
          </w:p>
        </w:tc>
        <w:tc>
          <w:tcPr>
            <w:tcW w:w="2079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0727C08"/>
    <w:rsid w:val="00F705B3"/>
    <w:rsid w:val="02A62291"/>
    <w:rsid w:val="057D7848"/>
    <w:rsid w:val="06B05E7D"/>
    <w:rsid w:val="06BF6017"/>
    <w:rsid w:val="079F3753"/>
    <w:rsid w:val="087F5A5E"/>
    <w:rsid w:val="08887232"/>
    <w:rsid w:val="08D81F8B"/>
    <w:rsid w:val="097D37AA"/>
    <w:rsid w:val="0A0F5205"/>
    <w:rsid w:val="0A8E2BA0"/>
    <w:rsid w:val="0ACF434F"/>
    <w:rsid w:val="0B3643CE"/>
    <w:rsid w:val="0B446AEB"/>
    <w:rsid w:val="0C1B6FD8"/>
    <w:rsid w:val="0E140D02"/>
    <w:rsid w:val="0E341099"/>
    <w:rsid w:val="0E81264D"/>
    <w:rsid w:val="10846F1A"/>
    <w:rsid w:val="10E16B8A"/>
    <w:rsid w:val="119438D3"/>
    <w:rsid w:val="12EB55D3"/>
    <w:rsid w:val="13AF5EAF"/>
    <w:rsid w:val="16573B76"/>
    <w:rsid w:val="174C419A"/>
    <w:rsid w:val="17614581"/>
    <w:rsid w:val="184B6451"/>
    <w:rsid w:val="19663FC9"/>
    <w:rsid w:val="19D24FA8"/>
    <w:rsid w:val="19D62874"/>
    <w:rsid w:val="19DB061A"/>
    <w:rsid w:val="1A4A7ECE"/>
    <w:rsid w:val="1AB86BAD"/>
    <w:rsid w:val="1B1419E5"/>
    <w:rsid w:val="1C76790D"/>
    <w:rsid w:val="1D0E6F59"/>
    <w:rsid w:val="1FD77AD6"/>
    <w:rsid w:val="20216C22"/>
    <w:rsid w:val="210B63F6"/>
    <w:rsid w:val="21EB5067"/>
    <w:rsid w:val="221548E5"/>
    <w:rsid w:val="2265586D"/>
    <w:rsid w:val="24180208"/>
    <w:rsid w:val="24625F84"/>
    <w:rsid w:val="24E72338"/>
    <w:rsid w:val="253325AC"/>
    <w:rsid w:val="25BF34E6"/>
    <w:rsid w:val="26A04226"/>
    <w:rsid w:val="27E74FD6"/>
    <w:rsid w:val="27EE44DF"/>
    <w:rsid w:val="297307E1"/>
    <w:rsid w:val="2AE45217"/>
    <w:rsid w:val="2B1C518D"/>
    <w:rsid w:val="2B9C01A3"/>
    <w:rsid w:val="2C917DC7"/>
    <w:rsid w:val="2CD755B9"/>
    <w:rsid w:val="2F7D25E3"/>
    <w:rsid w:val="2FCE5E5E"/>
    <w:rsid w:val="2FF77241"/>
    <w:rsid w:val="3081338F"/>
    <w:rsid w:val="31A45E1B"/>
    <w:rsid w:val="31AF5154"/>
    <w:rsid w:val="31B64002"/>
    <w:rsid w:val="31F462C5"/>
    <w:rsid w:val="324125F1"/>
    <w:rsid w:val="32D759EF"/>
    <w:rsid w:val="34280219"/>
    <w:rsid w:val="348222AE"/>
    <w:rsid w:val="34930017"/>
    <w:rsid w:val="34E868DA"/>
    <w:rsid w:val="365E7EEA"/>
    <w:rsid w:val="36F16678"/>
    <w:rsid w:val="37054AD1"/>
    <w:rsid w:val="38206066"/>
    <w:rsid w:val="38331B93"/>
    <w:rsid w:val="38673C95"/>
    <w:rsid w:val="3C9708C1"/>
    <w:rsid w:val="3D9646D4"/>
    <w:rsid w:val="3DF15BA8"/>
    <w:rsid w:val="3E047890"/>
    <w:rsid w:val="3E921340"/>
    <w:rsid w:val="415648A7"/>
    <w:rsid w:val="41C17D83"/>
    <w:rsid w:val="4261358F"/>
    <w:rsid w:val="42C817D4"/>
    <w:rsid w:val="42D77361"/>
    <w:rsid w:val="439A60B8"/>
    <w:rsid w:val="449B53A1"/>
    <w:rsid w:val="47D77D5E"/>
    <w:rsid w:val="493E3092"/>
    <w:rsid w:val="4B897627"/>
    <w:rsid w:val="4BCE3AD9"/>
    <w:rsid w:val="4D8764B9"/>
    <w:rsid w:val="4D8A4F1E"/>
    <w:rsid w:val="4EBB48DA"/>
    <w:rsid w:val="51336443"/>
    <w:rsid w:val="514375EA"/>
    <w:rsid w:val="52032DBA"/>
    <w:rsid w:val="5233458E"/>
    <w:rsid w:val="526025AF"/>
    <w:rsid w:val="53402E58"/>
    <w:rsid w:val="53565EF4"/>
    <w:rsid w:val="53DB094D"/>
    <w:rsid w:val="541C03C5"/>
    <w:rsid w:val="54240834"/>
    <w:rsid w:val="54957D8F"/>
    <w:rsid w:val="550D4B4E"/>
    <w:rsid w:val="55E9340A"/>
    <w:rsid w:val="56EC47AC"/>
    <w:rsid w:val="5702085E"/>
    <w:rsid w:val="58F72073"/>
    <w:rsid w:val="5A4E03B9"/>
    <w:rsid w:val="5E660B09"/>
    <w:rsid w:val="5F5D018D"/>
    <w:rsid w:val="5FB92779"/>
    <w:rsid w:val="60DA5C11"/>
    <w:rsid w:val="60DF7FBD"/>
    <w:rsid w:val="63387548"/>
    <w:rsid w:val="64263B33"/>
    <w:rsid w:val="64C70214"/>
    <w:rsid w:val="653D7121"/>
    <w:rsid w:val="66055BF1"/>
    <w:rsid w:val="6646550E"/>
    <w:rsid w:val="66B5245E"/>
    <w:rsid w:val="6732696D"/>
    <w:rsid w:val="673802E9"/>
    <w:rsid w:val="674943E2"/>
    <w:rsid w:val="680C4E6B"/>
    <w:rsid w:val="686B482C"/>
    <w:rsid w:val="69AE49D0"/>
    <w:rsid w:val="69F0323B"/>
    <w:rsid w:val="6A2A210C"/>
    <w:rsid w:val="6A890F99"/>
    <w:rsid w:val="6B671C18"/>
    <w:rsid w:val="6C631EF2"/>
    <w:rsid w:val="6C6B5553"/>
    <w:rsid w:val="6DA47790"/>
    <w:rsid w:val="6DCC7B1B"/>
    <w:rsid w:val="6EF07B95"/>
    <w:rsid w:val="6F0325CF"/>
    <w:rsid w:val="6F0B6421"/>
    <w:rsid w:val="6F906926"/>
    <w:rsid w:val="71436346"/>
    <w:rsid w:val="727442DD"/>
    <w:rsid w:val="72EA7313"/>
    <w:rsid w:val="73A94F62"/>
    <w:rsid w:val="73F138BD"/>
    <w:rsid w:val="752E4C17"/>
    <w:rsid w:val="75545AAD"/>
    <w:rsid w:val="756E14B8"/>
    <w:rsid w:val="7822347F"/>
    <w:rsid w:val="78DD540A"/>
    <w:rsid w:val="79250C10"/>
    <w:rsid w:val="79FD1128"/>
    <w:rsid w:val="7A28086F"/>
    <w:rsid w:val="7CA875CE"/>
    <w:rsid w:val="7D737B15"/>
    <w:rsid w:val="7DA0067C"/>
    <w:rsid w:val="7DBB380B"/>
    <w:rsid w:val="7E683415"/>
    <w:rsid w:val="7E9E696A"/>
    <w:rsid w:val="7F8D08BF"/>
    <w:rsid w:val="7FC95C68"/>
    <w:rsid w:val="7FDC1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5006</Words>
  <Characters>5804</Characters>
  <Lines>1</Lines>
  <Paragraphs>1</Paragraphs>
  <TotalTime>7</TotalTime>
  <ScaleCrop>false</ScaleCrop>
  <LinksUpToDate>false</LinksUpToDate>
  <CharactersWithSpaces>6440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2022-12-11T05:45:17Z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2052-11.1.0.12132</vt:lpwstr>
  </property>
</Properties>
</file>