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宋体" w:hAnsi="宋体" w:cs="宋体"/>
                <w:sz w:val="21"/>
                <w:szCs w:val="21"/>
                <w:lang w:val="de-DE"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  <w:lang w:val="en-US" w:eastAsia="zh-CN"/>
              </w:rPr>
              <w:t>白孝华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陪同人员：甘方荣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sz w:val="24"/>
                <w:szCs w:val="24"/>
              </w:rPr>
              <w:t>，赵娟</w:t>
            </w:r>
            <w:bookmarkEnd w:id="1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2022年08月17日 上午至2022年08月20日 上午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r>
              <w:rPr>
                <w:rFonts w:hint="eastAsia" w:ascii="宋体" w:hAnsi="宋体" w:cs="Arial"/>
                <w:sz w:val="21"/>
                <w:szCs w:val="21"/>
              </w:rPr>
              <w:t>职责权限、目标实现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检验过程相关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危险源识别和控制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,应急管理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职责权限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S5.3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查手册5.3.2.7试验室：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①负责按国家法规及相关部门标准、规定建立、健全试验室各项管理制度，并遵照落实；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②负责混凝土相关技术标准、规范等技术资料的搜集、编制及管理；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③负责试验、测试、计量设备的保养、管理与周期检定；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④对送检原材料及产品样品进行标识和检测，并出具检测报告；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⑤负责混凝土配合比的设计、验证，并下达生产配合比；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⑥新产品、新工艺和新技术的研究、试验和推广工作；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⑦负责原材料、产品相关技术资料、文件的出具、签发、整理保存；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⑧负责组织混凝土配合比的设计、验证及相关工艺、技术文件的制定，并进行审批；</w:t>
            </w:r>
          </w:p>
          <w:p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⑨负责质量管理体系的维护与管理。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目标实现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S6.2</w:t>
            </w:r>
          </w:p>
        </w:tc>
        <w:tc>
          <w:tcPr>
            <w:tcW w:w="10004" w:type="dxa"/>
            <w:vAlign w:val="top"/>
          </w:tcPr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查“目标、指标、绩效完成情况统计表”，内容显示2022.1-6.供销部的目标均已达成。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7"/>
              <w:gridCol w:w="4809"/>
              <w:gridCol w:w="1335"/>
              <w:gridCol w:w="1857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 w:val="24"/>
                      <w:lang w:eastAsia="zh-CN"/>
                    </w:rPr>
                    <w:t>试验室</w:t>
                  </w: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1、</w:t>
                  </w:r>
                  <w:r>
                    <w:t>在用计量设备在检率达到100%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2022.6.30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2、</w:t>
                  </w:r>
                  <w:r>
                    <w:t>设备合格率达到100%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2022.6.30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3、</w:t>
                  </w:r>
                  <w:r>
                    <w:t>试验室检测准确率达99%以上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2022.6.30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4、</w:t>
                  </w:r>
                  <w:r>
                    <w:t>样品标识准确率达到100%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2022.6.30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5、重大质量事故和安全事故为零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达标排放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2022.6.30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6、按规定处置固体废弃物——固体废弃物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2022.6.30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ind w:firstLine="480"/>
                    <w:jc w:val="center"/>
                    <w:rPr>
                      <w:rFonts w:hint="eastAsia"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7、职业病发生率控制在零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陈际华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zh-CN" w:eastAsia="zh-CN"/>
              </w:rPr>
              <w:t>危险源识别与风险评价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S6..1.2</w:t>
            </w:r>
          </w:p>
        </w:tc>
        <w:tc>
          <w:tcPr>
            <w:tcW w:w="10004" w:type="dxa"/>
            <w:vAlign w:val="top"/>
          </w:tcPr>
          <w:p>
            <w:pPr>
              <w:pStyle w:val="9"/>
              <w:rPr>
                <w:rFonts w:hint="eastAsia" w:eastAsia="宋体"/>
                <w:lang w:val="zh-CN" w:eastAsia="zh-CN"/>
              </w:rPr>
            </w:pPr>
            <w:r>
              <w:rPr>
                <w:rFonts w:hint="eastAsia" w:eastAsia="宋体"/>
                <w:lang w:val="en-US" w:eastAsia="zh-CN"/>
              </w:rPr>
              <w:t>文件：《</w:t>
            </w:r>
            <w:r>
              <w:rPr>
                <w:rFonts w:hint="eastAsia" w:eastAsia="宋体"/>
                <w:lang w:val="zh-CN" w:eastAsia="zh-CN"/>
              </w:rPr>
              <w:t>危险源识别与风险评价控制程序》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查：“危险源辨识与评价一览表（</w:t>
            </w:r>
            <w:r>
              <w:rPr>
                <w:rFonts w:hint="eastAsia"/>
                <w:lang w:val="en-US" w:eastAsia="zh-CN"/>
              </w:rPr>
              <w:t>实验室</w:t>
            </w:r>
            <w:r>
              <w:rPr>
                <w:rFonts w:hint="eastAsia" w:eastAsia="宋体"/>
                <w:lang w:val="en-US" w:eastAsia="zh-CN"/>
              </w:rPr>
              <w:t>）”2022.6.15.共识别供销部潜在危险因素9项，包括吸烟、物品乱放、丢弃、电器缺陷、职工上下班不遵守交通规则等。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查“不可接受风险清</w:t>
            </w:r>
            <w:r>
              <w:rPr>
                <w:rFonts w:hint="eastAsia" w:eastAsia="宋体"/>
                <w:lang w:val="en-US" w:eastAsia="zh-CN"/>
              </w:rPr>
              <w:t>单(公司总清单)”编号： JL/DGST-21-05；2022年6月15日；，涉及本部门的不可接受风险为火灾；措施：管理制度、加强现场监督检查目标、指标及管理方案。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S8.1</w:t>
            </w:r>
          </w:p>
        </w:tc>
        <w:tc>
          <w:tcPr>
            <w:tcW w:w="10004" w:type="dxa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负责人介绍，本部门的环境、安全运行控制的按照主控部门的策划执行</w:t>
            </w:r>
            <w:r>
              <w:rPr>
                <w:rFonts w:hint="eastAsia"/>
                <w:lang w:eastAsia="zh-CN"/>
              </w:rPr>
              <w:t>，制定了砂石室管理制度、实验室仪器设备管理员职责、原始数据及试验报告管理制度、事故处理制度等34项，</w:t>
            </w:r>
            <w:r>
              <w:rPr>
                <w:rFonts w:hint="eastAsia"/>
                <w:lang w:val="en-US" w:eastAsia="zh-CN"/>
              </w:rPr>
              <w:t>操作规程及管理制度上墙</w:t>
            </w:r>
            <w:r>
              <w:rPr>
                <w:rFonts w:hint="eastAsia"/>
              </w:rPr>
              <w:t>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</w:t>
            </w:r>
            <w:r>
              <w:rPr>
                <w:rFonts w:hint="eastAsia" w:ascii="Times New Roman" w:hAnsi="Times New Roman" w:eastAsia="宋体" w:cs="Times New Roman"/>
              </w:rPr>
              <w:t>主要内容包括：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实验室</w:t>
            </w:r>
            <w:r>
              <w:rPr>
                <w:rFonts w:hint="eastAsia" w:ascii="Times New Roman" w:hAnsi="Times New Roman" w:eastAsia="宋体" w:cs="Times New Roman"/>
              </w:rPr>
              <w:t>干净整洁，照明、通风良好；配置有空调，温度适宜。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固废管控：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试块过保存时间转生产再利用。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废水管控：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通过排水系统转沉淀池循环再利用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噪音管控：噪音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在许可范围内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废气管控：基本无废气。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潜在火灾管控：下班关掉所有电源，如发现破损电源线路及时安排修理或更换，参加主控部门组织的火灾演练。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---意识管控：负责组织对员工进行环保、安全知识方面的培训。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S8.2</w:t>
            </w:r>
          </w:p>
        </w:tc>
        <w:tc>
          <w:tcPr>
            <w:tcW w:w="10004" w:type="dxa"/>
          </w:tcPr>
          <w:p>
            <w:r>
              <w:rPr>
                <w:rFonts w:hint="eastAsia"/>
                <w:lang w:val="en-US" w:eastAsia="zh-CN"/>
              </w:rPr>
              <w:t>本部门参加了2022.4.3</w:t>
            </w: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0日生产</w:t>
            </w:r>
            <w:r>
              <w:rPr>
                <w:rFonts w:hint="eastAsia"/>
                <w:color w:val="000000" w:themeColor="text1"/>
                <w:lang w:val="en-US" w:eastAsia="zh-CN"/>
              </w:rPr>
              <w:t>部组织的火灾应急演练，有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演练结果评价。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78240CB"/>
    <w:rsid w:val="07830F5F"/>
    <w:rsid w:val="0E8F4521"/>
    <w:rsid w:val="169528F0"/>
    <w:rsid w:val="29F643C1"/>
    <w:rsid w:val="2D6F1EB4"/>
    <w:rsid w:val="2DF86916"/>
    <w:rsid w:val="2F6A44C2"/>
    <w:rsid w:val="2FA36C35"/>
    <w:rsid w:val="31F67131"/>
    <w:rsid w:val="348D0794"/>
    <w:rsid w:val="363226F3"/>
    <w:rsid w:val="3B3B6D13"/>
    <w:rsid w:val="3D913562"/>
    <w:rsid w:val="44024F26"/>
    <w:rsid w:val="46FD57C4"/>
    <w:rsid w:val="49F027EC"/>
    <w:rsid w:val="4D526327"/>
    <w:rsid w:val="51A11632"/>
    <w:rsid w:val="58BA7613"/>
    <w:rsid w:val="5A38042E"/>
    <w:rsid w:val="5B8E20AA"/>
    <w:rsid w:val="5CF95C10"/>
    <w:rsid w:val="640B731B"/>
    <w:rsid w:val="655B1732"/>
    <w:rsid w:val="65B4448F"/>
    <w:rsid w:val="69FF6AD7"/>
    <w:rsid w:val="6DAF6F69"/>
    <w:rsid w:val="6DCA2D4E"/>
    <w:rsid w:val="6FB33711"/>
    <w:rsid w:val="6FEA0D50"/>
    <w:rsid w:val="71894476"/>
    <w:rsid w:val="74BC0D61"/>
    <w:rsid w:val="765E152C"/>
    <w:rsid w:val="78590ECE"/>
    <w:rsid w:val="79BC4EE7"/>
    <w:rsid w:val="7FFE5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1261</Characters>
  <Lines>1</Lines>
  <Paragraphs>1</Paragraphs>
  <TotalTime>0</TotalTime>
  <ScaleCrop>false</ScaleCrop>
  <LinksUpToDate>false</LinksUpToDate>
  <CharactersWithSpaces>1265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2022-12-11T05:44:53Z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