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044"/>
        <w:gridCol w:w="952"/>
        <w:gridCol w:w="761"/>
        <w:gridCol w:w="937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5" w:hRule="atLeast"/>
        </w:trPr>
        <w:tc>
          <w:tcPr>
            <w:tcW w:w="2044" w:type="dxa"/>
            <w:vMerge w:val="restart"/>
            <w:shd w:val="clear" w:color="auto" w:fill="FFFFFF" w:themeFill="background1"/>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52" w:type="dxa"/>
            <w:vMerge w:val="restart"/>
            <w:shd w:val="clear" w:color="auto" w:fill="FFFFFF" w:themeFill="background1"/>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131" w:type="dxa"/>
            <w:gridSpan w:val="2"/>
            <w:shd w:val="clear" w:color="auto" w:fill="FFFFFF" w:themeFill="background1"/>
            <w:vAlign w:val="center"/>
          </w:tcPr>
          <w:p>
            <w:pPr>
              <w:rPr>
                <w:rFonts w:hint="eastAsia" w:eastAsia="宋体"/>
                <w:sz w:val="24"/>
                <w:szCs w:val="24"/>
                <w:highlight w:val="none"/>
                <w:lang w:val="en-US" w:eastAsia="zh-CN"/>
              </w:rPr>
            </w:pPr>
            <w:r>
              <w:rPr>
                <w:rFonts w:hint="eastAsia"/>
                <w:sz w:val="24"/>
                <w:szCs w:val="24"/>
                <w:highlight w:val="none"/>
              </w:rPr>
              <w:t xml:space="preserve">受审核部门：领导层 </w:t>
            </w:r>
            <w:r>
              <w:rPr>
                <w:sz w:val="24"/>
                <w:szCs w:val="24"/>
                <w:highlight w:val="none"/>
              </w:rPr>
              <w:t xml:space="preserve">   </w:t>
            </w:r>
            <w:r>
              <w:rPr>
                <w:rFonts w:hint="eastAsia"/>
                <w:sz w:val="24"/>
                <w:szCs w:val="24"/>
                <w:highlight w:val="none"/>
                <w:lang w:val="en-US" w:eastAsia="zh-CN"/>
              </w:rPr>
              <w:t>负责人：余元海</w:t>
            </w:r>
            <w:r>
              <w:rPr>
                <w:sz w:val="24"/>
                <w:szCs w:val="24"/>
                <w:highlight w:val="none"/>
              </w:rPr>
              <w:t xml:space="preserve">   </w:t>
            </w:r>
            <w:r>
              <w:rPr>
                <w:rFonts w:hint="eastAsia"/>
                <w:sz w:val="24"/>
                <w:szCs w:val="24"/>
                <w:highlight w:val="none"/>
              </w:rPr>
              <w:t>陪同人员：倪汉丁</w:t>
            </w:r>
          </w:p>
        </w:tc>
        <w:tc>
          <w:tcPr>
            <w:tcW w:w="1587" w:type="dxa"/>
            <w:vMerge w:val="restart"/>
            <w:shd w:val="clear" w:color="auto" w:fill="FFFFFF" w:themeFill="background1"/>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2" w:hRule="atLeast"/>
        </w:trPr>
        <w:tc>
          <w:tcPr>
            <w:tcW w:w="2044" w:type="dxa"/>
            <w:vMerge w:val="continue"/>
            <w:shd w:val="clear" w:color="auto" w:fill="FFFFFF" w:themeFill="background1"/>
            <w:vAlign w:val="center"/>
          </w:tcPr>
          <w:p>
            <w:pPr>
              <w:rPr>
                <w:highlight w:val="none"/>
              </w:rPr>
            </w:pPr>
          </w:p>
        </w:tc>
        <w:tc>
          <w:tcPr>
            <w:tcW w:w="952" w:type="dxa"/>
            <w:vMerge w:val="continue"/>
            <w:shd w:val="clear" w:color="auto" w:fill="FFFFFF" w:themeFill="background1"/>
            <w:vAlign w:val="center"/>
          </w:tcPr>
          <w:p>
            <w:pPr>
              <w:rPr>
                <w:highlight w:val="none"/>
              </w:rPr>
            </w:pPr>
          </w:p>
        </w:tc>
        <w:tc>
          <w:tcPr>
            <w:tcW w:w="10131" w:type="dxa"/>
            <w:gridSpan w:val="2"/>
            <w:shd w:val="clear" w:color="auto" w:fill="FFFFFF" w:themeFill="background1"/>
            <w:vAlign w:val="center"/>
          </w:tcPr>
          <w:p>
            <w:pPr>
              <w:spacing w:before="120"/>
              <w:rPr>
                <w:rFonts w:hint="default" w:eastAsia="宋体"/>
                <w:highlight w:val="none"/>
                <w:lang w:val="en-US" w:eastAsia="zh-CN"/>
              </w:rPr>
            </w:pPr>
            <w:r>
              <w:rPr>
                <w:rFonts w:hint="eastAsia"/>
                <w:sz w:val="24"/>
                <w:szCs w:val="24"/>
                <w:highlight w:val="none"/>
              </w:rPr>
              <w:t>审核员：肖新龙</w:t>
            </w:r>
            <w:r>
              <w:rPr>
                <w:rFonts w:hint="eastAsia"/>
                <w:sz w:val="24"/>
                <w:szCs w:val="24"/>
                <w:highlight w:val="none"/>
                <w:lang w:val="en-US" w:eastAsia="zh-CN"/>
              </w:rPr>
              <w:t xml:space="preserve"> </w:t>
            </w:r>
            <w:r>
              <w:rPr>
                <w:sz w:val="24"/>
                <w:szCs w:val="24"/>
                <w:highlight w:val="none"/>
              </w:rPr>
              <w:t xml:space="preserve">      </w:t>
            </w:r>
            <w:r>
              <w:rPr>
                <w:rFonts w:hint="eastAsia"/>
                <w:sz w:val="24"/>
                <w:szCs w:val="24"/>
                <w:highlight w:val="none"/>
              </w:rPr>
              <w:t>审核日期：202</w:t>
            </w:r>
            <w:r>
              <w:rPr>
                <w:sz w:val="24"/>
                <w:szCs w:val="24"/>
                <w:highlight w:val="none"/>
              </w:rPr>
              <w:t>2</w:t>
            </w:r>
            <w:r>
              <w:rPr>
                <w:rFonts w:hint="eastAsia"/>
                <w:sz w:val="24"/>
                <w:szCs w:val="24"/>
                <w:highlight w:val="none"/>
              </w:rPr>
              <w:t>-0</w:t>
            </w:r>
            <w:r>
              <w:rPr>
                <w:rFonts w:hint="eastAsia"/>
                <w:sz w:val="24"/>
                <w:szCs w:val="24"/>
                <w:highlight w:val="none"/>
                <w:lang w:val="en-US" w:eastAsia="zh-CN"/>
              </w:rPr>
              <w:t>8-17日</w:t>
            </w: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84" w:hRule="atLeast"/>
        </w:trPr>
        <w:tc>
          <w:tcPr>
            <w:tcW w:w="2044" w:type="dxa"/>
            <w:vMerge w:val="continue"/>
            <w:shd w:val="clear" w:color="auto" w:fill="FFFFFF" w:themeFill="background1"/>
            <w:vAlign w:val="center"/>
          </w:tcPr>
          <w:p>
            <w:pPr>
              <w:rPr>
                <w:highlight w:val="none"/>
              </w:rPr>
            </w:pPr>
          </w:p>
        </w:tc>
        <w:tc>
          <w:tcPr>
            <w:tcW w:w="952" w:type="dxa"/>
            <w:vMerge w:val="continue"/>
            <w:shd w:val="clear" w:color="auto" w:fill="FFFFFF" w:themeFill="background1"/>
            <w:vAlign w:val="center"/>
          </w:tcPr>
          <w:p>
            <w:pPr>
              <w:rPr>
                <w:highlight w:val="none"/>
              </w:rPr>
            </w:pPr>
          </w:p>
        </w:tc>
        <w:tc>
          <w:tcPr>
            <w:tcW w:w="10131" w:type="dxa"/>
            <w:gridSpan w:val="2"/>
            <w:shd w:val="clear" w:color="auto" w:fill="FFFFFF" w:themeFill="background1"/>
            <w:vAlign w:val="center"/>
          </w:tcPr>
          <w:p>
            <w:pPr>
              <w:spacing w:before="120" w:line="360" w:lineRule="auto"/>
              <w:rPr>
                <w:rFonts w:hint="eastAsia"/>
                <w:highlight w:val="none"/>
              </w:rPr>
            </w:pPr>
            <w:r>
              <w:rPr>
                <w:rFonts w:hint="eastAsia"/>
                <w:highlight w:val="none"/>
              </w:rPr>
              <w:t>审核条款：F</w:t>
            </w:r>
            <w:r>
              <w:rPr>
                <w:rFonts w:hint="eastAsia"/>
                <w:highlight w:val="none"/>
                <w:lang w:val="en-US" w:eastAsia="zh-CN"/>
              </w:rPr>
              <w:t>SMS</w:t>
            </w:r>
            <w:r>
              <w:rPr>
                <w:rFonts w:hint="eastAsia"/>
                <w:highlight w:val="none"/>
              </w:rPr>
              <w:t>：4.1/4.2/4.3/4.4/5.1/5.2/5.3/6.1/6.2/6.3/7.1.1/7.4/9.1.1/9.2/9.3/10.1/10.2/10.3</w:t>
            </w:r>
          </w:p>
          <w:p>
            <w:pPr>
              <w:pStyle w:val="6"/>
              <w:spacing w:line="360" w:lineRule="auto"/>
              <w:ind w:firstLine="1680" w:firstLineChars="800"/>
              <w:rPr>
                <w:highlight w:val="none"/>
              </w:rPr>
            </w:pPr>
            <w:r>
              <w:rPr>
                <w:rFonts w:hint="default" w:ascii="Times New Roman" w:hAnsi="Times New Roman" w:cs="Times New Roman"/>
                <w:sz w:val="21"/>
                <w:szCs w:val="21"/>
                <w:highlight w:val="none"/>
                <w:u w:val="single"/>
              </w:rPr>
              <w:t>标准/规范/法规的执行情况、上次审核不符合项的验证、认证证书、标志的使用情况、投诉或事故、监督抽查情况、体系变动顾客投诉处理、产品召回</w:t>
            </w:r>
            <w:r>
              <w:rPr>
                <w:rFonts w:hint="eastAsia" w:ascii="Times New Roman" w:hAnsi="Times New Roman" w:cs="Times New Roman"/>
                <w:sz w:val="21"/>
                <w:szCs w:val="21"/>
                <w:highlight w:val="none"/>
                <w:u w:val="single"/>
                <w:lang w:eastAsia="zh-CN"/>
              </w:rPr>
              <w:t>、</w:t>
            </w:r>
            <w:r>
              <w:rPr>
                <w:rFonts w:hint="eastAsia" w:ascii="Times New Roman" w:hAnsi="Times New Roman" w:cs="Times New Roman"/>
                <w:sz w:val="21"/>
                <w:szCs w:val="21"/>
                <w:highlight w:val="none"/>
                <w:u w:val="single"/>
                <w:lang w:val="en-US" w:eastAsia="zh-CN"/>
              </w:rPr>
              <w:t>资质更新</w:t>
            </w:r>
            <w:r>
              <w:rPr>
                <w:rFonts w:hint="default" w:ascii="Times New Roman" w:hAnsi="Times New Roman" w:cs="Times New Roman"/>
                <w:sz w:val="21"/>
                <w:szCs w:val="21"/>
                <w:highlight w:val="none"/>
                <w:u w:val="single"/>
                <w:lang w:val="en-US" w:eastAsia="zh-CN"/>
              </w:rPr>
              <w:t>等</w:t>
            </w: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pPr>
              <w:rPr>
                <w:highlight w:val="none"/>
              </w:rPr>
            </w:pPr>
            <w:r>
              <w:rPr>
                <w:rFonts w:hint="eastAsia"/>
                <w:highlight w:val="none"/>
              </w:rPr>
              <w:t>理解组织及其所处的环境</w:t>
            </w:r>
          </w:p>
        </w:tc>
        <w:tc>
          <w:tcPr>
            <w:tcW w:w="952" w:type="dxa"/>
            <w:vMerge w:val="restart"/>
            <w:shd w:val="clear" w:color="auto" w:fill="FFFFFF" w:themeFill="background1"/>
          </w:tcPr>
          <w:p>
            <w:pPr>
              <w:rPr>
                <w:highlight w:val="none"/>
              </w:rPr>
            </w:pPr>
            <w:r>
              <w:rPr>
                <w:rFonts w:hint="eastAsia"/>
                <w:highlight w:val="none"/>
              </w:rPr>
              <w:t xml:space="preserve">F4.1 </w:t>
            </w:r>
          </w:p>
        </w:tc>
        <w:tc>
          <w:tcPr>
            <w:tcW w:w="761" w:type="dxa"/>
            <w:shd w:val="clear" w:color="auto" w:fill="FFFFFF" w:themeFill="background1"/>
          </w:tcPr>
          <w:p>
            <w:pPr>
              <w:rPr>
                <w:highlight w:val="none"/>
              </w:rPr>
            </w:pPr>
            <w:r>
              <w:rPr>
                <w:rFonts w:hint="eastAsia"/>
                <w:highlight w:val="none"/>
              </w:rPr>
              <w:t>文件名称</w:t>
            </w:r>
          </w:p>
        </w:tc>
        <w:tc>
          <w:tcPr>
            <w:tcW w:w="9370" w:type="dxa"/>
            <w:shd w:val="clear" w:color="auto" w:fill="FFFFFF" w:themeFill="background1"/>
          </w:tcPr>
          <w:p>
            <w:pPr>
              <w:rPr>
                <w:highlight w:val="none"/>
              </w:rPr>
            </w:pPr>
            <w:r>
              <w:rPr>
                <w:rFonts w:hint="eastAsia"/>
                <w:highlight w:val="none"/>
              </w:rPr>
              <w:t>如：《组织及其环境控制程序》、</w:t>
            </w:r>
            <w:r>
              <w:rPr>
                <w:highlight w:val="none"/>
              </w:rPr>
              <w:sym w:font="Wingdings" w:char="00FE"/>
            </w:r>
            <w:r>
              <w:rPr>
                <w:rFonts w:hint="eastAsia"/>
                <w:highlight w:val="none"/>
              </w:rPr>
              <w:t>管理手册第4.1条款</w:t>
            </w:r>
          </w:p>
        </w:tc>
        <w:tc>
          <w:tcPr>
            <w:tcW w:w="1587" w:type="dxa"/>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7" w:hRule="atLeast"/>
        </w:trPr>
        <w:tc>
          <w:tcPr>
            <w:tcW w:w="2044" w:type="dxa"/>
            <w:vMerge w:val="continue"/>
            <w:shd w:val="clear" w:color="auto" w:fill="FFFFFF" w:themeFill="background1"/>
          </w:tcPr>
          <w:p>
            <w:pPr>
              <w:rPr>
                <w:highlight w:val="none"/>
              </w:rPr>
            </w:pPr>
          </w:p>
        </w:tc>
        <w:tc>
          <w:tcPr>
            <w:tcW w:w="952" w:type="dxa"/>
            <w:vMerge w:val="continue"/>
            <w:shd w:val="clear" w:color="auto" w:fill="FFFFFF" w:themeFill="background1"/>
          </w:tcPr>
          <w:p>
            <w:pPr>
              <w:rPr>
                <w:highlight w:val="none"/>
              </w:rPr>
            </w:pPr>
          </w:p>
        </w:tc>
        <w:tc>
          <w:tcPr>
            <w:tcW w:w="761" w:type="dxa"/>
            <w:shd w:val="clear" w:color="auto" w:fill="FFFFFF" w:themeFill="background1"/>
          </w:tcPr>
          <w:p>
            <w:pPr>
              <w:rPr>
                <w:highlight w:val="none"/>
              </w:rPr>
            </w:pPr>
            <w:r>
              <w:rPr>
                <w:rFonts w:hint="eastAsia"/>
                <w:highlight w:val="none"/>
              </w:rPr>
              <w:t>运行证据</w:t>
            </w:r>
          </w:p>
        </w:tc>
        <w:tc>
          <w:tcPr>
            <w:tcW w:w="9370" w:type="dxa"/>
            <w:shd w:val="clear" w:color="auto" w:fill="FFFFFF" w:themeFill="background1"/>
          </w:tcPr>
          <w:p>
            <w:pPr>
              <w:rPr>
                <w:color w:val="000000"/>
                <w:szCs w:val="21"/>
                <w:highlight w:val="none"/>
              </w:rPr>
            </w:pPr>
            <w:r>
              <w:rPr>
                <w:rFonts w:hint="eastAsia"/>
                <w:color w:val="000000"/>
                <w:szCs w:val="21"/>
                <w:highlight w:val="none"/>
              </w:rPr>
              <w:t>与最高管理者沟通：</w:t>
            </w:r>
          </w:p>
          <w:p>
            <w:pPr>
              <w:rPr>
                <w:color w:val="000000"/>
                <w:szCs w:val="21"/>
                <w:highlight w:val="none"/>
              </w:rPr>
            </w:pPr>
            <w:r>
              <w:rPr>
                <w:rFonts w:hint="eastAsia"/>
                <w:color w:val="000000"/>
                <w:szCs w:val="21"/>
                <w:highlight w:val="none"/>
              </w:rPr>
              <w:t>组织的环境：</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6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tcPr>
                <w:p>
                  <w:pPr>
                    <w:rPr>
                      <w:highlight w:val="none"/>
                    </w:rPr>
                  </w:pPr>
                  <w:r>
                    <w:rPr>
                      <w:rFonts w:hint="eastAsia"/>
                      <w:highlight w:val="none"/>
                    </w:rPr>
                    <w:t>外部环境</w:t>
                  </w:r>
                </w:p>
              </w:tc>
              <w:tc>
                <w:tcPr>
                  <w:tcW w:w="6740" w:type="dxa"/>
                </w:tcPr>
                <w:p>
                  <w:pPr>
                    <w:rPr>
                      <w:highlight w:val="none"/>
                    </w:rPr>
                  </w:pPr>
                  <w:r>
                    <w:rPr>
                      <w:rFonts w:hint="eastAsia"/>
                      <w:highlight w:val="none"/>
                    </w:rPr>
                    <w:t xml:space="preserve">☑法律法规 </w:t>
                  </w:r>
                  <w:r>
                    <w:rPr>
                      <w:rFonts w:hint="eastAsia"/>
                      <w:highlight w:val="none"/>
                    </w:rPr>
                    <w:sym w:font="Wingdings 2" w:char="00A3"/>
                  </w:r>
                  <w:r>
                    <w:rPr>
                      <w:rFonts w:hint="eastAsia"/>
                      <w:highlight w:val="none"/>
                    </w:rPr>
                    <w:t>技术 ☑竞争 ☑市场 ☑文化 ☑社会 ☑经济环境 □</w:t>
                  </w:r>
                  <w:r>
                    <w:rPr>
                      <w:rFonts w:hint="eastAsia"/>
                      <w:color w:val="000000"/>
                      <w:szCs w:val="21"/>
                      <w:highlight w:val="none"/>
                    </w:rPr>
                    <w:t>网络安全</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t>□</w:t>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tcPr>
                <w:p>
                  <w:pPr>
                    <w:rPr>
                      <w:highlight w:val="none"/>
                    </w:rPr>
                  </w:pPr>
                  <w:r>
                    <w:rPr>
                      <w:rFonts w:hint="eastAsia"/>
                      <w:highlight w:val="none"/>
                    </w:rPr>
                    <w:t>列举主要的内容</w:t>
                  </w:r>
                </w:p>
              </w:tc>
              <w:tc>
                <w:tcPr>
                  <w:tcW w:w="6740" w:type="dxa"/>
                </w:tcPr>
                <w:p>
                  <w:pPr>
                    <w:rPr>
                      <w:rFonts w:hint="default" w:eastAsia="宋体"/>
                      <w:highlight w:val="none"/>
                      <w:lang w:val="en-US" w:eastAsia="zh-CN"/>
                    </w:rPr>
                  </w:pPr>
                  <w:r>
                    <w:rPr>
                      <w:rFonts w:hint="eastAsia"/>
                      <w:highlight w:val="none"/>
                      <w:lang w:val="en-US" w:eastAsia="zh-CN"/>
                    </w:rPr>
                    <w:t>市场竞争较好，客户均是合作多年的好客户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tcPr>
                <w:p>
                  <w:pPr>
                    <w:rPr>
                      <w:highlight w:val="none"/>
                    </w:rPr>
                  </w:pPr>
                  <w:r>
                    <w:rPr>
                      <w:rFonts w:hint="eastAsia"/>
                      <w:highlight w:val="none"/>
                    </w:rPr>
                    <w:t>内部环境</w:t>
                  </w:r>
                </w:p>
              </w:tc>
              <w:tc>
                <w:tcPr>
                  <w:tcW w:w="6740" w:type="dxa"/>
                </w:tcPr>
                <w:p>
                  <w:pPr>
                    <w:rPr>
                      <w:highlight w:val="none"/>
                    </w:rPr>
                  </w:pPr>
                  <w:r>
                    <w:rPr>
                      <w:rFonts w:hint="eastAsia"/>
                      <w:highlight w:val="none"/>
                    </w:rPr>
                    <w:t xml:space="preserve">☑价值观  </w:t>
                  </w:r>
                  <w:r>
                    <w:rPr>
                      <w:rFonts w:hint="eastAsia"/>
                      <w:highlight w:val="none"/>
                    </w:rPr>
                    <w:sym w:font="Wingdings 2" w:char="0052"/>
                  </w:r>
                  <w:r>
                    <w:rPr>
                      <w:rFonts w:hint="eastAsia"/>
                      <w:highlight w:val="none"/>
                    </w:rPr>
                    <w:t xml:space="preserve">文化  </w:t>
                  </w:r>
                  <w:r>
                    <w:rPr>
                      <w:rFonts w:hint="eastAsia"/>
                      <w:highlight w:val="none"/>
                    </w:rPr>
                    <w:sym w:font="Wingdings 2" w:char="0052"/>
                  </w:r>
                  <w:r>
                    <w:rPr>
                      <w:rFonts w:hint="eastAsia"/>
                      <w:highlight w:val="none"/>
                    </w:rPr>
                    <w:t xml:space="preserve">知识 □绩效 □工艺 </w:t>
                  </w:r>
                  <w:r>
                    <w:rPr>
                      <w:rFonts w:hint="eastAsia"/>
                      <w:highlight w:val="none"/>
                      <w:lang w:eastAsia="zh-CN"/>
                    </w:rPr>
                    <w:t>□</w:t>
                  </w:r>
                  <w:r>
                    <w:rPr>
                      <w:rFonts w:hint="eastAsia"/>
                      <w:highlight w:val="none"/>
                    </w:rPr>
                    <w:t xml:space="preserve">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tcPr>
                <w:p>
                  <w:pPr>
                    <w:rPr>
                      <w:highlight w:val="none"/>
                    </w:rPr>
                  </w:pPr>
                  <w:r>
                    <w:rPr>
                      <w:rFonts w:hint="eastAsia"/>
                      <w:highlight w:val="none"/>
                    </w:rPr>
                    <w:t>列举主要的内容</w:t>
                  </w:r>
                </w:p>
              </w:tc>
              <w:tc>
                <w:tcPr>
                  <w:tcW w:w="6740" w:type="dxa"/>
                </w:tcPr>
                <w:p>
                  <w:pPr>
                    <w:rPr>
                      <w:rFonts w:hint="default" w:eastAsia="宋体"/>
                      <w:sz w:val="21"/>
                      <w:szCs w:val="21"/>
                      <w:highlight w:val="none"/>
                      <w:lang w:val="en-US" w:eastAsia="zh-CN"/>
                    </w:rPr>
                  </w:pPr>
                  <w:r>
                    <w:rPr>
                      <w:rFonts w:hint="eastAsia"/>
                      <w:sz w:val="21"/>
                      <w:szCs w:val="21"/>
                      <w:highlight w:val="none"/>
                      <w:lang w:val="en-US" w:eastAsia="zh-CN"/>
                    </w:rPr>
                    <w:t>较为关注人员能力、企业文化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2" w:type="dxa"/>
                </w:tcPr>
                <w:p>
                  <w:pPr>
                    <w:rPr>
                      <w:highlight w:val="none"/>
                    </w:rPr>
                  </w:pPr>
                  <w:r>
                    <w:rPr>
                      <w:rFonts w:hint="eastAsia"/>
                      <w:color w:val="000000"/>
                      <w:szCs w:val="21"/>
                      <w:highlight w:val="none"/>
                    </w:rPr>
                    <w:t>组织优势说明</w:t>
                  </w:r>
                </w:p>
              </w:tc>
              <w:tc>
                <w:tcPr>
                  <w:tcW w:w="6740" w:type="dxa"/>
                </w:tcPr>
                <w:p>
                  <w:pPr>
                    <w:rPr>
                      <w:rFonts w:hint="eastAsia"/>
                      <w:sz w:val="21"/>
                      <w:szCs w:val="21"/>
                      <w:highlight w:val="none"/>
                      <w:lang w:val="en-US" w:eastAsia="zh-CN"/>
                    </w:rPr>
                  </w:pPr>
                  <w:r>
                    <w:rPr>
                      <w:rFonts w:hint="eastAsia"/>
                      <w:sz w:val="21"/>
                      <w:szCs w:val="21"/>
                      <w:highlight w:val="none"/>
                    </w:rPr>
                    <w:t>与</w:t>
                  </w:r>
                  <w:r>
                    <w:rPr>
                      <w:rFonts w:hint="eastAsia"/>
                      <w:sz w:val="21"/>
                      <w:szCs w:val="21"/>
                      <w:highlight w:val="none"/>
                      <w:lang w:val="en-US" w:eastAsia="zh-CN"/>
                    </w:rPr>
                    <w:t>客户合作多年，良好的口碑；</w:t>
                  </w:r>
                </w:p>
                <w:p>
                  <w:pPr>
                    <w:pStyle w:val="2"/>
                    <w:rPr>
                      <w:rFonts w:hint="default"/>
                      <w:sz w:val="21"/>
                      <w:szCs w:val="21"/>
                      <w:highlight w:val="none"/>
                      <w:lang w:val="en-US" w:eastAsia="zh-CN"/>
                    </w:rPr>
                  </w:pPr>
                  <w:r>
                    <w:rPr>
                      <w:rFonts w:hint="eastAsia"/>
                      <w:sz w:val="21"/>
                      <w:szCs w:val="21"/>
                      <w:highlight w:val="none"/>
                      <w:lang w:val="en-US" w:eastAsia="zh-CN"/>
                    </w:rPr>
                    <w:t>销</w:t>
                  </w:r>
                  <w:r>
                    <w:rPr>
                      <w:rFonts w:hint="eastAsia" w:ascii="Times New Roman" w:hAnsi="Times New Roman" w:eastAsia="宋体" w:cs="Times New Roman"/>
                      <w:kern w:val="2"/>
                      <w:sz w:val="21"/>
                      <w:szCs w:val="21"/>
                      <w:highlight w:val="none"/>
                      <w:lang w:val="en-US" w:eastAsia="zh-CN" w:bidi="ar-SA"/>
                    </w:rPr>
                    <w:t>售行业经营多年，经验比较丰富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tcPr>
                <w:p>
                  <w:pPr>
                    <w:rPr>
                      <w:highlight w:val="none"/>
                    </w:rPr>
                  </w:pPr>
                  <w:r>
                    <w:rPr>
                      <w:rFonts w:hint="eastAsia"/>
                      <w:color w:val="000000"/>
                      <w:szCs w:val="21"/>
                      <w:highlight w:val="none"/>
                    </w:rPr>
                    <w:t>组织劣势说明</w:t>
                  </w:r>
                </w:p>
              </w:tc>
              <w:tc>
                <w:tcPr>
                  <w:tcW w:w="6740" w:type="dxa"/>
                </w:tcPr>
                <w:p>
                  <w:pPr>
                    <w:rPr>
                      <w:rFonts w:hint="default"/>
                      <w:sz w:val="21"/>
                      <w:szCs w:val="21"/>
                      <w:highlight w:val="none"/>
                      <w:lang w:val="en-US" w:eastAsia="zh-CN"/>
                    </w:rPr>
                  </w:pPr>
                  <w:r>
                    <w:rPr>
                      <w:rFonts w:hint="eastAsia"/>
                      <w:sz w:val="21"/>
                      <w:szCs w:val="21"/>
                      <w:highlight w:val="none"/>
                    </w:rPr>
                    <w:t>属于初级行业，操作人员的文化水平较低，食品安全意识有待提高</w:t>
                  </w:r>
                  <w:r>
                    <w:rPr>
                      <w:rFonts w:hint="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tcPr>
                <w:p>
                  <w:pPr>
                    <w:rPr>
                      <w:highlight w:val="none"/>
                    </w:rPr>
                  </w:pPr>
                  <w:r>
                    <w:rPr>
                      <w:rFonts w:hint="eastAsia"/>
                      <w:color w:val="000000"/>
                      <w:szCs w:val="21"/>
                      <w:highlight w:val="none"/>
                    </w:rPr>
                    <w:t>主要风险的说明</w:t>
                  </w:r>
                </w:p>
              </w:tc>
              <w:tc>
                <w:tcPr>
                  <w:tcW w:w="6740" w:type="dxa"/>
                </w:tcPr>
                <w:p>
                  <w:pPr>
                    <w:rPr>
                      <w:rFonts w:hint="eastAsia"/>
                      <w:sz w:val="21"/>
                      <w:szCs w:val="21"/>
                      <w:highlight w:val="none"/>
                      <w:lang w:val="en-US" w:eastAsia="zh-CN"/>
                    </w:rPr>
                  </w:pPr>
                  <w:r>
                    <w:rPr>
                      <w:rFonts w:hint="eastAsia"/>
                      <w:sz w:val="21"/>
                      <w:szCs w:val="21"/>
                      <w:highlight w:val="none"/>
                      <w:lang w:val="en-US" w:eastAsia="zh-CN"/>
                    </w:rPr>
                    <w:t>粮食农残、重金属超标</w:t>
                  </w:r>
                </w:p>
                <w:p>
                  <w:pPr>
                    <w:pStyle w:val="2"/>
                    <w:rPr>
                      <w:rFonts w:hint="default"/>
                      <w:sz w:val="21"/>
                      <w:szCs w:val="21"/>
                      <w:highlight w:val="none"/>
                      <w:lang w:val="en-US" w:eastAsia="zh-CN"/>
                    </w:rPr>
                  </w:pPr>
                  <w:r>
                    <w:rPr>
                      <w:rFonts w:hint="eastAsia"/>
                      <w:sz w:val="21"/>
                      <w:szCs w:val="21"/>
                      <w:highlight w:val="none"/>
                      <w:lang w:val="en-US" w:eastAsia="zh-CN"/>
                    </w:rPr>
                    <w:t>顾客满意度降低或顾客投诉</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tcPr>
                <w:p>
                  <w:pPr>
                    <w:rPr>
                      <w:highlight w:val="none"/>
                    </w:rPr>
                  </w:pPr>
                  <w:r>
                    <w:rPr>
                      <w:rFonts w:hint="eastAsia"/>
                      <w:color w:val="000000"/>
                      <w:szCs w:val="21"/>
                      <w:highlight w:val="none"/>
                    </w:rPr>
                    <w:t>机遇的说明</w:t>
                  </w:r>
                </w:p>
              </w:tc>
              <w:tc>
                <w:tcPr>
                  <w:tcW w:w="6740" w:type="dxa"/>
                </w:tcPr>
                <w:p>
                  <w:pPr>
                    <w:rPr>
                      <w:rFonts w:hint="eastAsia"/>
                      <w:sz w:val="21"/>
                      <w:szCs w:val="21"/>
                      <w:highlight w:val="none"/>
                      <w:lang w:val="en-US" w:eastAsia="zh-CN"/>
                    </w:rPr>
                  </w:pPr>
                  <w:r>
                    <w:rPr>
                      <w:rFonts w:hint="eastAsia"/>
                      <w:sz w:val="21"/>
                      <w:szCs w:val="21"/>
                      <w:highlight w:val="none"/>
                      <w:lang w:val="en-US" w:eastAsia="zh-CN"/>
                    </w:rPr>
                    <w:t>经营多年，同行口碑较好，赢得了更多客户；</w:t>
                  </w:r>
                </w:p>
                <w:p>
                  <w:pPr>
                    <w:pStyle w:val="2"/>
                    <w:rPr>
                      <w:rFonts w:hint="default"/>
                      <w:sz w:val="21"/>
                      <w:szCs w:val="21"/>
                      <w:highlight w:val="none"/>
                      <w:lang w:val="en-US" w:eastAsia="zh-CN"/>
                    </w:rPr>
                  </w:pPr>
                  <w:r>
                    <w:rPr>
                      <w:rFonts w:hint="eastAsia"/>
                      <w:sz w:val="21"/>
                      <w:szCs w:val="21"/>
                      <w:highlight w:val="none"/>
                      <w:lang w:val="en-US" w:eastAsia="zh-CN"/>
                    </w:rPr>
                    <w:t>通过建立体系，强化内部管理，为投标赢得更过机会。</w:t>
                  </w:r>
                </w:p>
              </w:tc>
            </w:tr>
          </w:tbl>
          <w:p>
            <w:pPr>
              <w:rPr>
                <w:color w:val="000000"/>
                <w:szCs w:val="21"/>
                <w:highlight w:val="none"/>
              </w:rPr>
            </w:pPr>
          </w:p>
          <w:p>
            <w:pPr>
              <w:rPr>
                <w:rFonts w:hint="default" w:eastAsia="宋体"/>
                <w:color w:val="000000"/>
                <w:szCs w:val="21"/>
                <w:highlight w:val="none"/>
                <w:lang w:val="en-US" w:eastAsia="zh-CN"/>
              </w:rPr>
            </w:pPr>
            <w:r>
              <w:rPr>
                <w:rFonts w:hint="eastAsia"/>
                <w:color w:val="000000"/>
                <w:szCs w:val="21"/>
                <w:highlight w:val="none"/>
              </w:rPr>
              <w:t>主要证据体现在</w:t>
            </w:r>
            <w:r>
              <w:rPr>
                <w:rFonts w:hint="eastAsia"/>
                <w:highlight w:val="none"/>
              </w:rPr>
              <w:t xml:space="preserve"> </w:t>
            </w:r>
            <w:r>
              <w:rPr>
                <w:rFonts w:hint="eastAsia"/>
                <w:highlight w:val="none"/>
              </w:rPr>
              <w:sym w:font="Wingdings" w:char="00A8"/>
            </w:r>
            <w:r>
              <w:rPr>
                <w:rFonts w:hint="eastAsia"/>
                <w:highlight w:val="none"/>
              </w:rPr>
              <w:t>《</w:t>
            </w:r>
            <w:r>
              <w:rPr>
                <w:rFonts w:hint="eastAsia"/>
                <w:highlight w:val="none"/>
                <w:lang w:val="en-US" w:eastAsia="zh-CN"/>
              </w:rPr>
              <w:t>内外部环境因素分析表</w:t>
            </w:r>
            <w:r>
              <w:rPr>
                <w:rFonts w:hint="eastAsia"/>
                <w:highlight w:val="none"/>
              </w:rPr>
              <w:t xml:space="preserve">》  </w:t>
            </w:r>
            <w:r>
              <w:rPr>
                <w:rFonts w:hint="eastAsia"/>
                <w:highlight w:val="none"/>
              </w:rPr>
              <w:sym w:font="Wingdings" w:char="00A8"/>
            </w:r>
            <w:r>
              <w:rPr>
                <w:rFonts w:hint="eastAsia"/>
                <w:highlight w:val="none"/>
              </w:rPr>
              <w:t xml:space="preserve">《年度业务计划》 </w:t>
            </w:r>
            <w:r>
              <w:rPr>
                <w:rFonts w:hint="eastAsia"/>
                <w:highlight w:val="none"/>
              </w:rPr>
              <w:sym w:font="Wingdings" w:char="00A8"/>
            </w:r>
            <w:r>
              <w:rPr>
                <w:rFonts w:hint="eastAsia"/>
                <w:highlight w:val="none"/>
              </w:rPr>
              <w:t>其他《风险识别评估记录表-组织风险和机遇控制清单》</w:t>
            </w:r>
            <w:r>
              <w:rPr>
                <w:rFonts w:hint="eastAsia"/>
                <w:highlight w:val="none"/>
                <w:lang w:eastAsia="zh-CN"/>
              </w:rPr>
              <w:t>——</w:t>
            </w:r>
            <w:r>
              <w:rPr>
                <w:rFonts w:hint="eastAsia"/>
                <w:highlight w:val="none"/>
                <w:lang w:val="en-US" w:eastAsia="zh-CN"/>
              </w:rPr>
              <w:t>现场沟通</w:t>
            </w: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pPr>
              <w:rPr>
                <w:highlight w:val="none"/>
              </w:rPr>
            </w:pPr>
            <w:r>
              <w:rPr>
                <w:rFonts w:hint="eastAsia"/>
                <w:highlight w:val="none"/>
              </w:rPr>
              <w:t>理解相关方的需求和期望</w:t>
            </w:r>
          </w:p>
        </w:tc>
        <w:tc>
          <w:tcPr>
            <w:tcW w:w="952" w:type="dxa"/>
            <w:vMerge w:val="restart"/>
            <w:shd w:val="clear" w:color="auto" w:fill="FFFFFF" w:themeFill="background1"/>
          </w:tcPr>
          <w:p>
            <w:pPr>
              <w:rPr>
                <w:highlight w:val="none"/>
              </w:rPr>
            </w:pPr>
            <w:r>
              <w:rPr>
                <w:rFonts w:hint="eastAsia"/>
                <w:highlight w:val="none"/>
              </w:rPr>
              <w:t xml:space="preserve">F4.2 </w:t>
            </w:r>
          </w:p>
        </w:tc>
        <w:tc>
          <w:tcPr>
            <w:tcW w:w="761" w:type="dxa"/>
            <w:shd w:val="clear" w:color="auto" w:fill="FFFFFF" w:themeFill="background1"/>
          </w:tcPr>
          <w:p>
            <w:pPr>
              <w:rPr>
                <w:highlight w:val="none"/>
              </w:rPr>
            </w:pPr>
            <w:r>
              <w:rPr>
                <w:rFonts w:hint="eastAsia"/>
                <w:highlight w:val="none"/>
              </w:rPr>
              <w:t>文件名称</w:t>
            </w:r>
          </w:p>
        </w:tc>
        <w:tc>
          <w:tcPr>
            <w:tcW w:w="9370" w:type="dxa"/>
            <w:shd w:val="clear" w:color="auto" w:fill="FFFFFF" w:themeFill="background1"/>
          </w:tcPr>
          <w:p>
            <w:pPr>
              <w:rPr>
                <w:highlight w:val="none"/>
              </w:rPr>
            </w:pPr>
            <w:r>
              <w:rPr>
                <w:rFonts w:hint="eastAsia"/>
                <w:highlight w:val="none"/>
              </w:rPr>
              <w:t>如：《理解相关方的需求和期望控制程序》、</w:t>
            </w:r>
            <w:r>
              <w:rPr>
                <w:rFonts w:hint="eastAsia"/>
                <w:highlight w:val="none"/>
              </w:rPr>
              <w:sym w:font="Wingdings" w:char="00FE"/>
            </w:r>
            <w:r>
              <w:rPr>
                <w:rFonts w:hint="eastAsia"/>
                <w:highlight w:val="none"/>
              </w:rPr>
              <w:t>管理手册第4.2条款</w:t>
            </w:r>
          </w:p>
        </w:tc>
        <w:tc>
          <w:tcPr>
            <w:tcW w:w="1587" w:type="dxa"/>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11" w:hRule="atLeast"/>
        </w:trPr>
        <w:tc>
          <w:tcPr>
            <w:tcW w:w="2044" w:type="dxa"/>
            <w:vMerge w:val="continue"/>
            <w:shd w:val="clear" w:color="auto" w:fill="FFFFFF" w:themeFill="background1"/>
          </w:tcPr>
          <w:p>
            <w:pPr>
              <w:rPr>
                <w:highlight w:val="none"/>
              </w:rPr>
            </w:pPr>
          </w:p>
        </w:tc>
        <w:tc>
          <w:tcPr>
            <w:tcW w:w="952" w:type="dxa"/>
            <w:vMerge w:val="continue"/>
            <w:shd w:val="clear" w:color="auto" w:fill="FFFFFF" w:themeFill="background1"/>
          </w:tcPr>
          <w:p>
            <w:pPr>
              <w:rPr>
                <w:highlight w:val="none"/>
              </w:rPr>
            </w:pPr>
          </w:p>
        </w:tc>
        <w:tc>
          <w:tcPr>
            <w:tcW w:w="761" w:type="dxa"/>
            <w:shd w:val="clear" w:color="auto" w:fill="FFFFFF" w:themeFill="background1"/>
          </w:tcPr>
          <w:p>
            <w:pPr>
              <w:rPr>
                <w:highlight w:val="none"/>
              </w:rPr>
            </w:pPr>
            <w:r>
              <w:rPr>
                <w:rFonts w:hint="eastAsia"/>
                <w:highlight w:val="none"/>
              </w:rPr>
              <w:t>运行证据</w:t>
            </w:r>
          </w:p>
        </w:tc>
        <w:tc>
          <w:tcPr>
            <w:tcW w:w="9370" w:type="dxa"/>
            <w:shd w:val="clear" w:color="auto" w:fill="FFFFFF" w:themeFill="background1"/>
          </w:tcPr>
          <w:p>
            <w:pPr>
              <w:rPr>
                <w:color w:val="000000"/>
                <w:szCs w:val="21"/>
                <w:highlight w:val="none"/>
              </w:rPr>
            </w:pPr>
            <w:r>
              <w:rPr>
                <w:rFonts w:hint="eastAsia"/>
                <w:color w:val="000000"/>
                <w:szCs w:val="21"/>
                <w:highlight w:val="none"/>
              </w:rPr>
              <w:t xml:space="preserve"> </w:t>
            </w:r>
          </w:p>
          <w:tbl>
            <w:tblPr>
              <w:tblStyle w:val="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重要的相关方</w:t>
                  </w:r>
                </w:p>
              </w:tc>
              <w:tc>
                <w:tcPr>
                  <w:tcW w:w="2495" w:type="dxa"/>
                </w:tcPr>
                <w:p>
                  <w:pPr>
                    <w:rPr>
                      <w:highlight w:val="none"/>
                    </w:rPr>
                  </w:pPr>
                  <w:r>
                    <w:rPr>
                      <w:rFonts w:hint="eastAsia"/>
                      <w:highlight w:val="none"/>
                    </w:rPr>
                    <w:t>相关方名称举例</w:t>
                  </w:r>
                </w:p>
              </w:tc>
              <w:tc>
                <w:tcPr>
                  <w:tcW w:w="3611" w:type="dxa"/>
                </w:tcPr>
                <w:p>
                  <w:pPr>
                    <w:rPr>
                      <w:highlight w:val="none"/>
                    </w:rPr>
                  </w:pPr>
                  <w:r>
                    <w:rPr>
                      <w:rFonts w:hint="eastAsia"/>
                      <w:highlight w:val="none"/>
                    </w:rPr>
                    <w:t>重要的相关方需求和希望（不必全选）</w:t>
                  </w:r>
                </w:p>
              </w:tc>
              <w:tc>
                <w:tcPr>
                  <w:tcW w:w="1324" w:type="dxa"/>
                </w:tcPr>
                <w:p>
                  <w:pPr>
                    <w:rPr>
                      <w:highlight w:val="none"/>
                    </w:rPr>
                  </w:pPr>
                  <w:r>
                    <w:rPr>
                      <w:rFonts w:hint="eastAsia"/>
                      <w:highlight w:val="none"/>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☑主管部门</w:t>
                  </w:r>
                </w:p>
              </w:tc>
              <w:tc>
                <w:tcPr>
                  <w:tcW w:w="2495"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习水县市场监督</w:t>
                  </w:r>
                  <w:r>
                    <w:rPr>
                      <w:highlight w:val="none"/>
                    </w:rPr>
                    <w:t>管理局</w:t>
                  </w:r>
                </w:p>
              </w:tc>
              <w:tc>
                <w:tcPr>
                  <w:tcW w:w="3611" w:type="dxa"/>
                </w:tcPr>
                <w:p>
                  <w:pPr>
                    <w:rPr>
                      <w:highlight w:val="none"/>
                    </w:rPr>
                  </w:pPr>
                  <w:r>
                    <w:rPr>
                      <w:rFonts w:hint="eastAsia"/>
                      <w:highlight w:val="none"/>
                    </w:rPr>
                    <w:t>☑遵守食品安全相关的法律法规</w:t>
                  </w:r>
                </w:p>
                <w:p>
                  <w:pPr>
                    <w:rPr>
                      <w:highlight w:val="none"/>
                    </w:rPr>
                  </w:pPr>
                  <w:r>
                    <w:rPr>
                      <w:rFonts w:hint="eastAsia"/>
                      <w:highlight w:val="none"/>
                    </w:rPr>
                    <w:t>□</w:t>
                  </w:r>
                </w:p>
              </w:tc>
              <w:tc>
                <w:tcPr>
                  <w:tcW w:w="1324"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481" w:type="dxa"/>
                </w:tcPr>
                <w:p>
                  <w:pPr>
                    <w:rPr>
                      <w:highlight w:val="none"/>
                    </w:rPr>
                  </w:pPr>
                  <w:r>
                    <w:rPr>
                      <w:rFonts w:hint="eastAsia"/>
                      <w:highlight w:val="none"/>
                    </w:rPr>
                    <w:t>☑供方</w:t>
                  </w:r>
                </w:p>
              </w:tc>
              <w:tc>
                <w:tcPr>
                  <w:tcW w:w="249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达州市中贸粮油有限公司、吉林省辉农粳稻科学技术开发有限公司</w:t>
                  </w:r>
                  <w:r>
                    <w:rPr>
                      <w:rFonts w:hint="eastAsia"/>
                      <w:highlight w:val="none"/>
                      <w:lang w:val="en-US" w:eastAsia="zh-CN"/>
                    </w:rPr>
                    <w:t>等</w:t>
                  </w:r>
                </w:p>
              </w:tc>
              <w:tc>
                <w:tcPr>
                  <w:tcW w:w="3611" w:type="dxa"/>
                </w:tcPr>
                <w:p>
                  <w:pPr>
                    <w:rPr>
                      <w:highlight w:val="none"/>
                    </w:rPr>
                  </w:pPr>
                  <w:r>
                    <w:rPr>
                      <w:rFonts w:hint="eastAsia"/>
                      <w:highlight w:val="none"/>
                    </w:rPr>
                    <w:t>☑组织的持续经营、明示采购的食品安全要求</w:t>
                  </w:r>
                </w:p>
                <w:p>
                  <w:pPr>
                    <w:rPr>
                      <w:highlight w:val="none"/>
                    </w:rPr>
                  </w:pPr>
                  <w:r>
                    <w:rPr>
                      <w:rFonts w:hint="eastAsia"/>
                      <w:highlight w:val="none"/>
                    </w:rPr>
                    <w:t>□</w:t>
                  </w:r>
                </w:p>
              </w:tc>
              <w:tc>
                <w:tcPr>
                  <w:tcW w:w="1324"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☑顾客</w:t>
                  </w:r>
                </w:p>
              </w:tc>
              <w:tc>
                <w:tcPr>
                  <w:tcW w:w="249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习酒有限</w:t>
                  </w:r>
                  <w:r>
                    <w:rPr>
                      <w:highlight w:val="none"/>
                    </w:rPr>
                    <w:t>责任</w:t>
                  </w:r>
                  <w:r>
                    <w:rPr>
                      <w:rFonts w:hint="eastAsia"/>
                      <w:highlight w:val="none"/>
                    </w:rPr>
                    <w:t>公司</w:t>
                  </w:r>
                </w:p>
              </w:tc>
              <w:tc>
                <w:tcPr>
                  <w:tcW w:w="3611" w:type="dxa"/>
                </w:tcPr>
                <w:p>
                  <w:pPr>
                    <w:ind w:left="210" w:hanging="210" w:hangingChars="100"/>
                    <w:rPr>
                      <w:highlight w:val="none"/>
                    </w:rPr>
                  </w:pPr>
                  <w:r>
                    <w:rPr>
                      <w:rFonts w:hint="eastAsia"/>
                      <w:highlight w:val="none"/>
                    </w:rPr>
                    <w:t>☑不因食品安全问题影响按时按质按量交付产品或服务；</w:t>
                  </w:r>
                </w:p>
                <w:p>
                  <w:pPr>
                    <w:rPr>
                      <w:highlight w:val="none"/>
                    </w:rPr>
                  </w:pPr>
                  <w:r>
                    <w:rPr>
                      <w:rFonts w:hint="eastAsia"/>
                      <w:highlight w:val="none"/>
                    </w:rPr>
                    <w:t>□</w:t>
                  </w:r>
                </w:p>
              </w:tc>
              <w:tc>
                <w:tcPr>
                  <w:tcW w:w="1324"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lang w:eastAsia="zh-CN"/>
                    </w:rPr>
                    <w:t>□</w:t>
                  </w:r>
                  <w:r>
                    <w:rPr>
                      <w:rFonts w:hint="eastAsia"/>
                      <w:highlight w:val="none"/>
                    </w:rPr>
                    <w:t>消费者</w:t>
                  </w:r>
                </w:p>
              </w:tc>
              <w:tc>
                <w:tcPr>
                  <w:tcW w:w="2495" w:type="dxa"/>
                  <w:vAlign w:val="top"/>
                </w:tcPr>
                <w:p>
                  <w:pP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c>
                <w:tcPr>
                  <w:tcW w:w="3611" w:type="dxa"/>
                </w:tcPr>
                <w:p>
                  <w:pPr>
                    <w:rPr>
                      <w:highlight w:val="none"/>
                    </w:rPr>
                  </w:pPr>
                  <w:r>
                    <w:rPr>
                      <w:rFonts w:hint="eastAsia"/>
                      <w:highlight w:val="none"/>
                      <w:lang w:eastAsia="zh-CN"/>
                    </w:rPr>
                    <w:t>□</w:t>
                  </w:r>
                  <w:r>
                    <w:rPr>
                      <w:rFonts w:hint="eastAsia"/>
                      <w:highlight w:val="none"/>
                    </w:rPr>
                    <w:t>不因食品安全问题带来健康损害和生命威胁</w:t>
                  </w:r>
                </w:p>
                <w:p>
                  <w:pPr>
                    <w:rPr>
                      <w:highlight w:val="none"/>
                    </w:rPr>
                  </w:pPr>
                  <w:r>
                    <w:rPr>
                      <w:rFonts w:hint="eastAsia"/>
                      <w:highlight w:val="none"/>
                    </w:rPr>
                    <w:t>□</w:t>
                  </w:r>
                </w:p>
              </w:tc>
              <w:tc>
                <w:tcPr>
                  <w:tcW w:w="1324"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highlight w:val="none"/>
                    </w:rPr>
                  </w:pPr>
                  <w:r>
                    <w:rPr>
                      <w:rFonts w:hint="eastAsia"/>
                      <w:highlight w:val="none"/>
                    </w:rPr>
                    <w:t>☑员工</w:t>
                  </w:r>
                </w:p>
              </w:tc>
              <w:tc>
                <w:tcPr>
                  <w:tcW w:w="2495"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szCs w:val="24"/>
                      <w:highlight w:val="none"/>
                    </w:rPr>
                    <w:t>职工</w:t>
                  </w:r>
                </w:p>
              </w:tc>
              <w:tc>
                <w:tcPr>
                  <w:tcW w:w="3611" w:type="dxa"/>
                </w:tcPr>
                <w:p>
                  <w:pPr>
                    <w:rPr>
                      <w:highlight w:val="none"/>
                    </w:rPr>
                  </w:pPr>
                  <w:r>
                    <w:rPr>
                      <w:rFonts w:hint="eastAsia"/>
                      <w:highlight w:val="none"/>
                    </w:rPr>
                    <w:t>☑不因食品安全问题停产，组织持续经营，按时发放工资，缴纳社保</w:t>
                  </w:r>
                </w:p>
                <w:p>
                  <w:pPr>
                    <w:rPr>
                      <w:highlight w:val="none"/>
                    </w:rPr>
                  </w:pPr>
                  <w:r>
                    <w:rPr>
                      <w:rFonts w:hint="eastAsia"/>
                      <w:highlight w:val="none"/>
                    </w:rPr>
                    <w:t>□</w:t>
                  </w:r>
                </w:p>
              </w:tc>
              <w:tc>
                <w:tcPr>
                  <w:tcW w:w="1324"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hint="eastAsia"/>
                      <w:highlight w:val="none"/>
                    </w:rPr>
                  </w:pPr>
                  <w:r>
                    <w:rPr>
                      <w:rFonts w:hint="eastAsia"/>
                      <w:highlight w:val="none"/>
                    </w:rPr>
                    <w:t>□投资方</w:t>
                  </w:r>
                </w:p>
                <w:p>
                  <w:pPr>
                    <w:pStyle w:val="2"/>
                    <w:rPr>
                      <w:highlight w:val="none"/>
                    </w:rPr>
                  </w:pPr>
                </w:p>
              </w:tc>
              <w:tc>
                <w:tcPr>
                  <w:tcW w:w="2495" w:type="dxa"/>
                  <w:vAlign w:val="top"/>
                </w:tcPr>
                <w:p>
                  <w:pPr>
                    <w:rPr>
                      <w:rFonts w:ascii="Times New Roman" w:hAnsi="Times New Roman" w:eastAsia="宋体" w:cs="Times New Roman"/>
                      <w:kern w:val="2"/>
                      <w:sz w:val="21"/>
                      <w:highlight w:val="none"/>
                      <w:lang w:val="en-US" w:eastAsia="zh-CN" w:bidi="ar-SA"/>
                    </w:rPr>
                  </w:pPr>
                  <w:r>
                    <w:rPr>
                      <w:highlight w:val="none"/>
                    </w:rPr>
                    <w:softHyphen/>
                  </w:r>
                  <w:r>
                    <w:rPr>
                      <w:highlight w:val="none"/>
                    </w:rPr>
                    <w:t>——</w:t>
                  </w:r>
                </w:p>
              </w:tc>
              <w:tc>
                <w:tcPr>
                  <w:tcW w:w="3611" w:type="dxa"/>
                </w:tcPr>
                <w:p>
                  <w:pPr>
                    <w:rPr>
                      <w:highlight w:val="none"/>
                    </w:rPr>
                  </w:pPr>
                  <w:r>
                    <w:rPr>
                      <w:rFonts w:hint="eastAsia"/>
                      <w:highlight w:val="none"/>
                    </w:rPr>
                    <w:t>□不因食品安全问题停产，组织持续经营、盈利</w:t>
                  </w:r>
                </w:p>
                <w:p>
                  <w:pPr>
                    <w:rPr>
                      <w:highlight w:val="none"/>
                    </w:rPr>
                  </w:pPr>
                  <w:r>
                    <w:rPr>
                      <w:rFonts w:hint="eastAsia"/>
                      <w:highlight w:val="none"/>
                    </w:rPr>
                    <w:t>□</w:t>
                  </w:r>
                </w:p>
              </w:tc>
              <w:tc>
                <w:tcPr>
                  <w:tcW w:w="1324"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sym w:font="Wingdings 2" w:char="0052"/>
                  </w:r>
                  <w:r>
                    <w:rPr>
                      <w:rFonts w:hint="eastAsia"/>
                      <w:highlight w:val="none"/>
                    </w:rPr>
                    <w:t>社区</w:t>
                  </w:r>
                </w:p>
              </w:tc>
              <w:tc>
                <w:tcPr>
                  <w:tcW w:w="2495"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周边</w:t>
                  </w:r>
                  <w:r>
                    <w:rPr>
                      <w:highlight w:val="none"/>
                    </w:rPr>
                    <w:t>居民</w:t>
                  </w:r>
                </w:p>
              </w:tc>
              <w:tc>
                <w:tcPr>
                  <w:tcW w:w="3611" w:type="dxa"/>
                </w:tcPr>
                <w:p>
                  <w:pPr>
                    <w:rPr>
                      <w:highlight w:val="none"/>
                    </w:rPr>
                  </w:pPr>
                  <w:r>
                    <w:rPr>
                      <w:rFonts w:hint="eastAsia"/>
                      <w:highlight w:val="none"/>
                    </w:rPr>
                    <w:sym w:font="Wingdings 2" w:char="0052"/>
                  </w:r>
                  <w:r>
                    <w:rPr>
                      <w:rFonts w:hint="eastAsia"/>
                      <w:highlight w:val="none"/>
                    </w:rPr>
                    <w:t>不因食品安全问题影响周围人员的就业</w:t>
                  </w:r>
                </w:p>
              </w:tc>
              <w:tc>
                <w:tcPr>
                  <w:tcW w:w="1324"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□其他</w:t>
                  </w:r>
                </w:p>
              </w:tc>
              <w:tc>
                <w:tcPr>
                  <w:tcW w:w="2495" w:type="dxa"/>
                </w:tcPr>
                <w:p>
                  <w:pPr>
                    <w:rPr>
                      <w:highlight w:val="none"/>
                    </w:rPr>
                  </w:pPr>
                </w:p>
              </w:tc>
              <w:tc>
                <w:tcPr>
                  <w:tcW w:w="3611" w:type="dxa"/>
                </w:tcPr>
                <w:p>
                  <w:pPr>
                    <w:rPr>
                      <w:highlight w:val="none"/>
                    </w:rPr>
                  </w:pPr>
                </w:p>
              </w:tc>
              <w:tc>
                <w:tcPr>
                  <w:tcW w:w="1324"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r>
          </w:tbl>
          <w:p>
            <w:pPr>
              <w:rPr>
                <w:color w:val="000000"/>
                <w:szCs w:val="21"/>
                <w:highlight w:val="none"/>
              </w:rPr>
            </w:pPr>
          </w:p>
          <w:p>
            <w:pPr>
              <w:rPr>
                <w:highlight w:val="none"/>
              </w:rPr>
            </w:pPr>
            <w:r>
              <w:rPr>
                <w:rFonts w:hint="eastAsia"/>
                <w:color w:val="000000"/>
                <w:szCs w:val="21"/>
                <w:highlight w:val="none"/>
              </w:rPr>
              <w:t>主要证据体现在</w:t>
            </w:r>
            <w:r>
              <w:rPr>
                <w:rFonts w:hint="eastAsia"/>
                <w:highlight w:val="none"/>
              </w:rPr>
              <w:t xml:space="preserve"> </w:t>
            </w:r>
            <w:r>
              <w:rPr>
                <w:rFonts w:hint="eastAsia"/>
                <w:highlight w:val="none"/>
              </w:rPr>
              <w:sym w:font="Wingdings" w:char="00FE"/>
            </w:r>
            <w:r>
              <w:rPr>
                <w:rFonts w:hint="eastAsia"/>
                <w:highlight w:val="none"/>
              </w:rPr>
              <w:t>《</w:t>
            </w:r>
            <w:r>
              <w:rPr>
                <w:rFonts w:hint="eastAsia" w:cs="宋体"/>
                <w:szCs w:val="24"/>
                <w:highlight w:val="none"/>
                <w:lang w:bidi="ar"/>
              </w:rPr>
              <w:t>相关方及相关方要求清单</w:t>
            </w:r>
            <w:r>
              <w:rPr>
                <w:rFonts w:hint="eastAsia"/>
                <w:highlight w:val="none"/>
              </w:rPr>
              <w:t xml:space="preserve">》  </w:t>
            </w:r>
            <w:r>
              <w:rPr>
                <w:rFonts w:hint="eastAsia"/>
                <w:highlight w:val="none"/>
              </w:rPr>
              <w:sym w:font="Wingdings" w:char="00A8"/>
            </w:r>
            <w:r>
              <w:rPr>
                <w:rFonts w:hint="eastAsia"/>
                <w:highlight w:val="none"/>
              </w:rPr>
              <w:t xml:space="preserve">《年度业务计划》 </w:t>
            </w:r>
            <w:r>
              <w:rPr>
                <w:rFonts w:hint="eastAsia"/>
                <w:highlight w:val="none"/>
              </w:rPr>
              <w:sym w:font="Wingdings" w:char="00A8"/>
            </w:r>
            <w:r>
              <w:rPr>
                <w:rFonts w:hint="eastAsia"/>
                <w:highlight w:val="none"/>
              </w:rPr>
              <w:t>其他</w:t>
            </w:r>
          </w:p>
          <w:p>
            <w:pPr>
              <w:rPr>
                <w:highlight w:val="none"/>
              </w:rPr>
            </w:pP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pPr>
              <w:rPr>
                <w:highlight w:val="none"/>
              </w:rPr>
            </w:pPr>
            <w:r>
              <w:rPr>
                <w:rFonts w:hint="eastAsia"/>
                <w:highlight w:val="none"/>
              </w:rPr>
              <w:t>确定食品安全管理体系的范围</w:t>
            </w:r>
          </w:p>
        </w:tc>
        <w:tc>
          <w:tcPr>
            <w:tcW w:w="952" w:type="dxa"/>
            <w:vMerge w:val="restart"/>
            <w:shd w:val="clear" w:color="auto" w:fill="FFFFFF" w:themeFill="background1"/>
          </w:tcPr>
          <w:p>
            <w:pPr>
              <w:rPr>
                <w:highlight w:val="none"/>
              </w:rPr>
            </w:pPr>
            <w:r>
              <w:rPr>
                <w:rFonts w:hint="eastAsia"/>
                <w:highlight w:val="none"/>
              </w:rPr>
              <w:t>F4.3</w:t>
            </w:r>
          </w:p>
          <w:p>
            <w:pPr>
              <w:rPr>
                <w:highlight w:val="none"/>
              </w:rPr>
            </w:pPr>
          </w:p>
        </w:tc>
        <w:tc>
          <w:tcPr>
            <w:tcW w:w="761" w:type="dxa"/>
            <w:shd w:val="clear" w:color="auto" w:fill="FFFFFF" w:themeFill="background1"/>
          </w:tcPr>
          <w:p>
            <w:pPr>
              <w:rPr>
                <w:highlight w:val="none"/>
              </w:rPr>
            </w:pPr>
            <w:r>
              <w:rPr>
                <w:rFonts w:hint="eastAsia"/>
                <w:highlight w:val="none"/>
              </w:rPr>
              <w:t>文件名称</w:t>
            </w:r>
          </w:p>
        </w:tc>
        <w:tc>
          <w:tcPr>
            <w:tcW w:w="9370" w:type="dxa"/>
            <w:shd w:val="clear" w:color="auto" w:fill="FFFFFF" w:themeFill="background1"/>
          </w:tcPr>
          <w:p>
            <w:pPr>
              <w:tabs>
                <w:tab w:val="center" w:pos="4575"/>
              </w:tabs>
              <w:rPr>
                <w:highlight w:val="none"/>
              </w:rPr>
            </w:pPr>
            <w:r>
              <w:rPr>
                <w:rFonts w:hint="eastAsia"/>
                <w:highlight w:val="none"/>
              </w:rPr>
              <w:t>如：</w:t>
            </w:r>
            <w:r>
              <w:rPr>
                <w:highlight w:val="none"/>
              </w:rPr>
              <w:sym w:font="Wingdings" w:char="00FE"/>
            </w:r>
            <w:r>
              <w:rPr>
                <w:rFonts w:hint="eastAsia"/>
                <w:highlight w:val="none"/>
              </w:rPr>
              <w:t xml:space="preserve">管理手册第4.3条款 </w:t>
            </w:r>
          </w:p>
        </w:tc>
        <w:tc>
          <w:tcPr>
            <w:tcW w:w="1587" w:type="dxa"/>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2" w:hRule="atLeast"/>
        </w:trPr>
        <w:tc>
          <w:tcPr>
            <w:tcW w:w="2044" w:type="dxa"/>
            <w:vMerge w:val="continue"/>
            <w:shd w:val="clear" w:color="auto" w:fill="FFFFFF" w:themeFill="background1"/>
          </w:tcPr>
          <w:p>
            <w:pPr>
              <w:rPr>
                <w:highlight w:val="none"/>
              </w:rPr>
            </w:pPr>
          </w:p>
        </w:tc>
        <w:tc>
          <w:tcPr>
            <w:tcW w:w="952" w:type="dxa"/>
            <w:vMerge w:val="continue"/>
            <w:shd w:val="clear" w:color="auto" w:fill="FFFFFF" w:themeFill="background1"/>
          </w:tcPr>
          <w:p>
            <w:pPr>
              <w:rPr>
                <w:highlight w:val="none"/>
              </w:rPr>
            </w:pPr>
          </w:p>
        </w:tc>
        <w:tc>
          <w:tcPr>
            <w:tcW w:w="761" w:type="dxa"/>
            <w:shd w:val="clear" w:color="auto" w:fill="FFFFFF" w:themeFill="background1"/>
          </w:tcPr>
          <w:p>
            <w:pPr>
              <w:rPr>
                <w:highlight w:val="none"/>
              </w:rPr>
            </w:pPr>
            <w:r>
              <w:rPr>
                <w:rFonts w:hint="eastAsia"/>
                <w:highlight w:val="none"/>
              </w:rPr>
              <w:t>运行证据</w:t>
            </w:r>
          </w:p>
        </w:tc>
        <w:tc>
          <w:tcPr>
            <w:tcW w:w="9370" w:type="dxa"/>
            <w:shd w:val="clear" w:color="auto" w:fill="FFFFFF" w:themeFill="background1"/>
          </w:tcPr>
          <w:p>
            <w:pPr>
              <w:rPr>
                <w:highlight w:val="none"/>
              </w:rPr>
            </w:pPr>
            <w:r>
              <w:rPr>
                <w:rFonts w:hint="eastAsia"/>
                <w:highlight w:val="none"/>
              </w:rPr>
              <w:t>组织考虑了各种内部和外部因素和相关方的要求确定了相关管理体系的范围；如下</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34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范围的项目</w:t>
                  </w:r>
                </w:p>
              </w:tc>
              <w:tc>
                <w:tcPr>
                  <w:tcW w:w="5347" w:type="dxa"/>
                </w:tcPr>
                <w:p>
                  <w:pPr>
                    <w:rPr>
                      <w:highlight w:val="none"/>
                    </w:rPr>
                  </w:pPr>
                  <w:r>
                    <w:rPr>
                      <w:rFonts w:hint="eastAsia"/>
                      <w:highlight w:val="none"/>
                    </w:rPr>
                    <w:t>内容描述</w:t>
                  </w:r>
                </w:p>
              </w:tc>
              <w:tc>
                <w:tcPr>
                  <w:tcW w:w="1785" w:type="dxa"/>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11" w:type="dxa"/>
                </w:tcPr>
                <w:p>
                  <w:pPr>
                    <w:rPr>
                      <w:highlight w:val="none"/>
                    </w:rPr>
                  </w:pPr>
                  <w:r>
                    <w:rPr>
                      <w:rFonts w:hint="eastAsia"/>
                      <w:highlight w:val="none"/>
                    </w:rPr>
                    <w:t>产品或产品类别/服务的过程</w:t>
                  </w:r>
                </w:p>
              </w:tc>
              <w:tc>
                <w:tcPr>
                  <w:tcW w:w="5347" w:type="dxa"/>
                </w:tcPr>
                <w:p>
                  <w:pPr>
                    <w:spacing w:line="240" w:lineRule="auto"/>
                    <w:rPr>
                      <w:highlight w:val="none"/>
                    </w:rPr>
                  </w:pPr>
                  <w:r>
                    <w:rPr>
                      <w:rFonts w:hint="eastAsia"/>
                      <w:color w:val="0000FF"/>
                      <w:highlight w:val="none"/>
                    </w:rPr>
                    <w:t>粮油购销（散装高粱、玉米、小麦）、预包装食品（大米、糯米、食用油）的销售</w:t>
                  </w:r>
                </w:p>
              </w:tc>
              <w:tc>
                <w:tcPr>
                  <w:tcW w:w="178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eastAsia="宋体"/>
                      <w:highlight w:val="none"/>
                      <w:lang w:val="en-US" w:eastAsia="zh-CN"/>
                    </w:rPr>
                  </w:pPr>
                  <w:r>
                    <w:rPr>
                      <w:rFonts w:hint="eastAsia"/>
                      <w:highlight w:val="none"/>
                      <w:lang w:val="en-US" w:eastAsia="zh-CN"/>
                    </w:rPr>
                    <w:t>审核范围</w:t>
                  </w:r>
                </w:p>
              </w:tc>
              <w:tc>
                <w:tcPr>
                  <w:tcW w:w="5347" w:type="dxa"/>
                </w:tcPr>
                <w:p>
                  <w:pPr>
                    <w:rPr>
                      <w:rFonts w:asciiTheme="minorEastAsia" w:hAnsiTheme="minorEastAsia" w:eastAsiaTheme="minorEastAsia"/>
                      <w:szCs w:val="21"/>
                      <w:highlight w:val="none"/>
                    </w:rPr>
                  </w:pPr>
                  <w:r>
                    <w:rPr>
                      <w:color w:val="0000FF"/>
                      <w:sz w:val="21"/>
                      <w:szCs w:val="21"/>
                      <w:highlight w:val="none"/>
                    </w:rPr>
                    <w:t>位于贵州省遵义市习水县九龙街道府西路103号习水县丰田粮油购销有限公司</w:t>
                  </w:r>
                  <w:r>
                    <w:rPr>
                      <w:rFonts w:hint="eastAsia"/>
                      <w:color w:val="0000FF"/>
                      <w:sz w:val="21"/>
                      <w:szCs w:val="21"/>
                      <w:highlight w:val="none"/>
                      <w:lang w:val="en-US" w:eastAsia="zh-CN"/>
                    </w:rPr>
                    <w:t>销售区的</w:t>
                  </w:r>
                  <w:r>
                    <w:rPr>
                      <w:rFonts w:hint="eastAsia"/>
                      <w:color w:val="0000FF"/>
                      <w:highlight w:val="none"/>
                    </w:rPr>
                    <w:t>粮油购销（散装高粱、玉米、小麦）、预包装食品（大米、糯米、食用油）的销售</w:t>
                  </w:r>
                </w:p>
              </w:tc>
              <w:tc>
                <w:tcPr>
                  <w:tcW w:w="1785" w:type="dxa"/>
                </w:tcPr>
                <w:p>
                  <w:pPr>
                    <w:rPr>
                      <w:rFonts w:hint="default" w:eastAsia="宋体"/>
                      <w:highlight w:val="none"/>
                      <w:lang w:val="en-US" w:eastAsia="zh-CN"/>
                    </w:rPr>
                  </w:pPr>
                  <w:r>
                    <w:rPr>
                      <w:rFonts w:hint="eastAsia"/>
                      <w:highlight w:val="none"/>
                      <w:lang w:val="en-US" w:eastAsia="zh-CN"/>
                    </w:rPr>
                    <w:t>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1" w:type="dxa"/>
                  <w:vAlign w:val="top"/>
                </w:tcPr>
                <w:p>
                  <w:pPr>
                    <w:rPr>
                      <w:highlight w:val="none"/>
                    </w:rPr>
                  </w:pPr>
                  <w:r>
                    <w:rPr>
                      <w:rFonts w:hint="eastAsia"/>
                      <w:highlight w:val="none"/>
                    </w:rPr>
                    <w:t>经营地址（生产/服务场地）</w:t>
                  </w:r>
                </w:p>
              </w:tc>
              <w:tc>
                <w:tcPr>
                  <w:tcW w:w="5347" w:type="dxa"/>
                  <w:vAlign w:val="top"/>
                </w:tcPr>
                <w:p>
                  <w:pPr>
                    <w:rPr>
                      <w:rFonts w:asciiTheme="minorEastAsia" w:hAnsiTheme="minorEastAsia" w:eastAsiaTheme="minorEastAsia"/>
                      <w:szCs w:val="21"/>
                      <w:highlight w:val="none"/>
                    </w:rPr>
                  </w:pPr>
                  <w:r>
                    <w:rPr>
                      <w:rFonts w:asciiTheme="minorEastAsia" w:hAnsiTheme="minorEastAsia" w:eastAsiaTheme="minorEastAsia"/>
                      <w:szCs w:val="21"/>
                      <w:highlight w:val="none"/>
                    </w:rPr>
                    <w:t>贵州省遵义市习水县九龙街道府西路103号</w:t>
                  </w:r>
                </w:p>
                <w:p>
                  <w:pPr>
                    <w:rPr>
                      <w:highlight w:val="none"/>
                    </w:rPr>
                  </w:pPr>
                  <w:r>
                    <w:rPr>
                      <w:rFonts w:hint="eastAsia" w:asciiTheme="minorEastAsia" w:hAnsiTheme="minorEastAsia" w:eastAsiaTheme="minorEastAsia"/>
                      <w:szCs w:val="21"/>
                      <w:highlight w:val="none"/>
                    </w:rPr>
                    <w:t>贵州省遵义市习水县民化镇三元村街上组（仓库）</w:t>
                  </w:r>
                </w:p>
              </w:tc>
              <w:tc>
                <w:tcPr>
                  <w:tcW w:w="1785" w:type="dxa"/>
                  <w:vAlign w:val="top"/>
                </w:tcPr>
                <w:p>
                  <w:pPr>
                    <w:rPr>
                      <w:rFonts w:hint="default" w:eastAsia="宋体"/>
                      <w:highlight w:val="none"/>
                      <w:lang w:val="en-US" w:eastAsia="zh-CN"/>
                    </w:rPr>
                  </w:pPr>
                  <w:r>
                    <w:rPr>
                      <w:rFonts w:hint="eastAsia"/>
                      <w:highlight w:val="none"/>
                      <w:lang w:val="en-US" w:eastAsia="zh-CN"/>
                    </w:rPr>
                    <w:t>增加仓库地址：见变更单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top"/>
                </w:tcPr>
                <w:p>
                  <w:pPr>
                    <w:rPr>
                      <w:highlight w:val="none"/>
                    </w:rPr>
                  </w:pPr>
                  <w:r>
                    <w:rPr>
                      <w:rFonts w:hint="eastAsia"/>
                      <w:highlight w:val="none"/>
                    </w:rPr>
                    <w:t>临时现场</w:t>
                  </w:r>
                </w:p>
              </w:tc>
              <w:tc>
                <w:tcPr>
                  <w:tcW w:w="5347" w:type="dxa"/>
                  <w:vAlign w:val="top"/>
                </w:tcPr>
                <w:p>
                  <w:pPr>
                    <w:rPr>
                      <w:highlight w:val="none"/>
                    </w:rPr>
                  </w:pPr>
                  <w:r>
                    <w:rPr>
                      <w:rFonts w:hint="eastAsia"/>
                      <w:color w:val="00B050"/>
                      <w:highlight w:val="none"/>
                    </w:rPr>
                    <w:t>——</w:t>
                  </w:r>
                </w:p>
              </w:tc>
              <w:tc>
                <w:tcPr>
                  <w:tcW w:w="1785"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top"/>
                </w:tcPr>
                <w:p>
                  <w:pPr>
                    <w:rPr>
                      <w:highlight w:val="none"/>
                    </w:rPr>
                  </w:pPr>
                  <w:r>
                    <w:rPr>
                      <w:rFonts w:hint="eastAsia"/>
                      <w:highlight w:val="none"/>
                    </w:rPr>
                    <w:t>多场所</w:t>
                  </w:r>
                </w:p>
              </w:tc>
              <w:tc>
                <w:tcPr>
                  <w:tcW w:w="5347" w:type="dxa"/>
                  <w:vAlign w:val="top"/>
                </w:tcPr>
                <w:p>
                  <w:pPr>
                    <w:rPr>
                      <w:highlight w:val="none"/>
                    </w:rPr>
                  </w:pPr>
                  <w:r>
                    <w:rPr>
                      <w:rFonts w:hint="eastAsia"/>
                      <w:color w:val="00B050"/>
                      <w:highlight w:val="none"/>
                    </w:rPr>
                    <w:t>——</w:t>
                  </w:r>
                </w:p>
              </w:tc>
              <w:tc>
                <w:tcPr>
                  <w:tcW w:w="1785"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top"/>
                </w:tcPr>
                <w:p>
                  <w:pPr>
                    <w:rPr>
                      <w:highlight w:val="none"/>
                    </w:rPr>
                  </w:pPr>
                  <w:r>
                    <w:rPr>
                      <w:rFonts w:hint="eastAsia"/>
                      <w:highlight w:val="none"/>
                    </w:rPr>
                    <w:t>组织单元（部门/分支）</w:t>
                  </w:r>
                </w:p>
              </w:tc>
              <w:tc>
                <w:tcPr>
                  <w:tcW w:w="5347" w:type="dxa"/>
                  <w:vAlign w:val="top"/>
                </w:tcPr>
                <w:p>
                  <w:pPr>
                    <w:rPr>
                      <w:highlight w:val="none"/>
                    </w:rPr>
                  </w:pPr>
                  <w:r>
                    <w:rPr>
                      <w:rFonts w:hint="eastAsia"/>
                      <w:highlight w:val="none"/>
                    </w:rPr>
                    <w:sym w:font="Wingdings" w:char="00FE"/>
                  </w:r>
                  <w:r>
                    <w:rPr>
                      <w:rFonts w:hint="eastAsia"/>
                      <w:highlight w:val="none"/>
                    </w:rPr>
                    <w:t>与组织结构图一致</w:t>
                  </w:r>
                </w:p>
                <w:p>
                  <w:pPr>
                    <w:rPr>
                      <w:highlight w:val="none"/>
                      <w:u w:val="single"/>
                    </w:rPr>
                  </w:pPr>
                  <w:r>
                    <w:rPr>
                      <w:rFonts w:hint="eastAsia"/>
                      <w:highlight w:val="none"/>
                    </w:rPr>
                    <w:sym w:font="Wingdings" w:char="00A8"/>
                  </w:r>
                  <w:r>
                    <w:rPr>
                      <w:rFonts w:hint="eastAsia"/>
                      <w:highlight w:val="none"/>
                    </w:rPr>
                    <w:t xml:space="preserve">分支机构，如： </w:t>
                  </w:r>
                  <w:r>
                    <w:rPr>
                      <w:rFonts w:hint="eastAsia"/>
                      <w:highlight w:val="none"/>
                      <w:u w:val="single"/>
                    </w:rPr>
                    <w:t xml:space="preserve">                  </w:t>
                  </w:r>
                </w:p>
                <w:p>
                  <w:pPr>
                    <w:rPr>
                      <w:highlight w:val="none"/>
                    </w:rPr>
                  </w:pPr>
                  <w:r>
                    <w:rPr>
                      <w:rFonts w:hint="eastAsia"/>
                      <w:highlight w:val="none"/>
                    </w:rPr>
                    <w:sym w:font="Wingdings" w:char="00A8"/>
                  </w:r>
                  <w:r>
                    <w:rPr>
                      <w:rFonts w:hint="eastAsia"/>
                      <w:highlight w:val="none"/>
                    </w:rPr>
                    <w:t xml:space="preserve">临时场所，如： </w:t>
                  </w:r>
                  <w:r>
                    <w:rPr>
                      <w:rFonts w:hint="eastAsia"/>
                      <w:highlight w:val="none"/>
                      <w:u w:val="single"/>
                    </w:rPr>
                    <w:t xml:space="preserve">                 ·</w:t>
                  </w:r>
                </w:p>
              </w:tc>
              <w:tc>
                <w:tcPr>
                  <w:tcW w:w="1785"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911" w:type="dxa"/>
                  <w:vAlign w:val="top"/>
                </w:tcPr>
                <w:p>
                  <w:pPr>
                    <w:rPr>
                      <w:highlight w:val="none"/>
                    </w:rPr>
                  </w:pPr>
                  <w:r>
                    <w:rPr>
                      <w:rFonts w:hint="eastAsia"/>
                      <w:highlight w:val="none"/>
                    </w:rPr>
                    <w:t>时间</w:t>
                  </w:r>
                </w:p>
              </w:tc>
              <w:tc>
                <w:tcPr>
                  <w:tcW w:w="5347" w:type="dxa"/>
                  <w:vAlign w:val="top"/>
                </w:tcPr>
                <w:p>
                  <w:pPr>
                    <w:rPr>
                      <w:rFonts w:hint="eastAsia" w:eastAsia="宋体"/>
                      <w:highlight w:val="none"/>
                      <w:lang w:eastAsia="zh-CN"/>
                    </w:rPr>
                  </w:pPr>
                  <w:r>
                    <w:rPr>
                      <w:rFonts w:hint="eastAsia"/>
                      <w:highlight w:val="none"/>
                    </w:rPr>
                    <w:sym w:font="Wingdings" w:char="00FE"/>
                  </w:r>
                  <w:r>
                    <w:rPr>
                      <w:rFonts w:hint="eastAsia"/>
                      <w:highlight w:val="none"/>
                    </w:rPr>
                    <w:t>体系建立以来：</w:t>
                  </w:r>
                  <w:r>
                    <w:rPr>
                      <w:rFonts w:hint="eastAsia"/>
                      <w:highlight w:val="none"/>
                      <w:u w:val="single"/>
                    </w:rPr>
                    <w:t>20</w:t>
                  </w:r>
                  <w:r>
                    <w:rPr>
                      <w:highlight w:val="none"/>
                      <w:u w:val="single"/>
                    </w:rPr>
                    <w:t>21</w:t>
                  </w:r>
                  <w:r>
                    <w:rPr>
                      <w:rFonts w:hint="eastAsia"/>
                      <w:highlight w:val="none"/>
                      <w:u w:val="single"/>
                    </w:rPr>
                    <w:t>-0</w:t>
                  </w:r>
                  <w:r>
                    <w:rPr>
                      <w:highlight w:val="none"/>
                      <w:u w:val="single"/>
                    </w:rPr>
                    <w:t>1</w:t>
                  </w:r>
                  <w:r>
                    <w:rPr>
                      <w:rFonts w:hint="eastAsia"/>
                      <w:highlight w:val="none"/>
                      <w:u w:val="single"/>
                    </w:rPr>
                    <w:t>-</w:t>
                  </w:r>
                  <w:r>
                    <w:rPr>
                      <w:highlight w:val="none"/>
                      <w:u w:val="single"/>
                    </w:rPr>
                    <w:t>01</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审核周期内未发生变化</w:t>
                  </w:r>
                  <w:r>
                    <w:rPr>
                      <w:rFonts w:hint="eastAsia"/>
                      <w:highlight w:val="none"/>
                      <w:u w:val="single"/>
                      <w:lang w:eastAsia="zh-CN"/>
                    </w:rPr>
                    <w:t>】</w:t>
                  </w:r>
                </w:p>
                <w:p>
                  <w:pPr>
                    <w:rPr>
                      <w:highlight w:val="none"/>
                    </w:rPr>
                  </w:pPr>
                  <w:r>
                    <w:rPr>
                      <w:rFonts w:hint="eastAsia"/>
                      <w:highlight w:val="none"/>
                    </w:rPr>
                    <w:sym w:font="Wingdings" w:char="00A8"/>
                  </w:r>
                  <w:r>
                    <w:rPr>
                      <w:rFonts w:hint="eastAsia"/>
                      <w:highlight w:val="none"/>
                    </w:rPr>
                    <w:t xml:space="preserve"> 近一年以来：</w:t>
                  </w:r>
                  <w:r>
                    <w:rPr>
                      <w:rFonts w:hint="eastAsia"/>
                      <w:highlight w:val="none"/>
                      <w:u w:val="single"/>
                    </w:rPr>
                    <w:t xml:space="preserve">    </w:t>
                  </w:r>
                </w:p>
              </w:tc>
              <w:tc>
                <w:tcPr>
                  <w:tcW w:w="1785" w:type="dxa"/>
                  <w:vAlign w:val="top"/>
                </w:tcPr>
                <w:p>
                  <w:pPr>
                    <w:rPr>
                      <w:highlight w:val="none"/>
                    </w:rPr>
                  </w:pPr>
                </w:p>
              </w:tc>
            </w:tr>
          </w:tbl>
          <w:p>
            <w:pPr>
              <w:rPr>
                <w:highlight w:val="none"/>
              </w:rPr>
            </w:pPr>
          </w:p>
          <w:p>
            <w:pPr>
              <w:rPr>
                <w:color w:val="000000"/>
                <w:szCs w:val="21"/>
                <w:highlight w:val="none"/>
              </w:rPr>
            </w:pPr>
            <w:r>
              <w:rPr>
                <w:rFonts w:hint="eastAsia"/>
                <w:color w:val="000000"/>
                <w:szCs w:val="21"/>
                <w:highlight w:val="none"/>
              </w:rPr>
              <w:t>在企业的管理手册中有描述。</w:t>
            </w: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pPr>
              <w:rPr>
                <w:highlight w:val="none"/>
              </w:rPr>
            </w:pPr>
            <w:r>
              <w:rPr>
                <w:rFonts w:hint="eastAsia"/>
                <w:highlight w:val="none"/>
              </w:rPr>
              <w:t>食品安全管理体系</w:t>
            </w:r>
          </w:p>
        </w:tc>
        <w:tc>
          <w:tcPr>
            <w:tcW w:w="952" w:type="dxa"/>
            <w:vMerge w:val="restart"/>
            <w:shd w:val="clear" w:color="auto" w:fill="FFFFFF" w:themeFill="background1"/>
          </w:tcPr>
          <w:p>
            <w:pPr>
              <w:rPr>
                <w:highlight w:val="none"/>
              </w:rPr>
            </w:pPr>
            <w:r>
              <w:rPr>
                <w:rFonts w:hint="eastAsia"/>
                <w:highlight w:val="none"/>
              </w:rPr>
              <w:t xml:space="preserve">F4.4 </w:t>
            </w:r>
          </w:p>
          <w:p>
            <w:pPr>
              <w:rPr>
                <w:highlight w:val="none"/>
              </w:rPr>
            </w:pPr>
          </w:p>
        </w:tc>
        <w:tc>
          <w:tcPr>
            <w:tcW w:w="761" w:type="dxa"/>
            <w:shd w:val="clear" w:color="auto" w:fill="FFFFFF" w:themeFill="background1"/>
          </w:tcPr>
          <w:p>
            <w:pPr>
              <w:rPr>
                <w:highlight w:val="none"/>
              </w:rPr>
            </w:pPr>
            <w:r>
              <w:rPr>
                <w:rFonts w:hint="eastAsia"/>
                <w:highlight w:val="none"/>
              </w:rPr>
              <w:t>文件名称</w:t>
            </w:r>
          </w:p>
        </w:tc>
        <w:tc>
          <w:tcPr>
            <w:tcW w:w="9370" w:type="dxa"/>
            <w:shd w:val="clear" w:color="auto" w:fill="FFFFFF" w:themeFill="background1"/>
          </w:tcPr>
          <w:p>
            <w:pPr>
              <w:rPr>
                <w:highlight w:val="none"/>
              </w:rPr>
            </w:pPr>
            <w:r>
              <w:rPr>
                <w:rFonts w:hint="eastAsia"/>
                <w:highlight w:val="none"/>
              </w:rPr>
              <w:t>如：</w:t>
            </w:r>
            <w:r>
              <w:rPr>
                <w:highlight w:val="none"/>
              </w:rPr>
              <w:sym w:font="Wingdings" w:char="00FE"/>
            </w:r>
            <w:r>
              <w:rPr>
                <w:rFonts w:hint="eastAsia"/>
                <w:highlight w:val="none"/>
              </w:rPr>
              <w:t>管理手册第4.4条款</w:t>
            </w:r>
          </w:p>
        </w:tc>
        <w:tc>
          <w:tcPr>
            <w:tcW w:w="1587" w:type="dxa"/>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2" w:hRule="atLeast"/>
        </w:trPr>
        <w:tc>
          <w:tcPr>
            <w:tcW w:w="2044" w:type="dxa"/>
            <w:vMerge w:val="continue"/>
            <w:shd w:val="clear" w:color="auto" w:fill="FFFFFF" w:themeFill="background1"/>
          </w:tcPr>
          <w:p>
            <w:pPr>
              <w:rPr>
                <w:highlight w:val="none"/>
              </w:rPr>
            </w:pPr>
          </w:p>
        </w:tc>
        <w:tc>
          <w:tcPr>
            <w:tcW w:w="952" w:type="dxa"/>
            <w:vMerge w:val="continue"/>
            <w:shd w:val="clear" w:color="auto" w:fill="FFFFFF" w:themeFill="background1"/>
          </w:tcPr>
          <w:p>
            <w:pPr>
              <w:rPr>
                <w:highlight w:val="none"/>
              </w:rPr>
            </w:pPr>
          </w:p>
        </w:tc>
        <w:tc>
          <w:tcPr>
            <w:tcW w:w="761" w:type="dxa"/>
            <w:shd w:val="clear" w:color="auto" w:fill="FFFFFF" w:themeFill="background1"/>
          </w:tcPr>
          <w:p>
            <w:pPr>
              <w:rPr>
                <w:highlight w:val="none"/>
              </w:rPr>
            </w:pPr>
            <w:r>
              <w:rPr>
                <w:rFonts w:hint="eastAsia"/>
                <w:highlight w:val="none"/>
              </w:rPr>
              <w:t>运行证据</w:t>
            </w:r>
          </w:p>
        </w:tc>
        <w:tc>
          <w:tcPr>
            <w:tcW w:w="9370" w:type="dxa"/>
            <w:shd w:val="clear" w:color="auto" w:fill="FFFFFF" w:themeFill="background1"/>
          </w:tcPr>
          <w:p>
            <w:pPr>
              <w:spacing w:before="40" w:after="40"/>
              <w:rPr>
                <w:highlight w:val="none"/>
                <w:lang w:val="en-GB"/>
              </w:rPr>
            </w:pPr>
            <w:r>
              <w:rPr>
                <w:rFonts w:hint="eastAsia"/>
                <w:highlight w:val="none"/>
              </w:rPr>
              <w:t>组织考虑了内外部问题和相关方期望对环境管理体系的过程进行了确认，对输入、输出、</w:t>
            </w:r>
            <w:r>
              <w:rPr>
                <w:rFonts w:hint="eastAsia"/>
                <w:highlight w:val="none"/>
                <w:lang w:val="en-GB"/>
              </w:rPr>
              <w:t>顺序及相互</w:t>
            </w:r>
            <w:r>
              <w:rPr>
                <w:rFonts w:hint="eastAsia"/>
                <w:highlight w:val="none"/>
              </w:rPr>
              <w:t>作用</w:t>
            </w:r>
            <w:r>
              <w:rPr>
                <w:rFonts w:hint="eastAsia"/>
                <w:highlight w:val="none"/>
                <w:lang w:val="en-GB"/>
              </w:rPr>
              <w:t>已被</w:t>
            </w:r>
            <w:r>
              <w:rPr>
                <w:rFonts w:hint="eastAsia"/>
                <w:highlight w:val="none"/>
              </w:rPr>
              <w:t>明确</w:t>
            </w:r>
            <w:r>
              <w:rPr>
                <w:rFonts w:hint="eastAsia"/>
                <w:highlight w:val="none"/>
                <w:lang w:val="en-GB"/>
              </w:rPr>
              <w:t>地提出并被充分控制。</w:t>
            </w:r>
            <w:r>
              <w:rPr>
                <w:rFonts w:hint="eastAsia"/>
                <w:highlight w:val="none"/>
              </w:rPr>
              <w:t>采用了过程方法管理相关管理体系及其过程；</w:t>
            </w:r>
            <w:r>
              <w:rPr>
                <w:rFonts w:hint="eastAsia"/>
                <w:highlight w:val="none"/>
                <w:lang w:val="en-GB"/>
              </w:rPr>
              <w:t>用文件化的绩效指标定期评审过程。</w:t>
            </w:r>
          </w:p>
          <w:p>
            <w:pPr>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pacing w:before="40" w:after="40"/>
              <w:ind w:left="210" w:hanging="210" w:hangingChars="100"/>
              <w:rPr>
                <w:highlight w:val="none"/>
              </w:rPr>
            </w:pPr>
            <w:r>
              <w:rPr>
                <w:rFonts w:hint="eastAsia"/>
                <w:highlight w:val="none"/>
              </w:rPr>
              <w:t xml:space="preserve">☑人员能力管理 ☑危害分析 ☑PRP制订和控制 ☑危害控制计划（OPRP、HACCP）制订和控制 </w:t>
            </w:r>
          </w:p>
          <w:p>
            <w:pPr>
              <w:spacing w:before="40" w:after="40"/>
              <w:rPr>
                <w:highlight w:val="none"/>
              </w:rPr>
            </w:pPr>
            <w:r>
              <w:rPr>
                <w:rFonts w:hint="eastAsia"/>
                <w:highlight w:val="none"/>
              </w:rPr>
              <w:t xml:space="preserve">□特种设备管理 ☑控制措施组合确认  ☑PRP和危害控制措施的效果验证  </w:t>
            </w:r>
            <w:r>
              <w:rPr>
                <w:rFonts w:hint="eastAsia"/>
                <w:highlight w:val="none"/>
                <w:lang w:eastAsia="zh-CN"/>
              </w:rPr>
              <w:sym w:font="Wingdings 2" w:char="0052"/>
            </w:r>
            <w:r>
              <w:rPr>
                <w:rFonts w:hint="eastAsia"/>
                <w:highlight w:val="none"/>
              </w:rPr>
              <w:t>其他（车辆管理）</w:t>
            </w:r>
          </w:p>
          <w:p>
            <w:pPr>
              <w:spacing w:before="40" w:after="40"/>
              <w:rPr>
                <w:b/>
                <w:bCs/>
                <w:highlight w:val="none"/>
              </w:rPr>
            </w:pPr>
          </w:p>
          <w:p>
            <w:pPr>
              <w:spacing w:before="40" w:after="40"/>
              <w:rPr>
                <w:b/>
                <w:bCs/>
                <w:color w:val="0000FF"/>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r>
              <w:rPr>
                <w:rFonts w:hint="eastAsia"/>
                <w:b/>
                <w:bCs/>
                <w:color w:val="0000FF"/>
                <w:highlight w:val="none"/>
                <w:lang w:val="en-GB"/>
              </w:rPr>
              <w:t>（</w:t>
            </w:r>
            <w:r>
              <w:rPr>
                <w:rFonts w:hint="eastAsia"/>
                <w:b/>
                <w:bCs/>
                <w:color w:val="0000FF"/>
                <w:highlight w:val="none"/>
              </w:rPr>
              <w:t>无外包</w:t>
            </w:r>
            <w:r>
              <w:rPr>
                <w:rFonts w:hint="eastAsia"/>
                <w:b/>
                <w:bCs/>
                <w:color w:val="0000FF"/>
                <w:highlight w:val="none"/>
                <w:lang w:val="en-GB"/>
              </w:rPr>
              <w:t>）</w:t>
            </w:r>
          </w:p>
          <w:p>
            <w:pPr>
              <w:spacing w:before="40" w:after="40"/>
              <w:rPr>
                <w:highlight w:val="none"/>
              </w:rPr>
            </w:pPr>
            <w:r>
              <w:rPr>
                <w:rFonts w:hint="eastAsia"/>
                <w:highlight w:val="none"/>
              </w:rPr>
              <w:t xml:space="preserve">□建立FSMS □危害分析 □制订PRP和OPRP、HACCP计划 □生产/服务过程  □产品运输 </w:t>
            </w:r>
          </w:p>
          <w:p>
            <w:pPr>
              <w:spacing w:before="40" w:after="40"/>
              <w:rPr>
                <w:highlight w:val="none"/>
              </w:rPr>
            </w:pPr>
            <w:r>
              <w:rPr>
                <w:rFonts w:hint="eastAsia"/>
                <w:highlight w:val="none"/>
              </w:rPr>
              <w:t xml:space="preserve">□设备维修   □人员培训 □PRP和OPRP、HACCP验证 </w:t>
            </w:r>
            <w:r>
              <w:rPr>
                <w:rFonts w:hint="eastAsia"/>
                <w:highlight w:val="none"/>
              </w:rPr>
              <w:sym w:font="Wingdings 2" w:char="00A3"/>
            </w:r>
            <w:r>
              <w:rPr>
                <w:rFonts w:hint="eastAsia"/>
                <w:highlight w:val="none"/>
              </w:rPr>
              <w:t>冷库冷柜设备维保</w:t>
            </w:r>
          </w:p>
          <w:p>
            <w:pPr>
              <w:pStyle w:val="6"/>
              <w:ind w:left="-594" w:firstLine="560"/>
              <w:rPr>
                <w:highlight w:val="none"/>
                <w:lang w:val="en-GB"/>
              </w:rPr>
            </w:pPr>
          </w:p>
          <w:p>
            <w:pPr>
              <w:rPr>
                <w:highlight w:val="none"/>
              </w:rPr>
            </w:pPr>
            <w:r>
              <w:rPr>
                <w:rFonts w:hint="eastAsia"/>
                <w:highlight w:val="none"/>
                <w:lang w:val="en-GB"/>
              </w:rPr>
              <w:t>组织通过</w:t>
            </w:r>
            <w:r>
              <w:rPr>
                <w:rFonts w:hint="eastAsia"/>
                <w:highlight w:val="none"/>
              </w:rPr>
              <w:t>环境</w:t>
            </w:r>
            <w:r>
              <w:rPr>
                <w:rFonts w:hint="eastAsia"/>
                <w:highlight w:val="none"/>
                <w:lang w:val="en-GB"/>
              </w:rPr>
              <w:t>目标的建立、实施、</w:t>
            </w:r>
            <w:r>
              <w:rPr>
                <w:rFonts w:hint="eastAsia"/>
                <w:highlight w:val="none"/>
              </w:rPr>
              <w:t>相关方反馈</w:t>
            </w:r>
            <w:r>
              <w:rPr>
                <w:rFonts w:hint="eastAsia"/>
                <w:highlight w:val="none"/>
                <w:lang w:val="en-GB"/>
              </w:rPr>
              <w:t>的</w:t>
            </w:r>
            <w:r>
              <w:rPr>
                <w:rFonts w:hint="eastAsia"/>
                <w:highlight w:val="none"/>
              </w:rPr>
              <w:t>分析</w:t>
            </w:r>
            <w:r>
              <w:rPr>
                <w:rFonts w:hint="eastAsia"/>
                <w:highlight w:val="none"/>
                <w:lang w:val="en-GB"/>
              </w:rPr>
              <w:t>、内审和管理评审等方式，充分地</w:t>
            </w:r>
            <w:r>
              <w:rPr>
                <w:rFonts w:hint="eastAsia"/>
                <w:highlight w:val="none"/>
              </w:rPr>
              <w:t>评审，管理及</w:t>
            </w:r>
            <w:r>
              <w:rPr>
                <w:rFonts w:hint="eastAsia"/>
                <w:highlight w:val="none"/>
                <w:lang w:val="en-GB"/>
              </w:rPr>
              <w:t>控制这些</w:t>
            </w:r>
            <w:r>
              <w:rPr>
                <w:rFonts w:hint="eastAsia"/>
                <w:highlight w:val="none"/>
              </w:rPr>
              <w:t>环境管理体系覆盖的过程</w:t>
            </w:r>
            <w:r>
              <w:rPr>
                <w:rFonts w:hint="eastAsia"/>
                <w:highlight w:val="none"/>
                <w:lang w:val="en-GB"/>
              </w:rPr>
              <w:t>和活动</w:t>
            </w:r>
            <w:r>
              <w:rPr>
                <w:rFonts w:hint="eastAsia"/>
                <w:highlight w:val="none"/>
              </w:rPr>
              <w:t>。</w:t>
            </w: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pPr>
              <w:rPr>
                <w:highlight w:val="none"/>
              </w:rPr>
            </w:pPr>
            <w:r>
              <w:rPr>
                <w:rFonts w:hint="eastAsia"/>
                <w:highlight w:val="none"/>
              </w:rPr>
              <w:t>领导作用与承诺</w:t>
            </w:r>
          </w:p>
        </w:tc>
        <w:tc>
          <w:tcPr>
            <w:tcW w:w="952" w:type="dxa"/>
            <w:vMerge w:val="restart"/>
            <w:shd w:val="clear" w:color="auto" w:fill="FFFFFF" w:themeFill="background1"/>
          </w:tcPr>
          <w:p>
            <w:pPr>
              <w:rPr>
                <w:highlight w:val="none"/>
              </w:rPr>
            </w:pPr>
            <w:r>
              <w:rPr>
                <w:rFonts w:hint="eastAsia"/>
                <w:highlight w:val="none"/>
              </w:rPr>
              <w:t>F5.1</w:t>
            </w:r>
          </w:p>
        </w:tc>
        <w:tc>
          <w:tcPr>
            <w:tcW w:w="761" w:type="dxa"/>
            <w:shd w:val="clear" w:color="auto" w:fill="FFFFFF" w:themeFill="background1"/>
          </w:tcPr>
          <w:p>
            <w:pPr>
              <w:rPr>
                <w:highlight w:val="none"/>
              </w:rPr>
            </w:pPr>
            <w:r>
              <w:rPr>
                <w:rFonts w:hint="eastAsia"/>
                <w:highlight w:val="none"/>
              </w:rPr>
              <w:t>文件名称</w:t>
            </w:r>
          </w:p>
        </w:tc>
        <w:tc>
          <w:tcPr>
            <w:tcW w:w="9370" w:type="dxa"/>
            <w:shd w:val="clear" w:color="auto" w:fill="FFFFFF" w:themeFill="background1"/>
          </w:tcPr>
          <w:p>
            <w:pPr>
              <w:rPr>
                <w:highlight w:val="none"/>
              </w:rPr>
            </w:pPr>
            <w:r>
              <w:rPr>
                <w:rFonts w:hint="eastAsia"/>
                <w:highlight w:val="none"/>
              </w:rPr>
              <w:t>如：</w:t>
            </w:r>
            <w:r>
              <w:rPr>
                <w:rFonts w:hint="eastAsia"/>
                <w:highlight w:val="none"/>
              </w:rPr>
              <w:sym w:font="Wingdings" w:char="00FE"/>
            </w:r>
            <w:r>
              <w:rPr>
                <w:rFonts w:hint="eastAsia"/>
                <w:highlight w:val="none"/>
              </w:rPr>
              <w:t>管理手册第5.1条款和“总经理岗位职责”</w:t>
            </w:r>
          </w:p>
        </w:tc>
        <w:tc>
          <w:tcPr>
            <w:tcW w:w="1587" w:type="dxa"/>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2" w:hRule="atLeast"/>
        </w:trPr>
        <w:tc>
          <w:tcPr>
            <w:tcW w:w="2044" w:type="dxa"/>
            <w:vMerge w:val="continue"/>
            <w:shd w:val="clear" w:color="auto" w:fill="FFFFFF" w:themeFill="background1"/>
          </w:tcPr>
          <w:p>
            <w:pPr>
              <w:rPr>
                <w:highlight w:val="none"/>
              </w:rPr>
            </w:pPr>
          </w:p>
        </w:tc>
        <w:tc>
          <w:tcPr>
            <w:tcW w:w="952" w:type="dxa"/>
            <w:vMerge w:val="continue"/>
            <w:shd w:val="clear" w:color="auto" w:fill="FFFFFF" w:themeFill="background1"/>
          </w:tcPr>
          <w:p>
            <w:pPr>
              <w:rPr>
                <w:highlight w:val="none"/>
              </w:rPr>
            </w:pPr>
          </w:p>
        </w:tc>
        <w:tc>
          <w:tcPr>
            <w:tcW w:w="761" w:type="dxa"/>
            <w:shd w:val="clear" w:color="auto" w:fill="FFFFFF" w:themeFill="background1"/>
          </w:tcPr>
          <w:p>
            <w:pPr>
              <w:rPr>
                <w:highlight w:val="none"/>
              </w:rPr>
            </w:pPr>
            <w:r>
              <w:rPr>
                <w:rFonts w:hint="eastAsia"/>
                <w:highlight w:val="none"/>
              </w:rPr>
              <w:t>运行证据</w:t>
            </w:r>
          </w:p>
        </w:tc>
        <w:tc>
          <w:tcPr>
            <w:tcW w:w="9370" w:type="dxa"/>
            <w:shd w:val="clear" w:color="auto" w:fill="FFFFFF" w:themeFill="background1"/>
          </w:tcPr>
          <w:p>
            <w:pPr>
              <w:rPr>
                <w:color w:val="000000"/>
                <w:szCs w:val="21"/>
                <w:highlight w:val="none"/>
              </w:rPr>
            </w:pPr>
            <w:r>
              <w:rPr>
                <w:rFonts w:hint="eastAsia"/>
                <w:color w:val="000000"/>
                <w:szCs w:val="21"/>
                <w:highlight w:val="none"/>
              </w:rPr>
              <w:t xml:space="preserve"> 与最高管理者沟通其领导作用与承诺：</w:t>
            </w:r>
          </w:p>
          <w:p>
            <w:pPr>
              <w:rPr>
                <w:color w:val="000000"/>
                <w:szCs w:val="21"/>
                <w:highlight w:val="none"/>
              </w:rPr>
            </w:pPr>
            <w:r>
              <w:rPr>
                <w:rFonts w:hint="eastAsia"/>
                <w:color w:val="000000"/>
                <w:szCs w:val="21"/>
                <w:highlight w:val="none"/>
              </w:rPr>
              <w:sym w:font="Wingdings" w:char="00FE"/>
            </w:r>
            <w:r>
              <w:rPr>
                <w:rFonts w:hint="eastAsia"/>
                <w:b/>
                <w:bCs/>
                <w:color w:val="000000"/>
                <w:szCs w:val="21"/>
                <w:highlight w:val="none"/>
              </w:rPr>
              <w:t xml:space="preserve"> 确保为食品安全管理体系制定食品安全方针和食品安全目标，并与组织的战略方向相一致；</w:t>
            </w:r>
          </w:p>
          <w:p>
            <w:pPr>
              <w:rPr>
                <w:color w:val="000000"/>
                <w:szCs w:val="21"/>
                <w:highlight w:val="none"/>
              </w:rPr>
            </w:pPr>
            <w:r>
              <w:rPr>
                <w:rFonts w:hint="eastAsia"/>
                <w:color w:val="000000"/>
                <w:szCs w:val="21"/>
                <w:highlight w:val="none"/>
              </w:rPr>
              <w:sym w:font="Wingdings" w:char="00FE"/>
            </w:r>
            <w:r>
              <w:rPr>
                <w:rFonts w:hint="eastAsia"/>
                <w:color w:val="000000"/>
                <w:szCs w:val="21"/>
                <w:highlight w:val="none"/>
              </w:rPr>
              <w:t xml:space="preserve"> </w:t>
            </w:r>
            <w:r>
              <w:rPr>
                <w:rFonts w:hint="eastAsia"/>
                <w:b/>
                <w:bCs/>
                <w:color w:val="000000"/>
                <w:szCs w:val="21"/>
                <w:highlight w:val="none"/>
              </w:rPr>
              <w:t>确保食品安全管理体系要求整合到组织的业务过程中</w:t>
            </w:r>
            <w:r>
              <w:rPr>
                <w:rFonts w:hint="eastAsia"/>
                <w:color w:val="000000"/>
                <w:szCs w:val="21"/>
                <w:highlight w:val="none"/>
              </w:rPr>
              <w:t>；</w:t>
            </w:r>
          </w:p>
          <w:p>
            <w:pPr>
              <w:rPr>
                <w:color w:val="000000"/>
                <w:szCs w:val="21"/>
                <w:highlight w:val="none"/>
              </w:rPr>
            </w:pPr>
            <w:r>
              <w:rPr>
                <w:rFonts w:hint="eastAsia"/>
                <w:color w:val="000000"/>
                <w:szCs w:val="21"/>
                <w:highlight w:val="none"/>
              </w:rPr>
              <w:sym w:font="Wingdings" w:char="00FE"/>
            </w:r>
            <w:r>
              <w:rPr>
                <w:rFonts w:hint="eastAsia"/>
                <w:color w:val="000000"/>
                <w:szCs w:val="21"/>
                <w:highlight w:val="none"/>
              </w:rPr>
              <w:t xml:space="preserve"> </w:t>
            </w:r>
            <w:r>
              <w:rPr>
                <w:rFonts w:hint="eastAsia"/>
                <w:b/>
                <w:bCs/>
                <w:color w:val="000000"/>
                <w:szCs w:val="21"/>
                <w:highlight w:val="none"/>
              </w:rPr>
              <w:t>确保获得食品安全管理体系所需的资源</w:t>
            </w:r>
            <w:r>
              <w:rPr>
                <w:rFonts w:hint="eastAsia"/>
                <w:color w:val="000000"/>
                <w:szCs w:val="21"/>
                <w:highlight w:val="none"/>
              </w:rPr>
              <w:t>；</w:t>
            </w:r>
          </w:p>
          <w:p>
            <w:pPr>
              <w:rPr>
                <w:color w:val="000000"/>
                <w:szCs w:val="21"/>
                <w:highlight w:val="none"/>
              </w:rPr>
            </w:pPr>
            <w:r>
              <w:rPr>
                <w:rFonts w:hint="eastAsia"/>
                <w:color w:val="000000"/>
                <w:szCs w:val="21"/>
                <w:highlight w:val="none"/>
              </w:rPr>
              <w:sym w:font="Wingdings" w:char="00FE"/>
            </w:r>
            <w:r>
              <w:rPr>
                <w:rFonts w:hint="eastAsia"/>
                <w:color w:val="000000"/>
                <w:szCs w:val="21"/>
                <w:highlight w:val="none"/>
              </w:rPr>
              <w:t xml:space="preserve"> </w:t>
            </w:r>
            <w:r>
              <w:rPr>
                <w:rFonts w:hint="eastAsia"/>
                <w:b/>
                <w:bCs/>
                <w:color w:val="000000"/>
                <w:szCs w:val="21"/>
                <w:highlight w:val="none"/>
              </w:rPr>
              <w:t>沟通有效食品安全管理的重要性，符合食品安全管理体系要求、 法律法规要求和与食品安全有关的顾客要求</w:t>
            </w:r>
            <w:r>
              <w:rPr>
                <w:rFonts w:hint="eastAsia"/>
                <w:color w:val="000000"/>
                <w:szCs w:val="21"/>
                <w:highlight w:val="none"/>
              </w:rPr>
              <w:t>；</w:t>
            </w:r>
          </w:p>
          <w:p>
            <w:pPr>
              <w:rPr>
                <w:color w:val="000000"/>
                <w:szCs w:val="21"/>
                <w:highlight w:val="none"/>
              </w:rPr>
            </w:pPr>
            <w:r>
              <w:rPr>
                <w:rFonts w:hint="eastAsia"/>
                <w:color w:val="000000"/>
                <w:szCs w:val="21"/>
                <w:highlight w:val="none"/>
              </w:rPr>
              <w:sym w:font="Wingdings" w:char="00FE"/>
            </w:r>
            <w:r>
              <w:rPr>
                <w:rFonts w:hint="eastAsia"/>
                <w:color w:val="000000"/>
                <w:szCs w:val="21"/>
                <w:highlight w:val="none"/>
              </w:rPr>
              <w:t xml:space="preserve"> </w:t>
            </w:r>
            <w:r>
              <w:rPr>
                <w:rFonts w:hint="eastAsia"/>
                <w:b/>
                <w:bCs/>
                <w:color w:val="000000"/>
                <w:szCs w:val="21"/>
                <w:highlight w:val="none"/>
              </w:rPr>
              <w:t>确保对FSMS进行评估和保持，以实现其预期结果</w:t>
            </w:r>
            <w:r>
              <w:rPr>
                <w:rFonts w:hint="eastAsia"/>
                <w:color w:val="000000"/>
                <w:szCs w:val="21"/>
                <w:highlight w:val="none"/>
              </w:rPr>
              <w:t>；</w:t>
            </w:r>
          </w:p>
          <w:p>
            <w:pPr>
              <w:rPr>
                <w:color w:val="000000"/>
                <w:szCs w:val="21"/>
                <w:highlight w:val="none"/>
              </w:rPr>
            </w:pPr>
            <w:r>
              <w:rPr>
                <w:rFonts w:hint="eastAsia"/>
                <w:color w:val="000000"/>
                <w:szCs w:val="21"/>
                <w:highlight w:val="none"/>
              </w:rPr>
              <w:sym w:font="Wingdings" w:char="00FE"/>
            </w:r>
            <w:r>
              <w:rPr>
                <w:rFonts w:hint="eastAsia"/>
                <w:color w:val="000000"/>
                <w:szCs w:val="21"/>
                <w:highlight w:val="none"/>
              </w:rPr>
              <w:t xml:space="preserve"> </w:t>
            </w:r>
            <w:r>
              <w:rPr>
                <w:rFonts w:hint="eastAsia"/>
                <w:b/>
                <w:bCs/>
                <w:color w:val="000000"/>
                <w:szCs w:val="21"/>
                <w:highlight w:val="none"/>
              </w:rPr>
              <w:t>指导和支持员工为食品安全管理体系的有效性做出贡献</w:t>
            </w:r>
            <w:r>
              <w:rPr>
                <w:rFonts w:hint="eastAsia"/>
                <w:color w:val="000000"/>
                <w:szCs w:val="21"/>
                <w:highlight w:val="none"/>
              </w:rPr>
              <w:t>；</w:t>
            </w:r>
          </w:p>
          <w:p>
            <w:pPr>
              <w:rPr>
                <w:color w:val="000000"/>
                <w:szCs w:val="21"/>
                <w:highlight w:val="none"/>
              </w:rPr>
            </w:pPr>
            <w:r>
              <w:rPr>
                <w:rFonts w:hint="eastAsia"/>
                <w:color w:val="000000"/>
                <w:szCs w:val="21"/>
                <w:highlight w:val="none"/>
              </w:rPr>
              <w:sym w:font="Wingdings" w:char="00FE"/>
            </w:r>
            <w:r>
              <w:rPr>
                <w:rFonts w:hint="eastAsia"/>
                <w:color w:val="000000"/>
                <w:szCs w:val="21"/>
                <w:highlight w:val="none"/>
              </w:rPr>
              <w:t xml:space="preserve"> </w:t>
            </w:r>
            <w:r>
              <w:rPr>
                <w:rFonts w:hint="eastAsia"/>
                <w:b/>
                <w:bCs/>
                <w:color w:val="000000"/>
                <w:szCs w:val="21"/>
                <w:highlight w:val="none"/>
              </w:rPr>
              <w:t>推动持续改进</w:t>
            </w:r>
            <w:r>
              <w:rPr>
                <w:rFonts w:hint="eastAsia"/>
                <w:color w:val="000000"/>
                <w:szCs w:val="21"/>
                <w:highlight w:val="none"/>
              </w:rPr>
              <w:t>；</w:t>
            </w:r>
          </w:p>
          <w:p>
            <w:pPr>
              <w:rPr>
                <w:color w:val="000000"/>
                <w:szCs w:val="21"/>
                <w:highlight w:val="none"/>
              </w:rPr>
            </w:pPr>
            <w:r>
              <w:rPr>
                <w:rFonts w:hint="eastAsia"/>
                <w:color w:val="000000"/>
                <w:szCs w:val="21"/>
                <w:highlight w:val="none"/>
              </w:rPr>
              <w:sym w:font="Wingdings" w:char="00FE"/>
            </w:r>
            <w:r>
              <w:rPr>
                <w:rFonts w:hint="eastAsia"/>
                <w:color w:val="000000"/>
                <w:szCs w:val="21"/>
                <w:highlight w:val="none"/>
              </w:rPr>
              <w:t xml:space="preserve"> </w:t>
            </w:r>
            <w:r>
              <w:rPr>
                <w:rFonts w:hint="eastAsia"/>
                <w:b/>
                <w:bCs/>
                <w:color w:val="000000"/>
                <w:szCs w:val="21"/>
                <w:highlight w:val="none"/>
              </w:rPr>
              <w:t>支持其他管理者履行其相关领域的食品安全领导职责</w:t>
            </w:r>
            <w:r>
              <w:rPr>
                <w:rFonts w:hint="eastAsia"/>
                <w:color w:val="000000"/>
                <w:szCs w:val="21"/>
                <w:highlight w:val="none"/>
              </w:rPr>
              <w:t>；</w:t>
            </w:r>
          </w:p>
          <w:p>
            <w:pPr>
              <w:rPr>
                <w:color w:val="000000"/>
                <w:szCs w:val="21"/>
                <w:highlight w:val="none"/>
              </w:rPr>
            </w:pPr>
            <w:r>
              <w:rPr>
                <w:rFonts w:hint="eastAsia"/>
                <w:color w:val="000000"/>
                <w:szCs w:val="21"/>
                <w:highlight w:val="none"/>
              </w:rPr>
              <w:sym w:font="Wingdings" w:char="00FE"/>
            </w:r>
            <w:r>
              <w:rPr>
                <w:rFonts w:hint="eastAsia"/>
                <w:color w:val="000000"/>
                <w:szCs w:val="21"/>
                <w:highlight w:val="none"/>
              </w:rPr>
              <w:t xml:space="preserve"> 覆盖了标准第5.1章的全面要求，</w:t>
            </w:r>
            <w:r>
              <w:rPr>
                <w:rFonts w:hint="eastAsia"/>
                <w:color w:val="000000"/>
                <w:szCs w:val="21"/>
                <w:highlight w:val="none"/>
              </w:rPr>
              <w:sym w:font="Wingdings" w:char="00A8"/>
            </w:r>
            <w:r>
              <w:rPr>
                <w:rFonts w:hint="eastAsia"/>
                <w:color w:val="000000"/>
                <w:szCs w:val="21"/>
                <w:highlight w:val="none"/>
              </w:rPr>
              <w:t xml:space="preserve"> 未覆盖标准第5.1章的全面要求，缺少：</w:t>
            </w:r>
            <w:r>
              <w:rPr>
                <w:rFonts w:hint="eastAsia"/>
                <w:color w:val="000000"/>
                <w:szCs w:val="21"/>
                <w:highlight w:val="none"/>
                <w:u w:val="single"/>
              </w:rPr>
              <w:t xml:space="preserve">         </w:t>
            </w: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pPr>
              <w:rPr>
                <w:highlight w:val="none"/>
              </w:rPr>
            </w:pPr>
            <w:r>
              <w:rPr>
                <w:rFonts w:hint="eastAsia"/>
                <w:highlight w:val="none"/>
              </w:rPr>
              <w:t>食品安全方针</w:t>
            </w:r>
          </w:p>
        </w:tc>
        <w:tc>
          <w:tcPr>
            <w:tcW w:w="952" w:type="dxa"/>
            <w:vMerge w:val="restart"/>
            <w:shd w:val="clear" w:color="auto" w:fill="FFFFFF" w:themeFill="background1"/>
          </w:tcPr>
          <w:p>
            <w:pPr>
              <w:rPr>
                <w:highlight w:val="none"/>
              </w:rPr>
            </w:pPr>
            <w:r>
              <w:rPr>
                <w:rFonts w:hint="eastAsia"/>
                <w:highlight w:val="none"/>
              </w:rPr>
              <w:t>F5.2</w:t>
            </w:r>
          </w:p>
        </w:tc>
        <w:tc>
          <w:tcPr>
            <w:tcW w:w="761" w:type="dxa"/>
            <w:shd w:val="clear" w:color="auto" w:fill="FFFFFF" w:themeFill="background1"/>
          </w:tcPr>
          <w:p>
            <w:pPr>
              <w:rPr>
                <w:highlight w:val="none"/>
              </w:rPr>
            </w:pPr>
            <w:r>
              <w:rPr>
                <w:rFonts w:hint="eastAsia"/>
                <w:highlight w:val="none"/>
              </w:rPr>
              <w:t>文件名称</w:t>
            </w:r>
          </w:p>
        </w:tc>
        <w:tc>
          <w:tcPr>
            <w:tcW w:w="9370" w:type="dxa"/>
            <w:shd w:val="clear" w:color="auto" w:fill="FFFFFF" w:themeFill="background1"/>
          </w:tcPr>
          <w:p>
            <w:pPr>
              <w:adjustRightInd w:val="0"/>
              <w:snapToGrid w:val="0"/>
              <w:spacing w:line="360" w:lineRule="auto"/>
              <w:outlineLvl w:val="0"/>
              <w:rPr>
                <w:highlight w:val="none"/>
              </w:rPr>
            </w:pPr>
            <w:r>
              <w:rPr>
                <w:rFonts w:hint="eastAsia"/>
                <w:highlight w:val="none"/>
              </w:rPr>
              <w:t>如：</w:t>
            </w:r>
            <w:r>
              <w:rPr>
                <w:rFonts w:hint="eastAsia"/>
                <w:highlight w:val="none"/>
              </w:rPr>
              <w:sym w:font="Wingdings" w:char="00FE"/>
            </w:r>
            <w:r>
              <w:rPr>
                <w:rFonts w:hint="eastAsia"/>
                <w:highlight w:val="none"/>
              </w:rPr>
              <w:t>管理手册第5.2章、</w:t>
            </w:r>
            <w:r>
              <w:rPr>
                <w:rFonts w:hint="eastAsia"/>
                <w:highlight w:val="none"/>
              </w:rPr>
              <w:sym w:font="Wingdings" w:char="00A8"/>
            </w:r>
            <w:r>
              <w:rPr>
                <w:rFonts w:hint="eastAsia"/>
                <w:highlight w:val="none"/>
              </w:rPr>
              <w:t>《</w:t>
            </w:r>
            <w:bookmarkStart w:id="0" w:name="_Toc146529956"/>
            <w:bookmarkStart w:id="1" w:name="_Toc154807529"/>
            <w:bookmarkStart w:id="2" w:name="_Toc149970707"/>
            <w:bookmarkStart w:id="3" w:name="_Toc145400879"/>
            <w:bookmarkStart w:id="4" w:name="_Toc10294"/>
            <w:bookmarkStart w:id="5" w:name="_Toc145402008"/>
            <w:r>
              <w:rPr>
                <w:rFonts w:hint="eastAsia"/>
                <w:highlight w:val="none"/>
              </w:rPr>
              <w:t>0.2 食品安全方针、目标</w:t>
            </w:r>
            <w:bookmarkEnd w:id="0"/>
            <w:bookmarkEnd w:id="1"/>
            <w:bookmarkEnd w:id="2"/>
            <w:bookmarkEnd w:id="3"/>
            <w:bookmarkEnd w:id="4"/>
            <w:bookmarkEnd w:id="5"/>
            <w:r>
              <w:rPr>
                <w:rFonts w:hint="eastAsia"/>
                <w:highlight w:val="none"/>
              </w:rPr>
              <w:t>》</w:t>
            </w:r>
          </w:p>
        </w:tc>
        <w:tc>
          <w:tcPr>
            <w:tcW w:w="1587" w:type="dxa"/>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2" w:hRule="atLeast"/>
        </w:trPr>
        <w:tc>
          <w:tcPr>
            <w:tcW w:w="2044" w:type="dxa"/>
            <w:vMerge w:val="continue"/>
            <w:shd w:val="clear" w:color="auto" w:fill="FFFFFF" w:themeFill="background1"/>
          </w:tcPr>
          <w:p>
            <w:pPr>
              <w:rPr>
                <w:highlight w:val="none"/>
              </w:rPr>
            </w:pPr>
          </w:p>
        </w:tc>
        <w:tc>
          <w:tcPr>
            <w:tcW w:w="952" w:type="dxa"/>
            <w:vMerge w:val="continue"/>
            <w:shd w:val="clear" w:color="auto" w:fill="FFFFFF" w:themeFill="background1"/>
          </w:tcPr>
          <w:p>
            <w:pPr>
              <w:rPr>
                <w:highlight w:val="none"/>
              </w:rPr>
            </w:pPr>
          </w:p>
        </w:tc>
        <w:tc>
          <w:tcPr>
            <w:tcW w:w="761" w:type="dxa"/>
            <w:shd w:val="clear" w:color="auto" w:fill="FFFFFF" w:themeFill="background1"/>
          </w:tcPr>
          <w:p>
            <w:pPr>
              <w:rPr>
                <w:highlight w:val="none"/>
              </w:rPr>
            </w:pPr>
            <w:r>
              <w:rPr>
                <w:rFonts w:hint="eastAsia"/>
                <w:highlight w:val="none"/>
              </w:rPr>
              <w:t>运行证据</w:t>
            </w:r>
          </w:p>
        </w:tc>
        <w:tc>
          <w:tcPr>
            <w:tcW w:w="9370" w:type="dxa"/>
            <w:shd w:val="clear" w:color="auto" w:fill="FFFFFF" w:themeFill="background1"/>
          </w:tcPr>
          <w:p>
            <w:pPr>
              <w:rPr>
                <w:rFonts w:hint="eastAsia"/>
                <w:highlight w:val="none"/>
              </w:rPr>
            </w:pPr>
            <w:r>
              <w:rPr>
                <w:rFonts w:hint="eastAsia"/>
                <w:color w:val="000000"/>
                <w:szCs w:val="21"/>
                <w:highlight w:val="none"/>
              </w:rPr>
              <w:t xml:space="preserve"> </w:t>
            </w:r>
            <w:r>
              <w:rPr>
                <w:rFonts w:hint="eastAsia"/>
                <w:highlight w:val="none"/>
              </w:rPr>
              <w:t>最高管理者制定了文件化的食品安全体系方针：</w:t>
            </w:r>
          </w:p>
          <w:p>
            <w:pPr>
              <w:pStyle w:val="2"/>
            </w:pPr>
          </w:p>
          <w:p>
            <w:pPr>
              <w:ind w:firstLine="420"/>
              <w:rPr>
                <w:rFonts w:hint="eastAsia" w:eastAsia="宋体"/>
                <w:b/>
                <w:bCs/>
                <w:sz w:val="24"/>
                <w:szCs w:val="24"/>
                <w:highlight w:val="none"/>
                <w:u w:val="single"/>
                <w:lang w:val="en-US" w:eastAsia="zh-CN"/>
              </w:rPr>
            </w:pPr>
            <w:bookmarkStart w:id="6" w:name="_Toc32499"/>
            <w:bookmarkStart w:id="7" w:name="_Toc6381"/>
            <w:r>
              <w:rPr>
                <w:rFonts w:hint="eastAsia"/>
                <w:b/>
                <w:bCs/>
                <w:sz w:val="24"/>
                <w:szCs w:val="24"/>
                <w:highlight w:val="none"/>
                <w:u w:val="single"/>
                <w:lang w:val="zh-CN"/>
              </w:rPr>
              <w:t>品质为本   系统管理    精益求精    满足顾客</w:t>
            </w:r>
            <w:bookmarkEnd w:id="6"/>
            <w:bookmarkEnd w:id="7"/>
            <w:r>
              <w:rPr>
                <w:rFonts w:hint="eastAsia"/>
                <w:b/>
                <w:bCs/>
                <w:sz w:val="24"/>
                <w:szCs w:val="24"/>
                <w:highlight w:val="none"/>
                <w:u w:val="single"/>
                <w:lang w:val="en-US" w:eastAsia="zh-CN"/>
              </w:rPr>
              <w:t xml:space="preserve"> </w:t>
            </w:r>
          </w:p>
          <w:p>
            <w:pPr>
              <w:rPr>
                <w:szCs w:val="22"/>
                <w:highlight w:val="none"/>
                <w:u w:val="single"/>
              </w:rPr>
            </w:pPr>
          </w:p>
          <w:p>
            <w:pPr>
              <w:rPr>
                <w:highlight w:val="none"/>
              </w:rPr>
            </w:pPr>
            <w:r>
              <w:rPr>
                <w:rFonts w:hint="eastAsia"/>
                <w:highlight w:val="none"/>
              </w:rPr>
              <w:t>☑适应组织的宗旨和所处形势</w:t>
            </w:r>
          </w:p>
          <w:p>
            <w:pPr>
              <w:rPr>
                <w:highlight w:val="none"/>
                <w:lang w:val="en-GB"/>
              </w:rPr>
            </w:pPr>
            <w:r>
              <w:rPr>
                <w:rFonts w:hint="eastAsia"/>
                <w:highlight w:val="none"/>
              </w:rPr>
              <w:t>☑为制定食品安全目标提供框架</w:t>
            </w:r>
            <w:r>
              <w:rPr>
                <w:rFonts w:hint="eastAsia"/>
                <w:highlight w:val="none"/>
                <w:lang w:val="en-GB"/>
              </w:rPr>
              <w:t>。</w:t>
            </w:r>
          </w:p>
          <w:p>
            <w:pPr>
              <w:rPr>
                <w:highlight w:val="none"/>
              </w:rPr>
            </w:pPr>
            <w:r>
              <w:rPr>
                <w:rFonts w:hint="eastAsia"/>
                <w:highlight w:val="none"/>
              </w:rPr>
              <w:t xml:space="preserve">☑包括满足适用食品安全要求的承诺，包括立法/执法要求和顾客的相互同意的食品安全要求； </w:t>
            </w:r>
          </w:p>
          <w:p>
            <w:pPr>
              <w:rPr>
                <w:highlight w:val="none"/>
              </w:rPr>
            </w:pPr>
            <w:r>
              <w:rPr>
                <w:rFonts w:hint="eastAsia"/>
                <w:highlight w:val="none"/>
              </w:rPr>
              <w:t>☑应对内部和外部沟通</w:t>
            </w:r>
          </w:p>
          <w:p>
            <w:pPr>
              <w:rPr>
                <w:color w:val="000000"/>
                <w:highlight w:val="none"/>
              </w:rPr>
            </w:pPr>
            <w:r>
              <w:rPr>
                <w:rFonts w:hint="eastAsia"/>
                <w:highlight w:val="none"/>
              </w:rPr>
              <w:t>☑包括持续改进食品安全管理体系的承诺</w:t>
            </w:r>
          </w:p>
          <w:p>
            <w:pPr>
              <w:rPr>
                <w:color w:val="000000"/>
                <w:highlight w:val="none"/>
              </w:rPr>
            </w:pPr>
            <w:r>
              <w:rPr>
                <w:rFonts w:hint="eastAsia"/>
                <w:highlight w:val="none"/>
              </w:rPr>
              <w:t>☑解决需求确保食品安全相关的能力</w:t>
            </w:r>
          </w:p>
          <w:p>
            <w:pPr>
              <w:rPr>
                <w:highlight w:val="none"/>
              </w:rPr>
            </w:pPr>
          </w:p>
          <w:p>
            <w:pPr>
              <w:rPr>
                <w:highlight w:val="none"/>
              </w:rPr>
            </w:pPr>
            <w:r>
              <w:rPr>
                <w:rFonts w:hint="eastAsia"/>
                <w:highlight w:val="none"/>
              </w:rPr>
              <w:t>☑在组织内得到沟通、理解和应用，通过：</w:t>
            </w:r>
            <w:r>
              <w:rPr>
                <w:rFonts w:hint="eastAsia"/>
                <w:highlight w:val="none"/>
              </w:rPr>
              <w:sym w:font="Wingdings" w:char="00A8"/>
            </w:r>
            <w:r>
              <w:rPr>
                <w:rFonts w:hint="eastAsia"/>
                <w:highlight w:val="none"/>
              </w:rPr>
              <w:t xml:space="preserve">展板  </w:t>
            </w:r>
            <w:r>
              <w:rPr>
                <w:rFonts w:hint="eastAsia"/>
                <w:highlight w:val="none"/>
              </w:rPr>
              <w:sym w:font="Wingdings" w:char="00A8"/>
            </w:r>
            <w:r>
              <w:rPr>
                <w:rFonts w:hint="eastAsia"/>
                <w:highlight w:val="none"/>
              </w:rPr>
              <w:t xml:space="preserve">标语  </w:t>
            </w:r>
            <w:r>
              <w:rPr>
                <w:rFonts w:hint="eastAsia"/>
                <w:highlight w:val="none"/>
              </w:rPr>
              <w:sym w:font="Wingdings" w:char="00FE"/>
            </w:r>
            <w:r>
              <w:rPr>
                <w:rFonts w:hint="eastAsia"/>
                <w:highlight w:val="none"/>
              </w:rPr>
              <w:t xml:space="preserve">会议  </w:t>
            </w:r>
            <w:r>
              <w:rPr>
                <w:rFonts w:hint="eastAsia"/>
                <w:highlight w:val="none"/>
              </w:rPr>
              <w:sym w:font="Wingdings" w:char="00FE"/>
            </w:r>
            <w:r>
              <w:rPr>
                <w:rFonts w:hint="eastAsia"/>
                <w:highlight w:val="none"/>
              </w:rPr>
              <w:t xml:space="preserve">文件发放   </w:t>
            </w:r>
            <w:r>
              <w:rPr>
                <w:rFonts w:hint="eastAsia"/>
                <w:highlight w:val="none"/>
              </w:rPr>
              <w:sym w:font="Wingdings" w:char="00A8"/>
            </w:r>
            <w:r>
              <w:rPr>
                <w:rFonts w:hint="eastAsia"/>
                <w:highlight w:val="none"/>
              </w:rPr>
              <w:t xml:space="preserve">其他  </w:t>
            </w:r>
          </w:p>
          <w:p>
            <w:pPr>
              <w:rPr>
                <w:rFonts w:hint="eastAsia" w:eastAsia="宋体"/>
                <w:highlight w:val="none"/>
                <w:lang w:val="en-US" w:eastAsia="zh-CN"/>
              </w:rPr>
            </w:pPr>
            <w:r>
              <w:rPr>
                <w:rFonts w:hint="eastAsia"/>
                <w:highlight w:val="none"/>
              </w:rPr>
              <w:t>☑在相关方有需要时提供。通过：</w:t>
            </w:r>
            <w:r>
              <w:rPr>
                <w:rFonts w:hint="eastAsia"/>
                <w:highlight w:val="none"/>
              </w:rPr>
              <w:sym w:font="Wingdings" w:char="00A8"/>
            </w:r>
            <w:r>
              <w:rPr>
                <w:rFonts w:hint="eastAsia"/>
                <w:highlight w:val="none"/>
              </w:rPr>
              <w:t xml:space="preserve">网站 </w:t>
            </w:r>
            <w:r>
              <w:rPr>
                <w:rFonts w:hint="eastAsia"/>
                <w:highlight w:val="none"/>
              </w:rPr>
              <w:sym w:font="Wingdings" w:char="00FE"/>
            </w:r>
            <w:r>
              <w:rPr>
                <w:rFonts w:hint="eastAsia"/>
                <w:highlight w:val="none"/>
              </w:rPr>
              <w:t xml:space="preserve">宣传册 </w:t>
            </w:r>
            <w:r>
              <w:rPr>
                <w:rFonts w:hint="eastAsia"/>
                <w:highlight w:val="none"/>
              </w:rPr>
              <w:sym w:font="Wingdings" w:char="00FE"/>
            </w:r>
            <w:r>
              <w:rPr>
                <w:rFonts w:hint="eastAsia"/>
                <w:highlight w:val="none"/>
              </w:rPr>
              <w:t>其他——招标</w:t>
            </w:r>
            <w:r>
              <w:rPr>
                <w:rFonts w:hint="eastAsia"/>
                <w:highlight w:val="none"/>
                <w:lang w:val="en-US" w:eastAsia="zh-CN"/>
              </w:rPr>
              <w:t>等</w:t>
            </w:r>
          </w:p>
          <w:p>
            <w:pPr>
              <w:rPr>
                <w:rFonts w:hint="default" w:eastAsia="宋体"/>
                <w:highlight w:val="none"/>
                <w:lang w:val="en-US" w:eastAsia="zh-CN"/>
              </w:rPr>
            </w:pPr>
            <w:r>
              <w:rPr>
                <w:rFonts w:hint="eastAsia"/>
                <w:color w:val="558ED5" w:themeColor="text2" w:themeTint="99"/>
                <w:highlight w:val="none"/>
                <w:lang w:val="en-US" w:eastAsia="zh-CN"/>
                <w14:textFill>
                  <w14:solidFill>
                    <w14:schemeClr w14:val="tx2">
                      <w14:lumMod w14:val="60000"/>
                      <w14:lumOff w14:val="40000"/>
                    </w14:schemeClr>
                  </w14:solidFill>
                </w14:textFill>
              </w:rPr>
              <w:t>审核周期内未发生变化</w:t>
            </w: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pPr>
              <w:rPr>
                <w:highlight w:val="none"/>
              </w:rPr>
            </w:pPr>
            <w:r>
              <w:rPr>
                <w:rFonts w:hint="eastAsia"/>
                <w:highlight w:val="none"/>
              </w:rPr>
              <w:t>组织的角色、职责和权限</w:t>
            </w:r>
          </w:p>
          <w:p>
            <w:pPr>
              <w:rPr>
                <w:highlight w:val="none"/>
              </w:rPr>
            </w:pPr>
          </w:p>
        </w:tc>
        <w:tc>
          <w:tcPr>
            <w:tcW w:w="952" w:type="dxa"/>
            <w:vMerge w:val="restart"/>
            <w:shd w:val="clear" w:color="auto" w:fill="FFFFFF" w:themeFill="background1"/>
          </w:tcPr>
          <w:p>
            <w:pPr>
              <w:rPr>
                <w:highlight w:val="none"/>
              </w:rPr>
            </w:pPr>
            <w:r>
              <w:rPr>
                <w:rFonts w:hint="eastAsia"/>
                <w:highlight w:val="none"/>
              </w:rPr>
              <w:t>F5.3</w:t>
            </w:r>
          </w:p>
          <w:p>
            <w:pPr>
              <w:rPr>
                <w:highlight w:val="none"/>
              </w:rPr>
            </w:pPr>
          </w:p>
        </w:tc>
        <w:tc>
          <w:tcPr>
            <w:tcW w:w="761" w:type="dxa"/>
            <w:shd w:val="clear" w:color="auto" w:fill="FFFFFF" w:themeFill="background1"/>
          </w:tcPr>
          <w:p>
            <w:pPr>
              <w:rPr>
                <w:highlight w:val="none"/>
              </w:rPr>
            </w:pPr>
            <w:r>
              <w:rPr>
                <w:rFonts w:hint="eastAsia"/>
                <w:highlight w:val="none"/>
              </w:rPr>
              <w:t>文件名称</w:t>
            </w:r>
          </w:p>
        </w:tc>
        <w:tc>
          <w:tcPr>
            <w:tcW w:w="9370" w:type="dxa"/>
            <w:shd w:val="clear" w:color="auto" w:fill="FFFFFF" w:themeFill="background1"/>
          </w:tcPr>
          <w:p>
            <w:pPr>
              <w:rPr>
                <w:highlight w:val="none"/>
              </w:rPr>
            </w:pPr>
            <w:r>
              <w:rPr>
                <w:rFonts w:hint="eastAsia"/>
                <w:highlight w:val="none"/>
              </w:rPr>
              <w:t>如：</w:t>
            </w:r>
            <w:r>
              <w:rPr>
                <w:highlight w:val="none"/>
              </w:rPr>
              <w:sym w:font="Wingdings" w:char="00FE"/>
            </w:r>
            <w:r>
              <w:rPr>
                <w:rFonts w:hint="eastAsia"/>
                <w:highlight w:val="none"/>
              </w:rPr>
              <w:t>管理手册第5.3章</w:t>
            </w:r>
          </w:p>
        </w:tc>
        <w:tc>
          <w:tcPr>
            <w:tcW w:w="1587" w:type="dxa"/>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2044" w:type="dxa"/>
            <w:vMerge w:val="continue"/>
            <w:shd w:val="clear" w:color="auto" w:fill="FFFFFF" w:themeFill="background1"/>
          </w:tcPr>
          <w:p>
            <w:pPr>
              <w:rPr>
                <w:highlight w:val="none"/>
              </w:rPr>
            </w:pPr>
          </w:p>
        </w:tc>
        <w:tc>
          <w:tcPr>
            <w:tcW w:w="952" w:type="dxa"/>
            <w:vMerge w:val="continue"/>
            <w:shd w:val="clear" w:color="auto" w:fill="FFFFFF" w:themeFill="background1"/>
          </w:tcPr>
          <w:p>
            <w:pPr>
              <w:rPr>
                <w:highlight w:val="none"/>
              </w:rPr>
            </w:pPr>
          </w:p>
        </w:tc>
        <w:tc>
          <w:tcPr>
            <w:tcW w:w="761" w:type="dxa"/>
            <w:shd w:val="clear" w:color="auto" w:fill="FFFFFF" w:themeFill="background1"/>
          </w:tcPr>
          <w:p>
            <w:pPr>
              <w:rPr>
                <w:highlight w:val="none"/>
              </w:rPr>
            </w:pPr>
            <w:r>
              <w:rPr>
                <w:rFonts w:hint="eastAsia"/>
                <w:highlight w:val="none"/>
              </w:rPr>
              <w:t>运行证据</w:t>
            </w:r>
          </w:p>
        </w:tc>
        <w:tc>
          <w:tcPr>
            <w:tcW w:w="9370" w:type="dxa"/>
            <w:shd w:val="clear" w:color="auto" w:fill="FFFFFF" w:themeFill="background1"/>
          </w:tcPr>
          <w:p>
            <w:pPr>
              <w:rPr>
                <w:highlight w:val="none"/>
              </w:rPr>
            </w:pPr>
            <w:r>
              <w:rPr>
                <w:rFonts w:hint="eastAsia"/>
                <w:highlight w:val="none"/>
              </w:rPr>
              <w:t>最高管理者确定了组织架构及相关岗位的职责、权限，并进行了全员的沟通和理解；</w:t>
            </w:r>
          </w:p>
          <w:p>
            <w:pPr>
              <w:rPr>
                <w:highlight w:val="none"/>
              </w:rPr>
            </w:pPr>
            <w:r>
              <w:rPr>
                <w:rFonts w:hint="eastAsia"/>
                <w:highlight w:val="none"/>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c>
                <w:tcPr>
                  <w:tcW w:w="2261"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食品安全管理体系策划和推动</w:t>
                  </w:r>
                </w:p>
              </w:tc>
              <w:tc>
                <w:tcPr>
                  <w:tcW w:w="2261" w:type="dxa"/>
                </w:tcPr>
                <w:p>
                  <w:pPr>
                    <w:rPr>
                      <w:highlight w:val="none"/>
                    </w:rPr>
                  </w:pPr>
                  <w:r>
                    <w:rPr>
                      <w:rFonts w:hint="eastAsia"/>
                      <w:highlight w:val="none"/>
                    </w:rPr>
                    <w:t>食品安全小组</w:t>
                  </w:r>
                </w:p>
              </w:tc>
              <w:tc>
                <w:tcPr>
                  <w:tcW w:w="2261" w:type="dxa"/>
                </w:tcPr>
                <w:p>
                  <w:pPr>
                    <w:rPr>
                      <w:highlight w:val="none"/>
                    </w:rPr>
                  </w:pPr>
                  <w:r>
                    <w:rPr>
                      <w:rFonts w:hint="eastAsia"/>
                      <w:highlight w:val="none"/>
                    </w:rPr>
                    <w:t>PRP和HACCP实施</w:t>
                  </w:r>
                </w:p>
              </w:tc>
              <w:tc>
                <w:tcPr>
                  <w:tcW w:w="2261" w:type="dxa"/>
                </w:tcPr>
                <w:p>
                  <w:pPr>
                    <w:rPr>
                      <w:rFonts w:hint="eastAsia" w:eastAsia="宋体"/>
                      <w:highlight w:val="none"/>
                      <w:lang w:eastAsia="zh-CN"/>
                    </w:rPr>
                  </w:pPr>
                  <w:r>
                    <w:rPr>
                      <w:rFonts w:hint="eastAsia"/>
                      <w:highlight w:val="none"/>
                      <w:lang w:val="en-US" w:eastAsia="zh-CN"/>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采购控制</w:t>
                  </w:r>
                </w:p>
              </w:tc>
              <w:tc>
                <w:tcPr>
                  <w:tcW w:w="2261" w:type="dxa"/>
                </w:tcPr>
                <w:p>
                  <w:pPr>
                    <w:rPr>
                      <w:rFonts w:hint="eastAsia" w:eastAsia="宋体"/>
                      <w:highlight w:val="none"/>
                      <w:lang w:eastAsia="zh-CN"/>
                    </w:rPr>
                  </w:pPr>
                  <w:r>
                    <w:rPr>
                      <w:rFonts w:hint="eastAsia"/>
                      <w:highlight w:val="none"/>
                      <w:lang w:val="en-US" w:eastAsia="zh-CN"/>
                    </w:rPr>
                    <w:t>采购部</w:t>
                  </w:r>
                </w:p>
              </w:tc>
              <w:tc>
                <w:tcPr>
                  <w:tcW w:w="2261" w:type="dxa"/>
                </w:tcPr>
                <w:p>
                  <w:pPr>
                    <w:rPr>
                      <w:highlight w:val="none"/>
                    </w:rPr>
                  </w:pPr>
                  <w:r>
                    <w:rPr>
                      <w:rFonts w:hint="eastAsia"/>
                      <w:highlight w:val="none"/>
                    </w:rPr>
                    <w:t>FSMS验证和确认</w:t>
                  </w:r>
                </w:p>
              </w:tc>
              <w:tc>
                <w:tcPr>
                  <w:tcW w:w="2261" w:type="dxa"/>
                </w:tcPr>
                <w:p>
                  <w:pPr>
                    <w:rPr>
                      <w:highlight w:val="none"/>
                    </w:rPr>
                  </w:pPr>
                  <w:r>
                    <w:rPr>
                      <w:rFonts w:hint="eastAsia"/>
                      <w:highlight w:val="none"/>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260" w:type="dxa"/>
                </w:tcPr>
                <w:p>
                  <w:pPr>
                    <w:rPr>
                      <w:highlight w:val="none"/>
                    </w:rPr>
                  </w:pPr>
                  <w:r>
                    <w:rPr>
                      <w:rFonts w:hint="eastAsia"/>
                      <w:highlight w:val="none"/>
                    </w:rPr>
                    <w:t>人员健康</w:t>
                  </w:r>
                </w:p>
              </w:tc>
              <w:tc>
                <w:tcPr>
                  <w:tcW w:w="2261" w:type="dxa"/>
                </w:tcPr>
                <w:p>
                  <w:pPr>
                    <w:rPr>
                      <w:rFonts w:hint="eastAsia" w:eastAsia="宋体"/>
                      <w:highlight w:val="none"/>
                      <w:lang w:eastAsia="zh-CN"/>
                    </w:rPr>
                  </w:pPr>
                  <w:r>
                    <w:rPr>
                      <w:rFonts w:hint="eastAsia"/>
                      <w:highlight w:val="none"/>
                      <w:lang w:val="en-US" w:eastAsia="zh-CN"/>
                    </w:rPr>
                    <w:t>办公室</w:t>
                  </w:r>
                </w:p>
              </w:tc>
              <w:tc>
                <w:tcPr>
                  <w:tcW w:w="2261" w:type="dxa"/>
                </w:tcPr>
                <w:p>
                  <w:pPr>
                    <w:rPr>
                      <w:highlight w:val="none"/>
                    </w:rPr>
                  </w:pPr>
                  <w:r>
                    <w:rPr>
                      <w:rFonts w:hint="eastAsia"/>
                      <w:highlight w:val="none"/>
                    </w:rPr>
                    <w:t>基础设施</w:t>
                  </w:r>
                </w:p>
              </w:tc>
              <w:tc>
                <w:tcPr>
                  <w:tcW w:w="2261" w:type="dxa"/>
                </w:tcPr>
                <w:p>
                  <w:pPr>
                    <w:rPr>
                      <w:rFonts w:hint="eastAsia" w:eastAsia="宋体"/>
                      <w:highlight w:val="none"/>
                      <w:lang w:eastAsia="zh-CN"/>
                    </w:rPr>
                  </w:pPr>
                  <w:r>
                    <w:rPr>
                      <w:rFonts w:hint="eastAsia"/>
                      <w:highlight w:val="none"/>
                      <w:lang w:val="en-US" w:eastAsia="zh-CN"/>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p>
              </w:tc>
              <w:tc>
                <w:tcPr>
                  <w:tcW w:w="2261" w:type="dxa"/>
                </w:tcPr>
                <w:p>
                  <w:pPr>
                    <w:rPr>
                      <w:highlight w:val="none"/>
                    </w:rPr>
                  </w:pPr>
                </w:p>
              </w:tc>
              <w:tc>
                <w:tcPr>
                  <w:tcW w:w="2261" w:type="dxa"/>
                </w:tcPr>
                <w:p>
                  <w:pPr>
                    <w:rPr>
                      <w:highlight w:val="none"/>
                    </w:rPr>
                  </w:pPr>
                </w:p>
              </w:tc>
              <w:tc>
                <w:tcPr>
                  <w:tcW w:w="2261" w:type="dxa"/>
                </w:tcPr>
                <w:p>
                  <w:pPr>
                    <w:rPr>
                      <w:highlight w:val="none"/>
                    </w:rPr>
                  </w:pPr>
                </w:p>
              </w:tc>
            </w:tr>
          </w:tbl>
          <w:p>
            <w:pPr>
              <w:rPr>
                <w:highlight w:val="none"/>
              </w:rPr>
            </w:pPr>
          </w:p>
          <w:p>
            <w:pPr>
              <w:rPr>
                <w:highlight w:val="none"/>
              </w:rPr>
            </w:pPr>
            <w:r>
              <w:rPr>
                <w:rFonts w:hint="eastAsia"/>
                <w:highlight w:val="none"/>
              </w:rPr>
              <w:sym w:font="Wingdings" w:char="00FE"/>
            </w:r>
            <w:r>
              <w:rPr>
                <w:rFonts w:hint="eastAsia"/>
                <w:highlight w:val="none"/>
              </w:rPr>
              <w:t>HACCP小组长：</w:t>
            </w:r>
            <w:r>
              <w:rPr>
                <w:rFonts w:hint="eastAsia"/>
                <w:highlight w:val="none"/>
                <w:u w:val="single"/>
              </w:rPr>
              <w:t xml:space="preserve">   </w:t>
            </w:r>
            <w:r>
              <w:rPr>
                <w:rFonts w:hint="eastAsia"/>
                <w:highlight w:val="none"/>
                <w:u w:val="single"/>
                <w:lang w:val="en-US" w:eastAsia="zh-CN"/>
              </w:rPr>
              <w:t xml:space="preserve">余远海 先生 </w:t>
            </w:r>
            <w:r>
              <w:rPr>
                <w:rFonts w:hint="eastAsia"/>
                <w:highlight w:val="none"/>
              </w:rPr>
              <w:t>，</w:t>
            </w:r>
          </w:p>
          <w:p>
            <w:pPr>
              <w:rPr>
                <w:highlight w:val="none"/>
              </w:rPr>
            </w:pPr>
          </w:p>
          <w:p>
            <w:pPr>
              <w:rPr>
                <w:highlight w:val="none"/>
              </w:rPr>
            </w:pPr>
            <w:r>
              <w:rPr>
                <w:highlight w:val="none"/>
              </w:rPr>
              <w:t>食品安全组长负责：</w:t>
            </w:r>
          </w:p>
          <w:p>
            <w:pPr>
              <w:rPr>
                <w:highlight w:val="none"/>
              </w:rPr>
            </w:pPr>
            <w:r>
              <w:rPr>
                <w:rFonts w:hint="eastAsia"/>
                <w:highlight w:val="none"/>
              </w:rPr>
              <w:sym w:font="Wingdings" w:char="00FE"/>
            </w:r>
            <w:r>
              <w:rPr>
                <w:rFonts w:hint="eastAsia"/>
                <w:highlight w:val="none"/>
              </w:rPr>
              <w:t xml:space="preserve">  </w:t>
            </w:r>
            <w:r>
              <w:rPr>
                <w:highlight w:val="none"/>
              </w:rPr>
              <w:t>确保FSMS的建立、实施、维护和更新；</w:t>
            </w:r>
          </w:p>
          <w:p>
            <w:pPr>
              <w:rPr>
                <w:highlight w:val="none"/>
              </w:rPr>
            </w:pPr>
            <w:r>
              <w:rPr>
                <w:rFonts w:hint="eastAsia"/>
                <w:highlight w:val="none"/>
              </w:rPr>
              <w:sym w:font="Wingdings" w:char="00FE"/>
            </w:r>
            <w:r>
              <w:rPr>
                <w:rFonts w:hint="eastAsia"/>
                <w:highlight w:val="none"/>
              </w:rPr>
              <w:t xml:space="preserve">  </w:t>
            </w:r>
            <w:r>
              <w:rPr>
                <w:highlight w:val="none"/>
              </w:rPr>
              <w:t>管理和组织食品安全小组的工作；</w:t>
            </w:r>
          </w:p>
          <w:p>
            <w:pPr>
              <w:rPr>
                <w:highlight w:val="none"/>
              </w:rPr>
            </w:pPr>
            <w:r>
              <w:rPr>
                <w:rFonts w:hint="eastAsia"/>
                <w:highlight w:val="none"/>
              </w:rPr>
              <w:sym w:font="Wingdings" w:char="00FE"/>
            </w:r>
            <w:r>
              <w:rPr>
                <w:rFonts w:hint="eastAsia"/>
                <w:highlight w:val="none"/>
              </w:rPr>
              <w:t xml:space="preserve">  </w:t>
            </w:r>
            <w:r>
              <w:rPr>
                <w:highlight w:val="none"/>
              </w:rPr>
              <w:t>确保食品安全团队的相关培训和能力；</w:t>
            </w:r>
          </w:p>
          <w:p>
            <w:pPr>
              <w:rPr>
                <w:highlight w:val="none"/>
              </w:rPr>
            </w:pPr>
            <w:r>
              <w:rPr>
                <w:rFonts w:hint="eastAsia"/>
                <w:highlight w:val="none"/>
              </w:rPr>
              <w:sym w:font="Wingdings" w:char="00FE"/>
            </w:r>
            <w:r>
              <w:rPr>
                <w:rFonts w:hint="eastAsia"/>
                <w:highlight w:val="none"/>
              </w:rPr>
              <w:t xml:space="preserve">  </w:t>
            </w:r>
            <w:r>
              <w:rPr>
                <w:highlight w:val="none"/>
              </w:rPr>
              <w:t>向最高管理层报告FSMS的有效性和适宜性。</w:t>
            </w:r>
          </w:p>
          <w:p>
            <w:pPr>
              <w:rPr>
                <w:highlight w:val="none"/>
              </w:rPr>
            </w:pPr>
          </w:p>
          <w:p>
            <w:pPr>
              <w:rPr>
                <w:highlight w:val="none"/>
              </w:rPr>
            </w:pPr>
            <w:r>
              <w:rPr>
                <w:highlight w:val="none"/>
              </w:rPr>
              <w:t>所有人员有责任向</w:t>
            </w:r>
            <w:r>
              <w:rPr>
                <w:rFonts w:hint="eastAsia"/>
                <w:highlight w:val="none"/>
              </w:rPr>
              <w:sym w:font="Wingdings" w:char="00FE"/>
            </w:r>
            <w:r>
              <w:rPr>
                <w:rFonts w:hint="eastAsia"/>
                <w:highlight w:val="none"/>
              </w:rPr>
              <w:t xml:space="preserve">食品安全组长 </w:t>
            </w:r>
            <w:r>
              <w:rPr>
                <w:rFonts w:hint="eastAsia"/>
                <w:highlight w:val="none"/>
              </w:rPr>
              <w:sym w:font="Wingdings" w:char="00A8"/>
            </w:r>
            <w:r>
              <w:rPr>
                <w:rFonts w:hint="eastAsia"/>
                <w:highlight w:val="none"/>
              </w:rPr>
              <w:t xml:space="preserve">食品安全小组成员 </w:t>
            </w:r>
            <w:r>
              <w:rPr>
                <w:highlight w:val="none"/>
              </w:rPr>
              <w:t>报告与FSMS有关的问题</w:t>
            </w: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pPr>
              <w:rPr>
                <w:color w:val="000000"/>
                <w:szCs w:val="21"/>
                <w:highlight w:val="none"/>
              </w:rPr>
            </w:pPr>
            <w:r>
              <w:rPr>
                <w:rFonts w:hint="eastAsia"/>
                <w:color w:val="000000"/>
                <w:szCs w:val="21"/>
                <w:highlight w:val="none"/>
              </w:rPr>
              <w:t>应对风险和机遇的措施</w:t>
            </w:r>
          </w:p>
          <w:p>
            <w:pPr>
              <w:rPr>
                <w:highlight w:val="none"/>
              </w:rPr>
            </w:pPr>
          </w:p>
        </w:tc>
        <w:tc>
          <w:tcPr>
            <w:tcW w:w="952" w:type="dxa"/>
            <w:vMerge w:val="restart"/>
            <w:shd w:val="clear" w:color="auto" w:fill="FFFFFF" w:themeFill="background1"/>
          </w:tcPr>
          <w:p>
            <w:pPr>
              <w:rPr>
                <w:highlight w:val="none"/>
              </w:rPr>
            </w:pPr>
            <w:r>
              <w:rPr>
                <w:rFonts w:hint="eastAsia"/>
                <w:color w:val="000000"/>
                <w:szCs w:val="21"/>
                <w:highlight w:val="none"/>
              </w:rPr>
              <w:t>F6.1.1</w:t>
            </w:r>
          </w:p>
        </w:tc>
        <w:tc>
          <w:tcPr>
            <w:tcW w:w="761" w:type="dxa"/>
            <w:shd w:val="clear" w:color="auto" w:fill="FFFFFF" w:themeFill="background1"/>
          </w:tcPr>
          <w:p>
            <w:pPr>
              <w:rPr>
                <w:highlight w:val="none"/>
              </w:rPr>
            </w:pPr>
            <w:r>
              <w:rPr>
                <w:rFonts w:hint="eastAsia"/>
                <w:highlight w:val="none"/>
              </w:rPr>
              <w:t>文件名称</w:t>
            </w:r>
          </w:p>
        </w:tc>
        <w:tc>
          <w:tcPr>
            <w:tcW w:w="9370" w:type="dxa"/>
            <w:shd w:val="clear" w:color="auto" w:fill="FFFFFF" w:themeFill="background1"/>
          </w:tcPr>
          <w:p>
            <w:pPr>
              <w:rPr>
                <w:highlight w:val="none"/>
              </w:rPr>
            </w:pPr>
            <w:r>
              <w:rPr>
                <w:rFonts w:hint="eastAsia"/>
                <w:highlight w:val="none"/>
              </w:rPr>
              <w:t>如：</w:t>
            </w:r>
            <w:r>
              <w:rPr>
                <w:rFonts w:hint="eastAsia"/>
                <w:highlight w:val="none"/>
              </w:rPr>
              <w:sym w:font="Wingdings" w:char="00A8"/>
            </w:r>
            <w:r>
              <w:rPr>
                <w:rFonts w:hint="eastAsia"/>
                <w:highlight w:val="none"/>
              </w:rPr>
              <w:t>《</w:t>
            </w:r>
            <w:r>
              <w:rPr>
                <w:rFonts w:hint="eastAsia"/>
                <w:color w:val="000000"/>
                <w:szCs w:val="21"/>
                <w:highlight w:val="none"/>
              </w:rPr>
              <w:t>应对风险和机遇</w:t>
            </w:r>
            <w:r>
              <w:rPr>
                <w:rFonts w:hint="eastAsia"/>
                <w:highlight w:val="none"/>
              </w:rPr>
              <w:t>控制程序》、</w:t>
            </w:r>
            <w:r>
              <w:rPr>
                <w:rFonts w:hint="eastAsia"/>
                <w:highlight w:val="none"/>
              </w:rPr>
              <w:sym w:font="Wingdings" w:char="00FE"/>
            </w:r>
            <w:r>
              <w:rPr>
                <w:rFonts w:hint="eastAsia"/>
                <w:highlight w:val="none"/>
              </w:rPr>
              <w:t>手册第6.1条款</w:t>
            </w:r>
          </w:p>
        </w:tc>
        <w:tc>
          <w:tcPr>
            <w:tcW w:w="1587" w:type="dxa"/>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4" w:type="dxa"/>
            <w:vMerge w:val="continue"/>
            <w:shd w:val="clear" w:color="auto" w:fill="FFFFFF" w:themeFill="background1"/>
          </w:tcPr>
          <w:p>
            <w:pPr>
              <w:rPr>
                <w:highlight w:val="none"/>
              </w:rPr>
            </w:pPr>
          </w:p>
        </w:tc>
        <w:tc>
          <w:tcPr>
            <w:tcW w:w="952" w:type="dxa"/>
            <w:vMerge w:val="continue"/>
            <w:shd w:val="clear" w:color="auto" w:fill="FFFFFF" w:themeFill="background1"/>
          </w:tcPr>
          <w:p>
            <w:pPr>
              <w:rPr>
                <w:color w:val="000000"/>
                <w:szCs w:val="21"/>
                <w:highlight w:val="none"/>
              </w:rPr>
            </w:pPr>
          </w:p>
        </w:tc>
        <w:tc>
          <w:tcPr>
            <w:tcW w:w="761" w:type="dxa"/>
            <w:shd w:val="clear" w:color="auto" w:fill="FFFFFF" w:themeFill="background1"/>
          </w:tcPr>
          <w:p>
            <w:pPr>
              <w:rPr>
                <w:highlight w:val="none"/>
              </w:rPr>
            </w:pPr>
            <w:r>
              <w:rPr>
                <w:rFonts w:hint="eastAsia"/>
                <w:highlight w:val="none"/>
              </w:rPr>
              <w:t>运行证据</w:t>
            </w:r>
          </w:p>
        </w:tc>
        <w:tc>
          <w:tcPr>
            <w:tcW w:w="9370" w:type="dxa"/>
            <w:shd w:val="clear" w:color="auto" w:fill="FFFFFF" w:themeFill="background1"/>
          </w:tcPr>
          <w:p>
            <w:pPr>
              <w:rPr>
                <w:highlight w:val="none"/>
              </w:rPr>
            </w:pPr>
            <w:r>
              <w:rPr>
                <w:rFonts w:hint="eastAsia"/>
                <w:highlight w:val="none"/>
              </w:rPr>
              <w:t>分析风险的方法：</w:t>
            </w:r>
            <w:r>
              <w:rPr>
                <w:rFonts w:hint="eastAsia"/>
                <w:highlight w:val="none"/>
              </w:rPr>
              <w:sym w:font="Wingdings" w:char="00FE"/>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hint="eastAsia"/>
                <w:highlight w:val="none"/>
              </w:rPr>
              <w:sym w:font="Wingdings" w:char="00FE"/>
            </w:r>
            <w:r>
              <w:rPr>
                <w:rFonts w:hint="eastAsia"/>
                <w:highlight w:val="none"/>
              </w:rPr>
              <w:t xml:space="preserve">规避风险 </w:t>
            </w:r>
            <w:r>
              <w:rPr>
                <w:rFonts w:hint="eastAsia"/>
                <w:highlight w:val="none"/>
              </w:rPr>
              <w:sym w:font="Wingdings" w:char="00FE"/>
            </w:r>
            <w:r>
              <w:rPr>
                <w:rFonts w:hint="eastAsia"/>
                <w:highlight w:val="none"/>
              </w:rPr>
              <w:t>为寻求机遇承担风险、</w:t>
            </w:r>
            <w:r>
              <w:rPr>
                <w:rFonts w:hint="eastAsia"/>
                <w:highlight w:val="none"/>
              </w:rPr>
              <w:sym w:font="Wingdings" w:char="00A8"/>
            </w:r>
            <w:r>
              <w:rPr>
                <w:rFonts w:hint="eastAsia"/>
                <w:highlight w:val="none"/>
              </w:rPr>
              <w:t xml:space="preserve">消除风险源 </w:t>
            </w:r>
            <w:r>
              <w:rPr>
                <w:rFonts w:hint="eastAsia"/>
                <w:highlight w:val="none"/>
              </w:rPr>
              <w:sym w:font="Wingdings" w:char="00FE"/>
            </w:r>
            <w:r>
              <w:rPr>
                <w:rFonts w:hint="eastAsia"/>
                <w:highlight w:val="none"/>
              </w:rPr>
              <w:t>改变风险的可能性和后果、</w:t>
            </w:r>
            <w:r>
              <w:rPr>
                <w:rFonts w:hint="eastAsia"/>
                <w:highlight w:val="none"/>
              </w:rPr>
              <w:sym w:font="Wingdings" w:char="00FE"/>
            </w:r>
            <w:r>
              <w:rPr>
                <w:rFonts w:hint="eastAsia"/>
                <w:highlight w:val="none"/>
              </w:rPr>
              <w:t xml:space="preserve">分担风险 </w:t>
            </w:r>
            <w:r>
              <w:rPr>
                <w:rFonts w:hint="eastAsia"/>
                <w:highlight w:val="none"/>
              </w:rPr>
              <w:sym w:font="Wingdings" w:char="00FE"/>
            </w:r>
            <w:r>
              <w:rPr>
                <w:rFonts w:hint="eastAsia"/>
                <w:highlight w:val="none"/>
              </w:rPr>
              <w:t xml:space="preserve">通过明智决策接受风险的存在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列举2~3项应对主要风险的描述：         </w:t>
            </w:r>
          </w:p>
          <w:tbl>
            <w:tblPr>
              <w:tblStyle w:val="8"/>
              <w:tblpPr w:leftFromText="180" w:rightFromText="180" w:vertAnchor="text" w:horzAnchor="page" w:tblpX="97" w:tblpY="208"/>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5"/>
              <w:gridCol w:w="4389"/>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rPr>
                      <w:highlight w:val="none"/>
                    </w:rPr>
                  </w:pPr>
                  <w:r>
                    <w:rPr>
                      <w:rFonts w:hint="eastAsia"/>
                      <w:highlight w:val="none"/>
                    </w:rPr>
                    <w:t>主要的风险描述</w:t>
                  </w:r>
                </w:p>
              </w:tc>
              <w:tc>
                <w:tcPr>
                  <w:tcW w:w="4389" w:type="dxa"/>
                </w:tcPr>
                <w:p>
                  <w:pPr>
                    <w:rPr>
                      <w:szCs w:val="24"/>
                      <w:highlight w:val="none"/>
                    </w:rPr>
                  </w:pPr>
                  <w:r>
                    <w:rPr>
                      <w:rFonts w:hint="eastAsia"/>
                      <w:highlight w:val="none"/>
                    </w:rPr>
                    <w:t>应对措施</w:t>
                  </w:r>
                </w:p>
              </w:tc>
              <w:tc>
                <w:tcPr>
                  <w:tcW w:w="1645"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rPr>
                      <w:rFonts w:hint="default" w:eastAsia="宋体"/>
                      <w:szCs w:val="24"/>
                      <w:highlight w:val="none"/>
                      <w:lang w:val="en-US" w:eastAsia="zh-CN"/>
                    </w:rPr>
                  </w:pPr>
                  <w:r>
                    <w:rPr>
                      <w:rFonts w:hint="eastAsia"/>
                      <w:szCs w:val="24"/>
                      <w:highlight w:val="none"/>
                      <w:lang w:val="en-US" w:eastAsia="zh-CN"/>
                    </w:rPr>
                    <w:t>散装粮食采购控制不当，导致农残重金属等超标、客户拒收</w:t>
                  </w:r>
                </w:p>
              </w:tc>
              <w:tc>
                <w:tcPr>
                  <w:tcW w:w="4389" w:type="dxa"/>
                </w:tcPr>
                <w:p>
                  <w:pPr>
                    <w:numPr>
                      <w:ilvl w:val="0"/>
                      <w:numId w:val="1"/>
                    </w:numPr>
                    <w:rPr>
                      <w:rFonts w:hint="eastAsia"/>
                      <w:highlight w:val="none"/>
                      <w:lang w:val="en-US" w:eastAsia="zh-CN"/>
                    </w:rPr>
                  </w:pPr>
                  <w:r>
                    <w:rPr>
                      <w:rFonts w:hint="eastAsia"/>
                      <w:highlight w:val="none"/>
                      <w:lang w:val="en-US" w:eastAsia="zh-CN"/>
                    </w:rPr>
                    <w:t>定期委托第三方进行送检；</w:t>
                  </w:r>
                </w:p>
                <w:p>
                  <w:pPr>
                    <w:numPr>
                      <w:ilvl w:val="0"/>
                      <w:numId w:val="1"/>
                    </w:numPr>
                    <w:rPr>
                      <w:szCs w:val="24"/>
                      <w:highlight w:val="none"/>
                    </w:rPr>
                  </w:pPr>
                  <w:r>
                    <w:rPr>
                      <w:rFonts w:hint="eastAsia"/>
                      <w:highlight w:val="none"/>
                      <w:lang w:val="en-US" w:eastAsia="zh-CN"/>
                    </w:rPr>
                    <w:t>与客户签订采购合同，明确用药期等要求；</w:t>
                  </w:r>
                </w:p>
                <w:p>
                  <w:pPr>
                    <w:numPr>
                      <w:ilvl w:val="0"/>
                      <w:numId w:val="1"/>
                    </w:numPr>
                    <w:rPr>
                      <w:szCs w:val="24"/>
                      <w:highlight w:val="none"/>
                    </w:rPr>
                  </w:pPr>
                  <w:r>
                    <w:rPr>
                      <w:rFonts w:hint="eastAsia"/>
                      <w:szCs w:val="24"/>
                      <w:highlight w:val="none"/>
                      <w:lang w:val="en-US" w:eastAsia="zh-CN"/>
                    </w:rPr>
                    <w:t>定期监控库内储存的粮食水分，确保水分不超标，粮食不发霉变质</w:t>
                  </w:r>
                </w:p>
              </w:tc>
              <w:tc>
                <w:tcPr>
                  <w:tcW w:w="1645"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jc w:val="left"/>
                    <w:textAlignment w:val="center"/>
                    <w:rPr>
                      <w:rFonts w:hint="default" w:eastAsia="宋体"/>
                      <w:szCs w:val="24"/>
                      <w:highlight w:val="none"/>
                      <w:lang w:val="en-US" w:eastAsia="zh-CN"/>
                    </w:rPr>
                  </w:pPr>
                  <w:r>
                    <w:rPr>
                      <w:rFonts w:hint="eastAsia"/>
                      <w:szCs w:val="24"/>
                      <w:highlight w:val="none"/>
                      <w:lang w:val="en-US" w:eastAsia="zh-CN"/>
                    </w:rPr>
                    <w:t>粮食供方控制不当，导致采购量达不到客户需求，影响经营</w:t>
                  </w:r>
                </w:p>
              </w:tc>
              <w:tc>
                <w:tcPr>
                  <w:tcW w:w="4389" w:type="dxa"/>
                  <w:vAlign w:val="center"/>
                </w:tcPr>
                <w:p>
                  <w:pPr>
                    <w:widowControl/>
                    <w:numPr>
                      <w:ilvl w:val="0"/>
                      <w:numId w:val="2"/>
                    </w:numPr>
                    <w:jc w:val="left"/>
                    <w:textAlignment w:val="center"/>
                    <w:rPr>
                      <w:rFonts w:hint="default"/>
                      <w:sz w:val="21"/>
                      <w:szCs w:val="21"/>
                      <w:highlight w:val="none"/>
                      <w:lang w:val="en-US" w:eastAsia="zh-CN"/>
                    </w:rPr>
                  </w:pPr>
                  <w:r>
                    <w:rPr>
                      <w:rFonts w:hint="eastAsia"/>
                      <w:sz w:val="21"/>
                      <w:szCs w:val="21"/>
                      <w:highlight w:val="none"/>
                      <w:lang w:val="en-US" w:eastAsia="zh-CN"/>
                    </w:rPr>
                    <w:t>良好的供方合作关系；</w:t>
                  </w:r>
                </w:p>
                <w:p>
                  <w:pPr>
                    <w:widowControl/>
                    <w:numPr>
                      <w:ilvl w:val="0"/>
                      <w:numId w:val="2"/>
                    </w:numPr>
                    <w:jc w:val="left"/>
                    <w:textAlignment w:val="center"/>
                    <w:rPr>
                      <w:rFonts w:hint="default"/>
                      <w:sz w:val="21"/>
                      <w:szCs w:val="21"/>
                      <w:highlight w:val="none"/>
                      <w:lang w:val="en-US" w:eastAsia="zh-CN"/>
                    </w:rPr>
                  </w:pPr>
                  <w:r>
                    <w:rPr>
                      <w:rFonts w:hint="eastAsia"/>
                      <w:sz w:val="21"/>
                      <w:szCs w:val="21"/>
                      <w:highlight w:val="none"/>
                      <w:lang w:val="en-US" w:eastAsia="zh-CN"/>
                    </w:rPr>
                    <w:t>定期进行评审供方；</w:t>
                  </w:r>
                </w:p>
              </w:tc>
              <w:tc>
                <w:tcPr>
                  <w:tcW w:w="1645"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vAlign w:val="center"/>
                </w:tcPr>
                <w:p>
                  <w:pPr>
                    <w:widowControl/>
                    <w:jc w:val="left"/>
                    <w:textAlignment w:val="center"/>
                    <w:rPr>
                      <w:szCs w:val="24"/>
                      <w:highlight w:val="none"/>
                    </w:rPr>
                  </w:pPr>
                </w:p>
              </w:tc>
              <w:tc>
                <w:tcPr>
                  <w:tcW w:w="4389" w:type="dxa"/>
                  <w:vAlign w:val="center"/>
                </w:tcPr>
                <w:p>
                  <w:pPr>
                    <w:widowControl/>
                    <w:jc w:val="left"/>
                    <w:textAlignment w:val="center"/>
                    <w:rPr>
                      <w:highlight w:val="none"/>
                    </w:rPr>
                  </w:pPr>
                </w:p>
              </w:tc>
              <w:tc>
                <w:tcPr>
                  <w:tcW w:w="1645" w:type="dxa"/>
                </w:tcPr>
                <w:p>
                  <w:pPr>
                    <w:rPr>
                      <w:highlight w:val="none"/>
                    </w:rPr>
                  </w:pPr>
                </w:p>
              </w:tc>
            </w:tr>
          </w:tbl>
          <w:p>
            <w:pPr>
              <w:rPr>
                <w:highlight w:val="none"/>
              </w:rPr>
            </w:pPr>
          </w:p>
          <w:p>
            <w:pPr>
              <w:rPr>
                <w:highlight w:val="none"/>
              </w:rPr>
            </w:pPr>
            <w:r>
              <w:rPr>
                <w:rFonts w:hint="eastAsia"/>
                <w:highlight w:val="none"/>
              </w:rPr>
              <w:t>应对机遇的措施类型包括：</w:t>
            </w:r>
          </w:p>
          <w:p>
            <w:pPr>
              <w:rPr>
                <w:highlight w:val="none"/>
              </w:rPr>
            </w:pPr>
            <w:r>
              <w:rPr>
                <w:rFonts w:hint="eastAsia"/>
                <w:highlight w:val="none"/>
              </w:rPr>
              <w:sym w:font="Wingdings" w:char="00FE"/>
            </w:r>
            <w:r>
              <w:rPr>
                <w:rFonts w:hint="eastAsia"/>
                <w:highlight w:val="none"/>
              </w:rPr>
              <w:t>采用</w:t>
            </w:r>
            <w:r>
              <w:rPr>
                <w:highlight w:val="none"/>
              </w:rPr>
              <w:t>新</w:t>
            </w:r>
            <w:r>
              <w:rPr>
                <w:rFonts w:hint="eastAsia"/>
                <w:highlight w:val="none"/>
              </w:rPr>
              <w:t>实践</w:t>
            </w:r>
            <w:r>
              <w:rPr>
                <w:highlight w:val="none"/>
              </w:rPr>
              <w:t>（修改产品或工艺）</w:t>
            </w:r>
            <w:r>
              <w:rPr>
                <w:rFonts w:hint="eastAsia"/>
                <w:highlight w:val="none"/>
              </w:rPr>
              <w:t xml:space="preserve"> </w:t>
            </w:r>
            <w:r>
              <w:rPr>
                <w:rFonts w:hint="eastAsia"/>
                <w:highlight w:val="none"/>
              </w:rPr>
              <w:sym w:font="Wingdings" w:char="00A8"/>
            </w:r>
            <w:r>
              <w:rPr>
                <w:highlight w:val="none"/>
              </w:rPr>
              <w:t>使用新技术</w:t>
            </w:r>
            <w:r>
              <w:rPr>
                <w:rFonts w:hint="eastAsia"/>
                <w:highlight w:val="none"/>
              </w:rPr>
              <w:t xml:space="preserve">  </w:t>
            </w:r>
            <w:r>
              <w:rPr>
                <w:rFonts w:hint="eastAsia"/>
                <w:highlight w:val="none"/>
              </w:rPr>
              <w:sym w:font="Wingdings" w:char="00FE"/>
            </w:r>
            <w:r>
              <w:rPr>
                <w:rFonts w:hint="eastAsia"/>
                <w:highlight w:val="none"/>
              </w:rPr>
              <w:t xml:space="preserve">其他可取的和可行的方法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列举2~3项应对重要机遇的描述：</w:t>
            </w:r>
          </w:p>
          <w:tbl>
            <w:tblPr>
              <w:tblStyle w:val="8"/>
              <w:tblpPr w:leftFromText="180" w:rightFromText="180" w:vertAnchor="text" w:horzAnchor="page" w:tblpX="106" w:tblpY="206"/>
              <w:tblOverlap w:val="never"/>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highlight w:val="none"/>
                    </w:rPr>
                  </w:pPr>
                  <w:r>
                    <w:rPr>
                      <w:rFonts w:hint="eastAsia"/>
                      <w:highlight w:val="none"/>
                    </w:rPr>
                    <w:t>主要的机遇描述</w:t>
                  </w:r>
                </w:p>
              </w:tc>
              <w:tc>
                <w:tcPr>
                  <w:tcW w:w="3760" w:type="dxa"/>
                </w:tcPr>
                <w:p>
                  <w:pPr>
                    <w:rPr>
                      <w:szCs w:val="24"/>
                      <w:highlight w:val="none"/>
                    </w:rPr>
                  </w:pPr>
                  <w:r>
                    <w:rPr>
                      <w:rFonts w:hint="eastAsia"/>
                      <w:highlight w:val="none"/>
                    </w:rPr>
                    <w:t>应对措施</w:t>
                  </w:r>
                </w:p>
              </w:tc>
              <w:tc>
                <w:tcPr>
                  <w:tcW w:w="2136"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045" w:type="dxa"/>
                  <w:vAlign w:val="center"/>
                </w:tcPr>
                <w:p>
                  <w:pP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与习酒等客户合作多年、口碑较好，吸引更多合作客户</w:t>
                  </w:r>
                </w:p>
              </w:tc>
              <w:tc>
                <w:tcPr>
                  <w:tcW w:w="3760" w:type="dxa"/>
                </w:tcPr>
                <w:p>
                  <w:pPr>
                    <w:numPr>
                      <w:ilvl w:val="0"/>
                      <w:numId w:val="3"/>
                    </w:numPr>
                    <w:rPr>
                      <w:rFonts w:hint="eastAsia" w:ascii="宋体" w:hAnsi="宋体" w:eastAsia="宋体" w:cs="宋体"/>
                      <w:sz w:val="21"/>
                      <w:szCs w:val="21"/>
                      <w:highlight w:val="none"/>
                    </w:rPr>
                  </w:pPr>
                  <w:r>
                    <w:rPr>
                      <w:rFonts w:hint="eastAsia" w:ascii="宋体" w:hAnsi="宋体" w:eastAsia="宋体" w:cs="宋体"/>
                      <w:sz w:val="21"/>
                      <w:szCs w:val="21"/>
                      <w:highlight w:val="none"/>
                    </w:rPr>
                    <w:t>建立食品安全管理制度、规范化管理、对人员培训，提升管理能力。</w:t>
                  </w:r>
                </w:p>
                <w:p>
                  <w:pPr>
                    <w:pStyle w:val="6"/>
                    <w:numPr>
                      <w:ilvl w:val="0"/>
                      <w:numId w:val="3"/>
                    </w:numPr>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及时了解客户需求，不定期回访客户满意度，以达到客户满意；</w:t>
                  </w:r>
                </w:p>
              </w:tc>
              <w:tc>
                <w:tcPr>
                  <w:tcW w:w="2136" w:type="dxa"/>
                </w:tcPr>
                <w:p>
                  <w:pPr>
                    <w:rPr>
                      <w:rFonts w:ascii="宋体" w:hAnsi="宋体" w:cs="宋体"/>
                      <w:color w:val="000000"/>
                      <w:kern w:val="0"/>
                      <w:sz w:val="20"/>
                      <w:highlight w:val="none"/>
                    </w:rPr>
                  </w:pPr>
                  <w:r>
                    <w:rPr>
                      <w:rFonts w:hint="eastAsia" w:ascii="宋体" w:hAnsi="宋体" w:cs="宋体"/>
                      <w:color w:val="000000"/>
                      <w:kern w:val="0"/>
                      <w:sz w:val="20"/>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rFonts w:hint="eastAsia"/>
                      <w:szCs w:val="24"/>
                      <w:highlight w:val="none"/>
                    </w:rPr>
                  </w:pPr>
                </w:p>
              </w:tc>
              <w:tc>
                <w:tcPr>
                  <w:tcW w:w="3760" w:type="dxa"/>
                </w:tcPr>
                <w:p>
                  <w:pPr>
                    <w:rPr>
                      <w:rFonts w:hint="eastAsia"/>
                      <w:highlight w:val="none"/>
                    </w:rPr>
                  </w:pPr>
                </w:p>
              </w:tc>
              <w:tc>
                <w:tcPr>
                  <w:tcW w:w="213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4"/>
                      <w:highlight w:val="none"/>
                    </w:rPr>
                  </w:pPr>
                </w:p>
              </w:tc>
              <w:tc>
                <w:tcPr>
                  <w:tcW w:w="3760" w:type="dxa"/>
                </w:tcPr>
                <w:p>
                  <w:pPr>
                    <w:rPr>
                      <w:highlight w:val="none"/>
                    </w:rPr>
                  </w:pPr>
                </w:p>
              </w:tc>
              <w:tc>
                <w:tcPr>
                  <w:tcW w:w="2136" w:type="dxa"/>
                </w:tcPr>
                <w:p>
                  <w:pPr>
                    <w:rPr>
                      <w:highlight w:val="none"/>
                    </w:rPr>
                  </w:pPr>
                </w:p>
              </w:tc>
            </w:tr>
          </w:tbl>
          <w:p>
            <w:pPr>
              <w:rPr>
                <w:highlight w:val="none"/>
              </w:rPr>
            </w:pPr>
          </w:p>
          <w:p>
            <w:pPr>
              <w:rPr>
                <w:highlight w:val="none"/>
              </w:rPr>
            </w:pPr>
            <w:r>
              <w:rPr>
                <w:rFonts w:hint="eastAsia"/>
                <w:highlight w:val="none"/>
              </w:rPr>
              <w:t>组织食品安全管理体系范围内的潜在紧急情况，如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 xml:space="preserve">其他                      </w:t>
            </w:r>
          </w:p>
          <w:p>
            <w:pPr>
              <w:rPr>
                <w:highlight w:val="none"/>
              </w:rPr>
            </w:pPr>
          </w:p>
          <w:p>
            <w:pPr>
              <w:rPr>
                <w:highlight w:val="none"/>
                <w:u w:val="single"/>
              </w:rPr>
            </w:pPr>
            <w:r>
              <w:rPr>
                <w:rFonts w:hint="eastAsia"/>
                <w:highlight w:val="none"/>
              </w:rPr>
              <w:t>可能具有食品安全危害的潜在紧急情况，如</w:t>
            </w:r>
            <w:r>
              <w:rPr>
                <w:rFonts w:hint="eastAsia"/>
                <w:highlight w:val="none"/>
                <w:u w:val="single"/>
              </w:rPr>
              <w:t xml:space="preserve">  </w:t>
            </w:r>
            <w:r>
              <w:rPr>
                <w:rFonts w:hint="eastAsia"/>
                <w:highlight w:val="none"/>
                <w:u w:val="single"/>
              </w:rPr>
              <w:sym w:font="Wingdings" w:char="00A8"/>
            </w:r>
            <w:r>
              <w:rPr>
                <w:rFonts w:hint="eastAsia"/>
                <w:highlight w:val="none"/>
                <w:u w:val="single"/>
              </w:rPr>
              <w:t xml:space="preserve">食物中毒 </w:t>
            </w:r>
            <w:r>
              <w:rPr>
                <w:rFonts w:hint="eastAsia"/>
                <w:highlight w:val="none"/>
                <w:u w:val="single"/>
              </w:rPr>
              <w:sym w:font="Wingdings" w:char="00A8"/>
            </w:r>
            <w:r>
              <w:rPr>
                <w:rFonts w:hint="eastAsia"/>
                <w:highlight w:val="none"/>
                <w:u w:val="single"/>
              </w:rPr>
              <w:t xml:space="preserve">停水  </w:t>
            </w:r>
            <w:r>
              <w:rPr>
                <w:rFonts w:hint="eastAsia"/>
                <w:highlight w:val="none"/>
                <w:u w:val="single"/>
              </w:rPr>
              <w:sym w:font="Wingdings" w:char="00FE"/>
            </w:r>
            <w:r>
              <w:rPr>
                <w:rFonts w:hint="eastAsia"/>
                <w:highlight w:val="none"/>
                <w:u w:val="single"/>
              </w:rPr>
              <w:t xml:space="preserve">停电  </w:t>
            </w:r>
            <w:r>
              <w:rPr>
                <w:rFonts w:hint="eastAsia"/>
                <w:highlight w:val="none"/>
                <w:u w:val="single"/>
              </w:rPr>
              <w:sym w:font="Wingdings" w:char="00A8"/>
            </w:r>
            <w:r>
              <w:rPr>
                <w:rFonts w:hint="eastAsia"/>
                <w:highlight w:val="none"/>
                <w:u w:val="single"/>
              </w:rPr>
              <w:t xml:space="preserve"> 停蒸汽   </w:t>
            </w:r>
          </w:p>
          <w:p>
            <w:pPr>
              <w:rPr>
                <w:highlight w:val="none"/>
              </w:rPr>
            </w:pP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 制冷设备故障  </w:t>
            </w:r>
            <w:r>
              <w:rPr>
                <w:rFonts w:hint="eastAsia"/>
                <w:highlight w:val="none"/>
                <w:u w:val="single"/>
              </w:rPr>
              <w:sym w:font="Wingdings" w:char="00FE"/>
            </w:r>
            <w:r>
              <w:rPr>
                <w:rFonts w:hint="eastAsia"/>
                <w:highlight w:val="none"/>
                <w:u w:val="single"/>
              </w:rPr>
              <w:t xml:space="preserve">车辆故障   </w:t>
            </w:r>
            <w:r>
              <w:rPr>
                <w:rFonts w:hint="eastAsia"/>
                <w:highlight w:val="none"/>
                <w:u w:val="single"/>
              </w:rPr>
              <w:sym w:font="Wingdings" w:char="00A8"/>
            </w:r>
            <w:r>
              <w:rPr>
                <w:rFonts w:hint="eastAsia"/>
                <w:highlight w:val="none"/>
                <w:u w:val="single"/>
              </w:rPr>
              <w:t xml:space="preserve"> 其他            </w:t>
            </w:r>
          </w:p>
          <w:p>
            <w:pPr>
              <w:rPr>
                <w:highlight w:val="none"/>
              </w:rPr>
            </w:pP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确保FSMS 能够达到其预期结果;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提高理想效果;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防止或减少不良后果;</w:t>
            </w:r>
          </w:p>
          <w:p>
            <w:pPr>
              <w:rPr>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实现持续改进。</w:t>
            </w: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14" w:hRule="atLeast"/>
        </w:trPr>
        <w:tc>
          <w:tcPr>
            <w:tcW w:w="2044" w:type="dxa"/>
            <w:vMerge w:val="continue"/>
            <w:shd w:val="clear" w:color="auto" w:fill="FFFFFF" w:themeFill="background1"/>
          </w:tcPr>
          <w:p>
            <w:pPr>
              <w:rPr>
                <w:highlight w:val="none"/>
              </w:rPr>
            </w:pPr>
          </w:p>
        </w:tc>
        <w:tc>
          <w:tcPr>
            <w:tcW w:w="952" w:type="dxa"/>
            <w:shd w:val="clear" w:color="auto" w:fill="FFFFFF" w:themeFill="background1"/>
          </w:tcPr>
          <w:p>
            <w:pPr>
              <w:rPr>
                <w:highlight w:val="none"/>
              </w:rPr>
            </w:pPr>
            <w:r>
              <w:rPr>
                <w:rFonts w:hint="eastAsia"/>
                <w:color w:val="000000"/>
                <w:szCs w:val="21"/>
                <w:highlight w:val="none"/>
              </w:rPr>
              <w:t>F6.1.2</w:t>
            </w:r>
          </w:p>
        </w:tc>
        <w:tc>
          <w:tcPr>
            <w:tcW w:w="761" w:type="dxa"/>
            <w:shd w:val="clear" w:color="auto" w:fill="FFFFFF" w:themeFill="background1"/>
          </w:tcPr>
          <w:p>
            <w:pPr>
              <w:rPr>
                <w:highlight w:val="none"/>
              </w:rPr>
            </w:pPr>
            <w:r>
              <w:rPr>
                <w:rFonts w:hint="eastAsia"/>
                <w:highlight w:val="none"/>
              </w:rPr>
              <w:t>运行证据</w:t>
            </w:r>
          </w:p>
        </w:tc>
        <w:tc>
          <w:tcPr>
            <w:tcW w:w="9370" w:type="dxa"/>
            <w:shd w:val="clear" w:color="auto" w:fill="FFFFFF" w:themeFill="background1"/>
          </w:tcPr>
          <w:p>
            <w:pPr>
              <w:rPr>
                <w:rFonts w:ascii="CIDFont+F5" w:hAnsi="CIDFont+F5" w:eastAsia="CIDFont+F5"/>
                <w:highlight w:val="none"/>
              </w:rPr>
            </w:pPr>
            <w:r>
              <w:rPr>
                <w:rFonts w:hint="eastAsia" w:ascii="CIDFont+F5" w:hAnsi="CIDFont+F5" w:eastAsia="CIDFont+F5"/>
                <w:highlight w:val="none"/>
              </w:rPr>
              <w:t>该组织策划了：</w:t>
            </w:r>
          </w:p>
          <w:p>
            <w:pPr>
              <w:jc w:val="left"/>
              <w:rPr>
                <w:rFonts w:hint="default" w:ascii="CIDFont+F5" w:hAnsi="CIDFont+F5" w:eastAsia="CIDFont+F5"/>
                <w:highlight w:val="none"/>
                <w:lang w:val="en-US" w:eastAsia="zh-CN"/>
              </w:rPr>
            </w:pPr>
            <w:r>
              <w:rPr>
                <w:rFonts w:hint="eastAsia" w:ascii="CIDFont+F5" w:hAnsi="CIDFont+F5" w:eastAsia="CIDFont+F5"/>
                <w:highlight w:val="none"/>
              </w:rPr>
              <w:t>a) 解决这些风险和机遇的行动;</w:t>
            </w:r>
            <w:r>
              <w:rPr>
                <w:rFonts w:hint="eastAsia" w:ascii="CIDFont+F5" w:hAnsi="CIDFont+F5" w:eastAsia="CIDFont+F5"/>
                <w:highlight w:val="none"/>
                <w:lang w:eastAsia="zh-CN"/>
              </w:rPr>
              <w:t>——《</w:t>
            </w:r>
            <w:r>
              <w:rPr>
                <w:rFonts w:hint="eastAsia" w:ascii="CIDFont+F5" w:hAnsi="CIDFont+F5" w:eastAsia="CIDFont+F5"/>
                <w:highlight w:val="none"/>
                <w:lang w:val="en-US" w:eastAsia="zh-CN"/>
              </w:rPr>
              <w:t>风险和机遇应对措施表</w:t>
            </w:r>
            <w:r>
              <w:rPr>
                <w:rFonts w:hint="eastAsia" w:ascii="CIDFont+F5" w:hAnsi="CIDFont+F5" w:eastAsia="CIDFont+F5"/>
                <w:highlight w:val="none"/>
                <w:lang w:eastAsia="zh-CN"/>
              </w:rPr>
              <w:t>》</w:t>
            </w:r>
          </w:p>
          <w:p>
            <w:pPr>
              <w:jc w:val="left"/>
              <w:rPr>
                <w:rFonts w:ascii="CIDFont+F5" w:hAnsi="CIDFont+F5" w:eastAsia="CIDFont+F5"/>
                <w:highlight w:val="none"/>
              </w:rPr>
            </w:pPr>
            <w:r>
              <w:rPr>
                <w:rFonts w:hint="eastAsia" w:ascii="CIDFont+F5" w:hAnsi="CIDFont+F5" w:eastAsia="CIDFont+F5"/>
                <w:highlight w:val="none"/>
              </w:rPr>
              <w:t>b) 并进行了:</w:t>
            </w:r>
          </w:p>
          <w:p>
            <w:pPr>
              <w:jc w:val="left"/>
              <w:rPr>
                <w:rFonts w:ascii="CIDFont+F5" w:hAnsi="CIDFont+F5" w:eastAsia="CIDFont+F5"/>
                <w:highlight w:val="none"/>
              </w:rPr>
            </w:pPr>
            <w:r>
              <w:rPr>
                <w:rFonts w:hint="eastAsia" w:ascii="CIDFont+F5" w:hAnsi="CIDFont+F5" w:eastAsia="CIDFont+F5"/>
                <w:highlight w:val="none"/>
              </w:rPr>
              <w:t>1) 将行动整合并实施到其FSMS流程中;</w:t>
            </w:r>
            <w:r>
              <w:rPr>
                <w:rFonts w:hint="eastAsia"/>
                <w:highlight w:val="none"/>
              </w:rPr>
              <w:sym w:font="Wingdings" w:char="00FE"/>
            </w:r>
            <w:r>
              <w:rPr>
                <w:rFonts w:hint="eastAsia" w:ascii="CIDFont+F5" w:hAnsi="CIDFont+F5" w:eastAsia="CIDFont+F5"/>
                <w:highlight w:val="none"/>
              </w:rPr>
              <w:t xml:space="preserve">是  </w:t>
            </w:r>
            <w:r>
              <w:rPr>
                <w:rFonts w:hint="eastAsia"/>
                <w:highlight w:val="none"/>
              </w:rPr>
              <w:sym w:font="Wingdings" w:char="00A8"/>
            </w:r>
            <w:r>
              <w:rPr>
                <w:rFonts w:hint="eastAsia" w:ascii="CIDFont+F5" w:hAnsi="CIDFont+F5" w:eastAsia="CIDFont+F5"/>
                <w:highlight w:val="none"/>
              </w:rPr>
              <w:t>否，说明</w:t>
            </w:r>
            <w:r>
              <w:rPr>
                <w:rFonts w:hint="eastAsia" w:ascii="CIDFont+F5" w:hAnsi="CIDFont+F5" w:eastAsia="CIDFont+F5"/>
                <w:highlight w:val="none"/>
                <w:u w:val="single"/>
              </w:rPr>
              <w:t xml:space="preserve">                    </w:t>
            </w:r>
            <w:r>
              <w:rPr>
                <w:rFonts w:hint="eastAsia" w:ascii="CIDFont+F5" w:hAnsi="CIDFont+F5" w:eastAsia="CIDFont+F5"/>
                <w:highlight w:val="none"/>
              </w:rPr>
              <w:t xml:space="preserve">  </w:t>
            </w:r>
          </w:p>
          <w:p>
            <w:pPr>
              <w:jc w:val="left"/>
              <w:rPr>
                <w:rFonts w:ascii="CIDFont+F5" w:hAnsi="CIDFont+F5" w:eastAsia="CIDFont+F5"/>
                <w:highlight w:val="none"/>
              </w:rPr>
            </w:pPr>
            <w:r>
              <w:rPr>
                <w:rFonts w:hint="eastAsia" w:ascii="CIDFont+F5" w:hAnsi="CIDFont+F5" w:eastAsia="CIDFont+F5"/>
                <w:highlight w:val="none"/>
              </w:rPr>
              <w:t>2) 评估这些行动的有效性。</w:t>
            </w:r>
            <w:r>
              <w:rPr>
                <w:rFonts w:hint="eastAsia"/>
                <w:highlight w:val="none"/>
              </w:rPr>
              <w:sym w:font="Wingdings" w:char="00FE"/>
            </w:r>
            <w:r>
              <w:rPr>
                <w:rFonts w:hint="eastAsia" w:ascii="CIDFont+F5" w:hAnsi="CIDFont+F5" w:eastAsia="CIDFont+F5"/>
                <w:highlight w:val="none"/>
              </w:rPr>
              <w:t xml:space="preserve">是  </w:t>
            </w:r>
            <w:r>
              <w:rPr>
                <w:rFonts w:hint="eastAsia"/>
                <w:highlight w:val="none"/>
              </w:rPr>
              <w:sym w:font="Wingdings" w:char="00A8"/>
            </w:r>
            <w:r>
              <w:rPr>
                <w:rFonts w:hint="eastAsia" w:ascii="CIDFont+F5" w:hAnsi="CIDFont+F5" w:eastAsia="CIDFont+F5"/>
                <w:highlight w:val="none"/>
              </w:rPr>
              <w:t>否，说明</w:t>
            </w:r>
            <w:r>
              <w:rPr>
                <w:rFonts w:hint="eastAsia" w:ascii="CIDFont+F5" w:hAnsi="CIDFont+F5" w:eastAsia="CIDFont+F5"/>
                <w:highlight w:val="none"/>
                <w:u w:val="single"/>
              </w:rPr>
              <w:t xml:space="preserve">                    </w:t>
            </w:r>
            <w:r>
              <w:rPr>
                <w:rFonts w:hint="eastAsia" w:ascii="CIDFont+F5" w:hAnsi="CIDFont+F5" w:eastAsia="CIDFont+F5"/>
                <w:highlight w:val="none"/>
              </w:rPr>
              <w:t xml:space="preserve">   </w:t>
            </w:r>
          </w:p>
        </w:tc>
        <w:tc>
          <w:tcPr>
            <w:tcW w:w="1587" w:type="dxa"/>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40" w:hRule="atLeast"/>
        </w:trPr>
        <w:tc>
          <w:tcPr>
            <w:tcW w:w="2044" w:type="dxa"/>
            <w:vMerge w:val="continue"/>
            <w:shd w:val="clear" w:color="auto" w:fill="FFFFFF" w:themeFill="background1"/>
          </w:tcPr>
          <w:p>
            <w:pPr>
              <w:rPr>
                <w:highlight w:val="none"/>
              </w:rPr>
            </w:pPr>
          </w:p>
        </w:tc>
        <w:tc>
          <w:tcPr>
            <w:tcW w:w="952" w:type="dxa"/>
            <w:shd w:val="clear" w:color="auto" w:fill="FFFFFF" w:themeFill="background1"/>
          </w:tcPr>
          <w:p>
            <w:pPr>
              <w:rPr>
                <w:highlight w:val="none"/>
              </w:rPr>
            </w:pPr>
            <w:r>
              <w:rPr>
                <w:rFonts w:hint="eastAsia"/>
                <w:color w:val="000000"/>
                <w:szCs w:val="21"/>
                <w:highlight w:val="none"/>
              </w:rPr>
              <w:t>F6.1.3</w:t>
            </w:r>
          </w:p>
        </w:tc>
        <w:tc>
          <w:tcPr>
            <w:tcW w:w="761" w:type="dxa"/>
            <w:shd w:val="clear" w:color="auto" w:fill="FFFFFF" w:themeFill="background1"/>
          </w:tcPr>
          <w:p>
            <w:pPr>
              <w:rPr>
                <w:highlight w:val="none"/>
              </w:rPr>
            </w:pPr>
            <w:r>
              <w:rPr>
                <w:rFonts w:hint="eastAsia"/>
                <w:highlight w:val="none"/>
              </w:rPr>
              <w:t>运行证据</w:t>
            </w:r>
          </w:p>
        </w:tc>
        <w:tc>
          <w:tcPr>
            <w:tcW w:w="9370" w:type="dxa"/>
            <w:shd w:val="clear" w:color="auto" w:fill="FFFFFF" w:themeFill="background1"/>
          </w:tcPr>
          <w:p>
            <w:pPr>
              <w:jc w:val="left"/>
              <w:rPr>
                <w:rFonts w:ascii="CIDFont+F5" w:hAnsi="CIDFont+F5" w:eastAsia="CIDFont+F5"/>
                <w:highlight w:val="none"/>
              </w:rPr>
            </w:pPr>
            <w:r>
              <w:rPr>
                <w:rFonts w:hint="eastAsia" w:ascii="CIDFont+F5" w:hAnsi="CIDFont+F5" w:eastAsia="CIDFont+F5"/>
                <w:highlight w:val="none"/>
              </w:rPr>
              <w:t>该组织为应对风险和机遇而采取的行动与以下方面相称：</w:t>
            </w:r>
          </w:p>
          <w:p>
            <w:pPr>
              <w:jc w:val="left"/>
              <w:rPr>
                <w:rFonts w:ascii="CIDFont+F5" w:hAnsi="CIDFont+F5" w:eastAsia="CIDFont+F5"/>
                <w:highlight w:val="none"/>
              </w:rPr>
            </w:pPr>
            <w:r>
              <w:rPr>
                <w:rFonts w:hint="eastAsia" w:ascii="CIDFont+F5" w:hAnsi="CIDFont+F5" w:eastAsia="CIDFont+F5"/>
                <w:highlight w:val="none"/>
              </w:rPr>
              <w:t xml:space="preserve">a) 对食品安全要求的影响;          </w:t>
            </w:r>
            <w:r>
              <w:rPr>
                <w:rFonts w:hint="eastAsia"/>
                <w:highlight w:val="none"/>
              </w:rPr>
              <w:sym w:font="Wingdings" w:char="00FE"/>
            </w:r>
            <w:r>
              <w:rPr>
                <w:rFonts w:hint="eastAsia" w:ascii="CIDFont+F5" w:hAnsi="CIDFont+F5" w:eastAsia="CIDFont+F5"/>
                <w:highlight w:val="none"/>
              </w:rPr>
              <w:t xml:space="preserve">是  </w:t>
            </w:r>
            <w:r>
              <w:rPr>
                <w:rFonts w:hint="eastAsia"/>
                <w:highlight w:val="none"/>
              </w:rPr>
              <w:sym w:font="Wingdings" w:char="00A8"/>
            </w:r>
            <w:r>
              <w:rPr>
                <w:rFonts w:hint="eastAsia" w:ascii="CIDFont+F5" w:hAnsi="CIDFont+F5" w:eastAsia="CIDFont+F5"/>
                <w:highlight w:val="none"/>
              </w:rPr>
              <w:t>否，说明</w:t>
            </w:r>
            <w:r>
              <w:rPr>
                <w:rFonts w:hint="eastAsia" w:ascii="CIDFont+F5" w:hAnsi="CIDFont+F5" w:eastAsia="CIDFont+F5"/>
                <w:highlight w:val="none"/>
                <w:u w:val="single"/>
              </w:rPr>
              <w:t xml:space="preserve">                    </w:t>
            </w:r>
            <w:r>
              <w:rPr>
                <w:rFonts w:hint="eastAsia" w:ascii="CIDFont+F5" w:hAnsi="CIDFont+F5" w:eastAsia="CIDFont+F5"/>
                <w:highlight w:val="none"/>
              </w:rPr>
              <w:t xml:space="preserve">  </w:t>
            </w:r>
          </w:p>
          <w:p>
            <w:pPr>
              <w:jc w:val="left"/>
              <w:rPr>
                <w:rFonts w:ascii="CIDFont+F5" w:hAnsi="CIDFont+F5" w:eastAsia="CIDFont+F5"/>
                <w:highlight w:val="none"/>
              </w:rPr>
            </w:pPr>
            <w:r>
              <w:rPr>
                <w:rFonts w:hint="eastAsia" w:ascii="CIDFont+F5" w:hAnsi="CIDFont+F5" w:eastAsia="CIDFont+F5"/>
                <w:highlight w:val="none"/>
              </w:rPr>
              <w:t>b) 为顾客提供一致的食品产品与服务;</w:t>
            </w:r>
            <w:r>
              <w:rPr>
                <w:rFonts w:hint="eastAsia"/>
                <w:highlight w:val="none"/>
              </w:rPr>
              <w:sym w:font="Wingdings" w:char="00FE"/>
            </w:r>
            <w:r>
              <w:rPr>
                <w:rFonts w:hint="eastAsia" w:ascii="CIDFont+F5" w:hAnsi="CIDFont+F5" w:eastAsia="CIDFont+F5"/>
                <w:highlight w:val="none"/>
              </w:rPr>
              <w:t xml:space="preserve">是  </w:t>
            </w:r>
            <w:r>
              <w:rPr>
                <w:rFonts w:hint="eastAsia"/>
                <w:highlight w:val="none"/>
              </w:rPr>
              <w:sym w:font="Wingdings" w:char="00A8"/>
            </w:r>
            <w:r>
              <w:rPr>
                <w:rFonts w:hint="eastAsia" w:ascii="CIDFont+F5" w:hAnsi="CIDFont+F5" w:eastAsia="CIDFont+F5"/>
                <w:highlight w:val="none"/>
              </w:rPr>
              <w:t>否，说明</w:t>
            </w:r>
            <w:r>
              <w:rPr>
                <w:rFonts w:hint="eastAsia" w:ascii="CIDFont+F5" w:hAnsi="CIDFont+F5" w:eastAsia="CIDFont+F5"/>
                <w:highlight w:val="none"/>
                <w:u w:val="single"/>
              </w:rPr>
              <w:t xml:space="preserve">                    </w:t>
            </w:r>
            <w:r>
              <w:rPr>
                <w:rFonts w:hint="eastAsia" w:ascii="CIDFont+F5" w:hAnsi="CIDFont+F5" w:eastAsia="CIDFont+F5"/>
                <w:highlight w:val="none"/>
              </w:rPr>
              <w:t xml:space="preserve">  </w:t>
            </w:r>
          </w:p>
          <w:p>
            <w:pPr>
              <w:jc w:val="left"/>
              <w:rPr>
                <w:highlight w:val="none"/>
              </w:rPr>
            </w:pPr>
            <w:r>
              <w:rPr>
                <w:rFonts w:hint="eastAsia" w:ascii="CIDFont+F5" w:hAnsi="CIDFont+F5" w:eastAsia="CIDFont+F5"/>
                <w:highlight w:val="none"/>
              </w:rPr>
              <w:t xml:space="preserve">c) 食品链中相关方的要求。         </w:t>
            </w:r>
            <w:r>
              <w:rPr>
                <w:rFonts w:hint="eastAsia"/>
                <w:highlight w:val="none"/>
              </w:rPr>
              <w:sym w:font="Wingdings" w:char="00FE"/>
            </w:r>
            <w:r>
              <w:rPr>
                <w:rFonts w:hint="eastAsia" w:ascii="CIDFont+F5" w:hAnsi="CIDFont+F5" w:eastAsia="CIDFont+F5"/>
                <w:highlight w:val="none"/>
              </w:rPr>
              <w:t xml:space="preserve">是  </w:t>
            </w:r>
            <w:r>
              <w:rPr>
                <w:rFonts w:hint="eastAsia"/>
                <w:highlight w:val="none"/>
              </w:rPr>
              <w:sym w:font="Wingdings" w:char="00A8"/>
            </w:r>
            <w:r>
              <w:rPr>
                <w:rFonts w:hint="eastAsia" w:ascii="CIDFont+F5" w:hAnsi="CIDFont+F5" w:eastAsia="CIDFont+F5"/>
                <w:highlight w:val="none"/>
              </w:rPr>
              <w:t>否，说明</w:t>
            </w:r>
            <w:r>
              <w:rPr>
                <w:rFonts w:hint="eastAsia" w:ascii="CIDFont+F5" w:hAnsi="CIDFont+F5" w:eastAsia="CIDFont+F5"/>
                <w:highlight w:val="none"/>
                <w:u w:val="single"/>
              </w:rPr>
              <w:t xml:space="preserve">                    </w:t>
            </w:r>
            <w:r>
              <w:rPr>
                <w:rFonts w:hint="eastAsia" w:ascii="CIDFont+F5" w:hAnsi="CIDFont+F5" w:eastAsia="CIDFont+F5"/>
                <w:highlight w:val="none"/>
              </w:rPr>
              <w:t xml:space="preserve">  </w:t>
            </w:r>
          </w:p>
        </w:tc>
        <w:tc>
          <w:tcPr>
            <w:tcW w:w="1587" w:type="dxa"/>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pPr>
              <w:rPr>
                <w:highlight w:val="none"/>
              </w:rPr>
            </w:pPr>
            <w:r>
              <w:rPr>
                <w:rFonts w:hint="eastAsia"/>
                <w:color w:val="000000"/>
                <w:szCs w:val="21"/>
                <w:highlight w:val="none"/>
              </w:rPr>
              <w:t>食品安全管理体系目标及其实现的策划</w:t>
            </w:r>
          </w:p>
        </w:tc>
        <w:tc>
          <w:tcPr>
            <w:tcW w:w="952" w:type="dxa"/>
            <w:vMerge w:val="restart"/>
            <w:shd w:val="clear" w:color="auto" w:fill="FFFFFF" w:themeFill="background1"/>
          </w:tcPr>
          <w:p>
            <w:pPr>
              <w:rPr>
                <w:highlight w:val="none"/>
              </w:rPr>
            </w:pPr>
            <w:r>
              <w:rPr>
                <w:rFonts w:hint="eastAsia"/>
                <w:color w:val="000000"/>
                <w:szCs w:val="21"/>
                <w:highlight w:val="none"/>
              </w:rPr>
              <w:t>F6.2</w:t>
            </w:r>
          </w:p>
        </w:tc>
        <w:tc>
          <w:tcPr>
            <w:tcW w:w="761" w:type="dxa"/>
            <w:shd w:val="clear" w:color="auto" w:fill="FFFFFF" w:themeFill="background1"/>
          </w:tcPr>
          <w:p>
            <w:pPr>
              <w:rPr>
                <w:highlight w:val="none"/>
              </w:rPr>
            </w:pPr>
            <w:r>
              <w:rPr>
                <w:rFonts w:hint="eastAsia"/>
                <w:highlight w:val="none"/>
              </w:rPr>
              <w:t>文件名称</w:t>
            </w:r>
          </w:p>
        </w:tc>
        <w:tc>
          <w:tcPr>
            <w:tcW w:w="9370" w:type="dxa"/>
            <w:shd w:val="clear" w:color="auto" w:fill="FFFFFF" w:themeFill="background1"/>
          </w:tcPr>
          <w:p>
            <w:pPr>
              <w:rPr>
                <w:highlight w:val="none"/>
              </w:rPr>
            </w:pPr>
            <w:r>
              <w:rPr>
                <w:rFonts w:hint="eastAsia"/>
                <w:highlight w:val="none"/>
              </w:rPr>
              <w:t>如：</w:t>
            </w:r>
            <w:r>
              <w:rPr>
                <w:highlight w:val="none"/>
              </w:rPr>
              <w:sym w:font="Wingdings" w:char="00FE"/>
            </w:r>
            <w:r>
              <w:rPr>
                <w:rFonts w:hint="eastAsia"/>
                <w:highlight w:val="none"/>
              </w:rPr>
              <w:t>手册第6.2条款、</w:t>
            </w:r>
            <w:r>
              <w:rPr>
                <w:highlight w:val="none"/>
              </w:rPr>
              <w:sym w:font="Wingdings" w:char="00FE"/>
            </w:r>
            <w:r>
              <w:rPr>
                <w:rFonts w:hint="eastAsia"/>
                <w:highlight w:val="none"/>
              </w:rPr>
              <w:t>《食品安全目标及分解考核记录》</w:t>
            </w:r>
          </w:p>
        </w:tc>
        <w:tc>
          <w:tcPr>
            <w:tcW w:w="1587" w:type="dxa"/>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2" w:hRule="atLeast"/>
        </w:trPr>
        <w:tc>
          <w:tcPr>
            <w:tcW w:w="2044" w:type="dxa"/>
            <w:vMerge w:val="continue"/>
            <w:shd w:val="clear" w:color="auto" w:fill="FFFFFF" w:themeFill="background1"/>
          </w:tcPr>
          <w:p>
            <w:pPr>
              <w:rPr>
                <w:highlight w:val="none"/>
              </w:rPr>
            </w:pPr>
          </w:p>
        </w:tc>
        <w:tc>
          <w:tcPr>
            <w:tcW w:w="952" w:type="dxa"/>
            <w:vMerge w:val="continue"/>
            <w:shd w:val="clear" w:color="auto" w:fill="FFFFFF" w:themeFill="background1"/>
          </w:tcPr>
          <w:p>
            <w:pPr>
              <w:rPr>
                <w:highlight w:val="none"/>
              </w:rPr>
            </w:pPr>
          </w:p>
        </w:tc>
        <w:tc>
          <w:tcPr>
            <w:tcW w:w="761" w:type="dxa"/>
            <w:shd w:val="clear" w:color="auto" w:fill="FFFFFF" w:themeFill="background1"/>
          </w:tcPr>
          <w:p>
            <w:pPr>
              <w:rPr>
                <w:highlight w:val="none"/>
              </w:rPr>
            </w:pPr>
            <w:r>
              <w:rPr>
                <w:rFonts w:hint="eastAsia"/>
                <w:highlight w:val="none"/>
              </w:rPr>
              <w:t>运行证据</w:t>
            </w:r>
          </w:p>
        </w:tc>
        <w:tc>
          <w:tcPr>
            <w:tcW w:w="9370" w:type="dxa"/>
            <w:shd w:val="clear" w:color="auto" w:fill="FFFFFF" w:themeFill="background1"/>
          </w:tcPr>
          <w:p>
            <w:pPr>
              <w:rPr>
                <w:highlight w:val="none"/>
              </w:rPr>
            </w:pPr>
            <w:r>
              <w:rPr>
                <w:rFonts w:hint="eastAsia"/>
                <w:highlight w:val="none"/>
              </w:rPr>
              <w:t>组织建立了与方针一致的文件化的管理目标。为实现总食品安全目标而建立的各层级食品安全目标具体、有针对性、可测量并且可实现。</w:t>
            </w:r>
          </w:p>
          <w:p>
            <w:pPr>
              <w:rPr>
                <w:highlight w:val="none"/>
              </w:rPr>
            </w:pPr>
            <w:r>
              <w:rPr>
                <w:rFonts w:hint="eastAsia"/>
                <w:highlight w:val="none"/>
              </w:rPr>
              <w:t>总食品安全目标实现情况的评价，及其测量方法是：</w:t>
            </w:r>
          </w:p>
          <w:p>
            <w:pPr>
              <w:rPr>
                <w:highlight w:val="none"/>
              </w:rPr>
            </w:pPr>
          </w:p>
          <w:tbl>
            <w:tblPr>
              <w:tblStyle w:val="7"/>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1119"/>
              <w:gridCol w:w="2720"/>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shd w:val="clear" w:color="auto" w:fill="auto"/>
                </w:tcPr>
                <w:p>
                  <w:pPr>
                    <w:rPr>
                      <w:rFonts w:ascii="宋体" w:hAnsi="宋体"/>
                      <w:szCs w:val="24"/>
                      <w:highlight w:val="none"/>
                    </w:rPr>
                  </w:pPr>
                  <w:r>
                    <w:rPr>
                      <w:rFonts w:hint="eastAsia"/>
                      <w:highlight w:val="none"/>
                    </w:rPr>
                    <w:t>食品安全</w:t>
                  </w:r>
                  <w:r>
                    <w:rPr>
                      <w:rFonts w:hint="eastAsia" w:ascii="宋体" w:hAnsi="宋体"/>
                      <w:szCs w:val="24"/>
                      <w:highlight w:val="none"/>
                    </w:rPr>
                    <w:t>目标</w:t>
                  </w:r>
                </w:p>
              </w:tc>
              <w:tc>
                <w:tcPr>
                  <w:tcW w:w="1119" w:type="dxa"/>
                  <w:shd w:val="clear" w:color="auto" w:fill="auto"/>
                </w:tcPr>
                <w:p>
                  <w:pPr>
                    <w:rPr>
                      <w:rFonts w:ascii="宋体" w:hAnsi="宋体"/>
                      <w:szCs w:val="24"/>
                      <w:highlight w:val="none"/>
                    </w:rPr>
                  </w:pPr>
                  <w:r>
                    <w:rPr>
                      <w:rFonts w:hint="eastAsia" w:ascii="宋体" w:hAnsi="宋体"/>
                      <w:szCs w:val="24"/>
                      <w:highlight w:val="none"/>
                    </w:rPr>
                    <w:t>考核频次</w:t>
                  </w:r>
                </w:p>
              </w:tc>
              <w:tc>
                <w:tcPr>
                  <w:tcW w:w="2720" w:type="dxa"/>
                  <w:shd w:val="clear" w:color="auto" w:fill="auto"/>
                </w:tcPr>
                <w:p>
                  <w:pPr>
                    <w:rPr>
                      <w:rFonts w:ascii="宋体" w:hAnsi="宋体"/>
                      <w:szCs w:val="24"/>
                      <w:highlight w:val="none"/>
                    </w:rPr>
                  </w:pPr>
                  <w:r>
                    <w:rPr>
                      <w:rFonts w:hint="eastAsia"/>
                      <w:color w:val="000000"/>
                      <w:szCs w:val="18"/>
                      <w:highlight w:val="none"/>
                    </w:rPr>
                    <w:t>计算方法</w:t>
                  </w:r>
                </w:p>
              </w:tc>
              <w:tc>
                <w:tcPr>
                  <w:tcW w:w="2510" w:type="dxa"/>
                  <w:shd w:val="clear" w:color="auto" w:fill="auto"/>
                </w:tcPr>
                <w:p>
                  <w:pPr>
                    <w:rPr>
                      <w:rFonts w:ascii="宋体" w:hAnsi="宋体"/>
                      <w:szCs w:val="24"/>
                      <w:highlight w:val="none"/>
                    </w:rPr>
                  </w:pPr>
                  <w:r>
                    <w:rPr>
                      <w:rFonts w:hint="eastAsia" w:ascii="宋体" w:hAnsi="宋体"/>
                      <w:szCs w:val="24"/>
                      <w:highlight w:val="none"/>
                    </w:rPr>
                    <w:t>目标实际完成（202</w:t>
                  </w:r>
                  <w:r>
                    <w:rPr>
                      <w:rFonts w:hint="eastAsia" w:ascii="宋体" w:hAnsi="宋体"/>
                      <w:szCs w:val="24"/>
                      <w:highlight w:val="none"/>
                      <w:lang w:val="en-US" w:eastAsia="zh-CN"/>
                    </w:rPr>
                    <w:t>1年度-2022年1-2季度</w:t>
                  </w:r>
                  <w:r>
                    <w:rPr>
                      <w:rFonts w:hint="eastAsia" w:ascii="宋体" w:hAnsi="宋体"/>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shd w:val="clear" w:color="auto" w:fill="auto"/>
                  <w:vAlign w:val="center"/>
                </w:tcPr>
                <w:p>
                  <w:pPr>
                    <w:spacing w:line="280" w:lineRule="exact"/>
                    <w:rPr>
                      <w:rFonts w:hint="eastAsia" w:ascii="Calibri" w:hAnsi="Calibri" w:eastAsia="宋体" w:cs="Times New Roman"/>
                      <w:bCs/>
                      <w:kern w:val="2"/>
                      <w:sz w:val="21"/>
                      <w:szCs w:val="21"/>
                      <w:highlight w:val="none"/>
                      <w:lang w:val="en-US" w:eastAsia="zh-CN" w:bidi="ar-SA"/>
                    </w:rPr>
                  </w:pPr>
                  <w:r>
                    <w:rPr>
                      <w:rFonts w:hint="eastAsia" w:ascii="Calibri" w:hAnsi="Calibri" w:eastAsia="宋体" w:cs="Times New Roman"/>
                      <w:bCs/>
                      <w:szCs w:val="21"/>
                      <w:highlight w:val="none"/>
                    </w:rPr>
                    <w:t>杜绝重大的</w:t>
                  </w:r>
                  <w:r>
                    <w:rPr>
                      <w:rFonts w:hint="eastAsia" w:ascii="Calibri" w:hAnsi="Calibri" w:eastAsia="宋体" w:cs="Times New Roman"/>
                      <w:bCs/>
                      <w:szCs w:val="21"/>
                      <w:highlight w:val="none"/>
                      <w:lang w:val="en-US" w:eastAsia="zh-CN"/>
                    </w:rPr>
                    <w:t>食品</w:t>
                  </w:r>
                  <w:r>
                    <w:rPr>
                      <w:rFonts w:hint="eastAsia" w:ascii="Calibri" w:hAnsi="Calibri" w:eastAsia="宋体" w:cs="Times New Roman"/>
                      <w:bCs/>
                      <w:szCs w:val="21"/>
                      <w:highlight w:val="none"/>
                    </w:rPr>
                    <w:t>安全事故</w:t>
                  </w:r>
                </w:p>
              </w:tc>
              <w:tc>
                <w:tcPr>
                  <w:tcW w:w="1119" w:type="dxa"/>
                  <w:shd w:val="clear" w:color="auto" w:fill="auto"/>
                  <w:vAlign w:val="center"/>
                </w:tcPr>
                <w:p>
                  <w:pPr>
                    <w:rPr>
                      <w:rFonts w:hint="eastAsia" w:eastAsia="宋体"/>
                      <w:szCs w:val="21"/>
                      <w:highlight w:val="none"/>
                      <w:lang w:eastAsia="zh-CN"/>
                    </w:rPr>
                  </w:pPr>
                  <w:r>
                    <w:rPr>
                      <w:rFonts w:hint="eastAsia"/>
                      <w:szCs w:val="21"/>
                      <w:highlight w:val="none"/>
                      <w:lang w:val="en-US" w:eastAsia="zh-CN"/>
                    </w:rPr>
                    <w:t>季度</w:t>
                  </w:r>
                </w:p>
              </w:tc>
              <w:tc>
                <w:tcPr>
                  <w:tcW w:w="272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lang w:val="en-GB" w:eastAsia="zh-CN" w:bidi="ar-SA"/>
                    </w:rPr>
                  </w:pPr>
                  <w:r>
                    <w:rPr>
                      <w:rFonts w:hint="eastAsia" w:ascii="宋体" w:hAnsi="宋体" w:eastAsia="宋体" w:cs="宋体"/>
                      <w:color w:val="auto"/>
                      <w:kern w:val="0"/>
                      <w:sz w:val="21"/>
                      <w:szCs w:val="21"/>
                      <w:highlight w:val="none"/>
                    </w:rPr>
                    <w:t>按照实际发生次数</w:t>
                  </w:r>
                </w:p>
              </w:tc>
              <w:tc>
                <w:tcPr>
                  <w:tcW w:w="2510" w:type="dxa"/>
                  <w:shd w:val="clear" w:color="auto" w:fill="auto"/>
                  <w:vAlign w:val="center"/>
                </w:tcPr>
                <w:p>
                  <w:pPr>
                    <w:spacing w:line="300" w:lineRule="exact"/>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shd w:val="clear" w:color="auto" w:fill="auto"/>
                  <w:vAlign w:val="center"/>
                </w:tcPr>
                <w:p>
                  <w:pPr>
                    <w:spacing w:line="280" w:lineRule="exact"/>
                    <w:rPr>
                      <w:rFonts w:hint="eastAsia" w:ascii="Calibri" w:hAnsi="Calibri" w:eastAsia="宋体" w:cs="Times New Roman"/>
                      <w:bCs/>
                      <w:kern w:val="2"/>
                      <w:sz w:val="21"/>
                      <w:szCs w:val="21"/>
                      <w:highlight w:val="none"/>
                      <w:lang w:val="en-US" w:eastAsia="zh-CN" w:bidi="ar-SA"/>
                    </w:rPr>
                  </w:pPr>
                  <w:r>
                    <w:rPr>
                      <w:rFonts w:hint="eastAsia" w:ascii="Calibri" w:hAnsi="Calibri" w:eastAsia="宋体" w:cs="Times New Roman"/>
                      <w:bCs/>
                      <w:szCs w:val="21"/>
                      <w:highlight w:val="none"/>
                    </w:rPr>
                    <w:t>产品出厂一次检验合格率≥99%</w:t>
                  </w:r>
                </w:p>
              </w:tc>
              <w:tc>
                <w:tcPr>
                  <w:tcW w:w="1119" w:type="dxa"/>
                  <w:shd w:val="clear" w:color="auto" w:fill="auto"/>
                  <w:vAlign w:val="center"/>
                </w:tcPr>
                <w:p>
                  <w:pPr>
                    <w:rPr>
                      <w:szCs w:val="21"/>
                      <w:highlight w:val="none"/>
                    </w:rPr>
                  </w:pPr>
                  <w:r>
                    <w:rPr>
                      <w:rFonts w:hint="eastAsia"/>
                      <w:szCs w:val="21"/>
                      <w:highlight w:val="none"/>
                      <w:lang w:val="en-US" w:eastAsia="zh-CN"/>
                    </w:rPr>
                    <w:t>季度</w:t>
                  </w:r>
                </w:p>
              </w:tc>
              <w:tc>
                <w:tcPr>
                  <w:tcW w:w="2720" w:type="dxa"/>
                  <w:shd w:val="clear" w:color="auto" w:fill="auto"/>
                  <w:vAlign w:val="center"/>
                </w:tcPr>
                <w:p>
                  <w:pPr>
                    <w:spacing w:line="300" w:lineRule="exact"/>
                    <w:rPr>
                      <w:rFonts w:hint="eastAsia" w:ascii="宋体" w:hAnsi="宋体" w:eastAsia="宋体" w:cs="宋体"/>
                      <w:color w:val="auto"/>
                      <w:kern w:val="0"/>
                      <w:sz w:val="21"/>
                      <w:szCs w:val="21"/>
                      <w:highlight w:val="none"/>
                      <w:lang w:val="en-US" w:eastAsia="zh-CN" w:bidi="ar-SA"/>
                    </w:rPr>
                  </w:pPr>
                  <w:r>
                    <w:rPr>
                      <w:rFonts w:hint="eastAsia" w:ascii="Calibri" w:hAnsi="Calibri" w:eastAsia="宋体" w:cs="Times New Roman"/>
                      <w:bCs/>
                      <w:szCs w:val="21"/>
                      <w:highlight w:val="none"/>
                    </w:rPr>
                    <w:t>产品出厂一次检验合格</w:t>
                  </w:r>
                  <w:r>
                    <w:rPr>
                      <w:rFonts w:hint="eastAsia" w:ascii="宋体" w:hAnsi="宋体" w:eastAsia="宋体" w:cs="宋体"/>
                      <w:color w:val="auto"/>
                      <w:kern w:val="0"/>
                      <w:sz w:val="21"/>
                      <w:szCs w:val="21"/>
                      <w:highlight w:val="none"/>
                    </w:rPr>
                    <w:t>数/抽查总数×100%</w:t>
                  </w:r>
                </w:p>
              </w:tc>
              <w:tc>
                <w:tcPr>
                  <w:tcW w:w="2510" w:type="dxa"/>
                  <w:shd w:val="clear" w:color="auto" w:fill="auto"/>
                  <w:vAlign w:val="center"/>
                </w:tcPr>
                <w:p>
                  <w:pPr>
                    <w:spacing w:line="300" w:lineRule="exact"/>
                    <w:jc w:val="center"/>
                    <w:rPr>
                      <w:rFonts w:hint="default" w:ascii="宋体" w:hAnsi="宋体" w:eastAsia="宋体" w:cs="Times New Roman"/>
                      <w:kern w:val="2"/>
                      <w:sz w:val="24"/>
                      <w:highlight w:val="none"/>
                      <w:lang w:val="en-US" w:eastAsia="zh-CN" w:bidi="ar-SA"/>
                    </w:rPr>
                  </w:pPr>
                  <w:r>
                    <w:rPr>
                      <w:rFonts w:hint="eastAsia" w:ascii="宋体" w:hAnsi="宋体" w:eastAsia="宋体" w:cs="Times New Roman"/>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shd w:val="clear" w:color="auto" w:fill="auto"/>
                  <w:vAlign w:val="center"/>
                </w:tcPr>
                <w:p>
                  <w:pPr>
                    <w:spacing w:line="400" w:lineRule="exact"/>
                    <w:rPr>
                      <w:rFonts w:ascii="宋体" w:hAnsi="宋体"/>
                      <w:bCs/>
                      <w:szCs w:val="21"/>
                      <w:highlight w:val="none"/>
                    </w:rPr>
                  </w:pPr>
                </w:p>
              </w:tc>
              <w:tc>
                <w:tcPr>
                  <w:tcW w:w="1119" w:type="dxa"/>
                  <w:shd w:val="clear" w:color="auto" w:fill="auto"/>
                  <w:vAlign w:val="center"/>
                </w:tcPr>
                <w:p>
                  <w:pPr>
                    <w:rPr>
                      <w:szCs w:val="21"/>
                      <w:highlight w:val="none"/>
                    </w:rPr>
                  </w:pPr>
                </w:p>
              </w:tc>
              <w:tc>
                <w:tcPr>
                  <w:tcW w:w="2720" w:type="dxa"/>
                  <w:shd w:val="clear" w:color="auto" w:fill="auto"/>
                  <w:vAlign w:val="center"/>
                </w:tcPr>
                <w:p>
                  <w:pPr>
                    <w:rPr>
                      <w:szCs w:val="21"/>
                      <w:highlight w:val="none"/>
                    </w:rPr>
                  </w:pPr>
                </w:p>
              </w:tc>
              <w:tc>
                <w:tcPr>
                  <w:tcW w:w="2510" w:type="dxa"/>
                  <w:shd w:val="clear" w:color="auto" w:fill="auto"/>
                </w:tcPr>
                <w:p>
                  <w:pPr>
                    <w:widowControl/>
                    <w:spacing w:before="40"/>
                    <w:jc w:val="left"/>
                    <w:rPr>
                      <w:color w:val="000000"/>
                      <w:szCs w:val="21"/>
                      <w:highlight w:val="none"/>
                    </w:rPr>
                  </w:pPr>
                </w:p>
              </w:tc>
            </w:tr>
          </w:tbl>
          <w:p>
            <w:pPr>
              <w:rPr>
                <w:rFonts w:hint="default" w:eastAsia="宋体"/>
                <w:highlight w:val="none"/>
                <w:u w:val="single"/>
                <w:lang w:val="en-US" w:eastAsia="zh-CN"/>
              </w:rPr>
            </w:pPr>
            <w:r>
              <w:rPr>
                <w:rFonts w:hint="eastAsia"/>
                <w:highlight w:val="none"/>
              </w:rPr>
              <w:sym w:font="Wingdings" w:char="00FE"/>
            </w:r>
            <w:r>
              <w:rPr>
                <w:rFonts w:hint="eastAsia"/>
                <w:highlight w:val="none"/>
              </w:rPr>
              <w:t>目标已实现，</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pPr>
              <w:rPr>
                <w:color w:val="000000"/>
                <w:szCs w:val="21"/>
                <w:highlight w:val="none"/>
              </w:rPr>
            </w:pPr>
            <w:r>
              <w:rPr>
                <w:rFonts w:hint="eastAsia"/>
                <w:color w:val="000000"/>
                <w:szCs w:val="21"/>
                <w:highlight w:val="none"/>
              </w:rPr>
              <w:t>变更的策划</w:t>
            </w:r>
          </w:p>
          <w:p>
            <w:pPr>
              <w:rPr>
                <w:highlight w:val="none"/>
              </w:rPr>
            </w:pPr>
          </w:p>
        </w:tc>
        <w:tc>
          <w:tcPr>
            <w:tcW w:w="952" w:type="dxa"/>
            <w:vMerge w:val="restart"/>
            <w:shd w:val="clear" w:color="auto" w:fill="FFFFFF" w:themeFill="background1"/>
          </w:tcPr>
          <w:p>
            <w:pPr>
              <w:rPr>
                <w:highlight w:val="none"/>
              </w:rPr>
            </w:pPr>
            <w:r>
              <w:rPr>
                <w:rFonts w:hint="eastAsia"/>
                <w:color w:val="000000"/>
                <w:szCs w:val="21"/>
                <w:highlight w:val="none"/>
              </w:rPr>
              <w:t>F6.3</w:t>
            </w:r>
          </w:p>
        </w:tc>
        <w:tc>
          <w:tcPr>
            <w:tcW w:w="761" w:type="dxa"/>
            <w:shd w:val="clear" w:color="auto" w:fill="FFFFFF" w:themeFill="background1"/>
          </w:tcPr>
          <w:p>
            <w:pPr>
              <w:rPr>
                <w:highlight w:val="none"/>
              </w:rPr>
            </w:pPr>
            <w:r>
              <w:rPr>
                <w:rFonts w:hint="eastAsia"/>
                <w:highlight w:val="none"/>
              </w:rPr>
              <w:t>文件名称</w:t>
            </w:r>
          </w:p>
        </w:tc>
        <w:tc>
          <w:tcPr>
            <w:tcW w:w="9370" w:type="dxa"/>
            <w:shd w:val="clear" w:color="auto" w:fill="FFFFFF" w:themeFill="background1"/>
          </w:tcPr>
          <w:p>
            <w:pPr>
              <w:rPr>
                <w:highlight w:val="none"/>
              </w:rPr>
            </w:pPr>
            <w:r>
              <w:rPr>
                <w:rFonts w:hint="eastAsia"/>
                <w:highlight w:val="none"/>
              </w:rPr>
              <w:t>如：</w:t>
            </w:r>
            <w:r>
              <w:rPr>
                <w:rFonts w:hint="eastAsia"/>
                <w:highlight w:val="none"/>
              </w:rPr>
              <w:sym w:font="Wingdings" w:char="00FE"/>
            </w:r>
            <w:r>
              <w:rPr>
                <w:rFonts w:hint="eastAsia"/>
                <w:highlight w:val="none"/>
              </w:rPr>
              <w:t>手册第6.3条款</w:t>
            </w:r>
          </w:p>
        </w:tc>
        <w:tc>
          <w:tcPr>
            <w:tcW w:w="1587" w:type="dxa"/>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2" w:hRule="atLeast"/>
        </w:trPr>
        <w:tc>
          <w:tcPr>
            <w:tcW w:w="2044" w:type="dxa"/>
            <w:vMerge w:val="continue"/>
            <w:shd w:val="clear" w:color="auto" w:fill="FFFFFF" w:themeFill="background1"/>
          </w:tcPr>
          <w:p>
            <w:pPr>
              <w:rPr>
                <w:highlight w:val="none"/>
              </w:rPr>
            </w:pPr>
          </w:p>
        </w:tc>
        <w:tc>
          <w:tcPr>
            <w:tcW w:w="952" w:type="dxa"/>
            <w:vMerge w:val="continue"/>
            <w:shd w:val="clear" w:color="auto" w:fill="FFFFFF" w:themeFill="background1"/>
          </w:tcPr>
          <w:p>
            <w:pPr>
              <w:rPr>
                <w:highlight w:val="none"/>
              </w:rPr>
            </w:pPr>
          </w:p>
        </w:tc>
        <w:tc>
          <w:tcPr>
            <w:tcW w:w="761" w:type="dxa"/>
            <w:shd w:val="clear" w:color="auto" w:fill="FFFFFF" w:themeFill="background1"/>
          </w:tcPr>
          <w:p>
            <w:pPr>
              <w:rPr>
                <w:highlight w:val="none"/>
              </w:rPr>
            </w:pPr>
            <w:r>
              <w:rPr>
                <w:rFonts w:hint="eastAsia"/>
                <w:highlight w:val="none"/>
              </w:rPr>
              <w:t>运行证据</w:t>
            </w:r>
          </w:p>
        </w:tc>
        <w:tc>
          <w:tcPr>
            <w:tcW w:w="9370" w:type="dxa"/>
            <w:shd w:val="clear" w:color="auto" w:fill="FFFFFF" w:themeFill="background1"/>
          </w:tcPr>
          <w:p>
            <w:pPr>
              <w:rPr>
                <w:highlight w:val="none"/>
              </w:rPr>
            </w:pPr>
            <w:r>
              <w:rPr>
                <w:rFonts w:hint="eastAsia"/>
                <w:color w:val="000000"/>
                <w:szCs w:val="21"/>
                <w:highlight w:val="none"/>
              </w:rPr>
              <w:t xml:space="preserve"> </w:t>
            </w:r>
            <w:r>
              <w:rPr>
                <w:rFonts w:hint="eastAsia"/>
                <w:highlight w:val="none"/>
              </w:rPr>
              <w:t>组织对相关管理体系进行变更时，变更应按所策划的方式实施；审核周期内的重大变更有：</w:t>
            </w:r>
          </w:p>
          <w:p>
            <w:pPr>
              <w:spacing w:before="40" w:after="40"/>
              <w:rPr>
                <w:highlight w:val="none"/>
              </w:rPr>
            </w:pPr>
            <w:r>
              <w:rPr>
                <w:rFonts w:hint="eastAsia"/>
                <w:highlight w:val="none"/>
              </w:rPr>
              <w:t xml:space="preserve">□组织结构变更 □部门职责变更 □主要原材料 □关键人员 □生产工艺/服务流程 </w:t>
            </w:r>
          </w:p>
          <w:p>
            <w:pPr>
              <w:spacing w:before="40" w:after="40"/>
              <w:rPr>
                <w:highlight w:val="none"/>
              </w:rPr>
            </w:pPr>
            <w:r>
              <w:rPr>
                <w:rFonts w:hint="eastAsia"/>
                <w:highlight w:val="none"/>
              </w:rPr>
              <w:t xml:space="preserve">□主要设备设施 □主要检测设备 </w:t>
            </w:r>
            <w:r>
              <w:rPr>
                <w:rFonts w:hint="eastAsia"/>
                <w:highlight w:val="none"/>
                <w:lang w:eastAsia="zh-CN"/>
              </w:rPr>
              <w:sym w:font="Wingdings 2" w:char="0052"/>
            </w:r>
            <w:r>
              <w:rPr>
                <w:rFonts w:hint="eastAsia"/>
                <w:highlight w:val="none"/>
              </w:rPr>
              <w:t>其他</w:t>
            </w:r>
            <w:r>
              <w:rPr>
                <w:rFonts w:hint="eastAsia"/>
                <w:highlight w:val="none"/>
                <w:lang w:eastAsia="zh-CN"/>
              </w:rPr>
              <w:t>——</w:t>
            </w:r>
            <w:r>
              <w:rPr>
                <w:rFonts w:hint="eastAsia"/>
                <w:highlight w:val="none"/>
                <w:u w:val="single"/>
              </w:rPr>
              <w:t>（自2</w:t>
            </w:r>
            <w:r>
              <w:rPr>
                <w:highlight w:val="none"/>
                <w:u w:val="single"/>
              </w:rPr>
              <w:t>021</w:t>
            </w:r>
            <w:r>
              <w:rPr>
                <w:rFonts w:hint="eastAsia"/>
                <w:highlight w:val="none"/>
                <w:u w:val="single"/>
              </w:rPr>
              <w:t>年7月以来没有发生重大变更）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highlight w:val="none"/>
                    </w:rPr>
                  </w:pPr>
                  <w:r>
                    <w:rPr>
                      <w:rFonts w:hint="eastAsia"/>
                      <w:highlight w:val="none"/>
                    </w:rPr>
                    <w:t>体系变更的内容说明</w:t>
                  </w:r>
                </w:p>
              </w:tc>
              <w:tc>
                <w:tcPr>
                  <w:tcW w:w="3632" w:type="dxa"/>
                </w:tcPr>
                <w:p>
                  <w:pPr>
                    <w:rPr>
                      <w:highlight w:val="none"/>
                    </w:rPr>
                  </w:pP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highlight w:val="none"/>
                    </w:rPr>
                  </w:pPr>
                  <w:r>
                    <w:rPr>
                      <w:rFonts w:hint="eastAsia"/>
                      <w:highlight w:val="none"/>
                    </w:rPr>
                    <w:t>评价内容</w:t>
                  </w:r>
                </w:p>
              </w:tc>
              <w:tc>
                <w:tcPr>
                  <w:tcW w:w="3632" w:type="dxa"/>
                </w:tcPr>
                <w:p>
                  <w:pPr>
                    <w:rPr>
                      <w:highlight w:val="none"/>
                    </w:rPr>
                  </w:pPr>
                  <w:r>
                    <w:rPr>
                      <w:rFonts w:hint="eastAsia"/>
                      <w:highlight w:val="none"/>
                    </w:rPr>
                    <w:t>评价具体描述</w:t>
                  </w:r>
                </w:p>
              </w:tc>
              <w:tc>
                <w:tcPr>
                  <w:tcW w:w="3015" w:type="dxa"/>
                </w:tcPr>
                <w:p>
                  <w:pPr>
                    <w:rPr>
                      <w:highlight w:val="none"/>
                    </w:rPr>
                  </w:pPr>
                  <w:r>
                    <w:rPr>
                      <w:rFonts w:hint="eastAsia"/>
                      <w:highlight w:val="none"/>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highlight w:val="none"/>
                    </w:rPr>
                  </w:pPr>
                  <w:r>
                    <w:rPr>
                      <w:rFonts w:hint="eastAsia"/>
                      <w:highlight w:val="none"/>
                    </w:rPr>
                    <w:t>变更目的</w:t>
                  </w:r>
                </w:p>
              </w:tc>
              <w:tc>
                <w:tcPr>
                  <w:tcW w:w="3632" w:type="dxa"/>
                </w:tcPr>
                <w:p>
                  <w:pPr>
                    <w:rPr>
                      <w:highlight w:val="none"/>
                    </w:rPr>
                  </w:pPr>
                  <w:r>
                    <w:rPr>
                      <w:rFonts w:hint="eastAsia"/>
                      <w:highlight w:val="none"/>
                    </w:rPr>
                    <w:t>——</w:t>
                  </w:r>
                </w:p>
              </w:tc>
              <w:tc>
                <w:tcPr>
                  <w:tcW w:w="3015" w:type="dxa"/>
                </w:tcPr>
                <w:p>
                  <w:pPr>
                    <w:rPr>
                      <w:highlight w:val="none"/>
                    </w:rPr>
                  </w:pPr>
                  <w:r>
                    <w:rPr>
                      <w:rFonts w:hint="eastAsia"/>
                      <w:highlight w:val="none"/>
                    </w:rPr>
                    <w:sym w:font="Wingdings" w:char="00A8"/>
                  </w:r>
                  <w:r>
                    <w:rPr>
                      <w:rFonts w:hint="eastAsia"/>
                      <w:highlight w:val="none"/>
                    </w:rPr>
                    <w:t xml:space="preserve">可以满足    </w:t>
                  </w:r>
                  <w:r>
                    <w:rPr>
                      <w:rFonts w:hint="eastAsia"/>
                      <w:highlight w:val="none"/>
                    </w:rPr>
                    <w:sym w:font="Wingdings" w:char="00A8"/>
                  </w:r>
                  <w:r>
                    <w:rPr>
                      <w:rFonts w:hint="eastAsia"/>
                      <w:highlight w:val="none"/>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highlight w:val="none"/>
                    </w:rPr>
                  </w:pPr>
                  <w:r>
                    <w:rPr>
                      <w:rFonts w:hint="eastAsia"/>
                      <w:highlight w:val="none"/>
                    </w:rPr>
                    <w:t>其潜在后果</w:t>
                  </w:r>
                </w:p>
              </w:tc>
              <w:tc>
                <w:tcPr>
                  <w:tcW w:w="3632" w:type="dxa"/>
                </w:tcPr>
                <w:p>
                  <w:pPr>
                    <w:rPr>
                      <w:highlight w:val="none"/>
                    </w:rPr>
                  </w:pPr>
                  <w:r>
                    <w:rPr>
                      <w:rFonts w:hint="eastAsia"/>
                      <w:highlight w:val="none"/>
                    </w:rPr>
                    <w:t>——</w:t>
                  </w:r>
                </w:p>
              </w:tc>
              <w:tc>
                <w:tcPr>
                  <w:tcW w:w="3015" w:type="dxa"/>
                </w:tcPr>
                <w:p>
                  <w:pPr>
                    <w:rPr>
                      <w:highlight w:val="none"/>
                    </w:rPr>
                  </w:pPr>
                  <w:r>
                    <w:rPr>
                      <w:rFonts w:hint="eastAsia"/>
                      <w:highlight w:val="none"/>
                    </w:rPr>
                    <w:sym w:font="Wingdings" w:char="00A8"/>
                  </w:r>
                  <w:r>
                    <w:rPr>
                      <w:rFonts w:hint="eastAsia"/>
                      <w:highlight w:val="none"/>
                    </w:rPr>
                    <w:t xml:space="preserve">可以满足    </w:t>
                  </w:r>
                  <w:r>
                    <w:rPr>
                      <w:rFonts w:hint="eastAsia"/>
                      <w:highlight w:val="none"/>
                    </w:rPr>
                    <w:sym w:font="Wingdings" w:char="00A8"/>
                  </w:r>
                  <w:r>
                    <w:rPr>
                      <w:rFonts w:hint="eastAsia"/>
                      <w:highlight w:val="none"/>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highlight w:val="none"/>
                    </w:rPr>
                  </w:pPr>
                  <w:r>
                    <w:rPr>
                      <w:rFonts w:hint="eastAsia"/>
                      <w:highlight w:val="none"/>
                    </w:rPr>
                    <w:t>食品安全管理体系的完整性</w:t>
                  </w:r>
                </w:p>
              </w:tc>
              <w:tc>
                <w:tcPr>
                  <w:tcW w:w="3632" w:type="dxa"/>
                </w:tcPr>
                <w:p>
                  <w:pPr>
                    <w:rPr>
                      <w:highlight w:val="none"/>
                    </w:rPr>
                  </w:pPr>
                  <w:r>
                    <w:rPr>
                      <w:rFonts w:hint="eastAsia"/>
                      <w:highlight w:val="none"/>
                    </w:rPr>
                    <w:t>——</w:t>
                  </w:r>
                </w:p>
              </w:tc>
              <w:tc>
                <w:tcPr>
                  <w:tcW w:w="3015" w:type="dxa"/>
                </w:tcPr>
                <w:p>
                  <w:pPr>
                    <w:rPr>
                      <w:highlight w:val="none"/>
                    </w:rPr>
                  </w:pPr>
                  <w:r>
                    <w:rPr>
                      <w:rFonts w:hint="eastAsia"/>
                      <w:highlight w:val="none"/>
                    </w:rPr>
                    <w:sym w:font="Wingdings" w:char="00A8"/>
                  </w:r>
                  <w:r>
                    <w:rPr>
                      <w:rFonts w:hint="eastAsia"/>
                      <w:highlight w:val="none"/>
                    </w:rPr>
                    <w:t xml:space="preserve">可以满足    </w:t>
                  </w:r>
                  <w:r>
                    <w:rPr>
                      <w:rFonts w:hint="eastAsia"/>
                      <w:highlight w:val="none"/>
                    </w:rPr>
                    <w:sym w:font="Wingdings" w:char="00A8"/>
                  </w:r>
                  <w:r>
                    <w:rPr>
                      <w:rFonts w:hint="eastAsia"/>
                      <w:highlight w:val="none"/>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highlight w:val="none"/>
                    </w:rPr>
                  </w:pPr>
                  <w:r>
                    <w:rPr>
                      <w:rFonts w:hint="eastAsia"/>
                      <w:highlight w:val="none"/>
                    </w:rPr>
                    <w:t>资源的可获得性</w:t>
                  </w:r>
                </w:p>
              </w:tc>
              <w:tc>
                <w:tcPr>
                  <w:tcW w:w="3632" w:type="dxa"/>
                </w:tcPr>
                <w:p>
                  <w:pPr>
                    <w:rPr>
                      <w:highlight w:val="none"/>
                    </w:rPr>
                  </w:pPr>
                  <w:r>
                    <w:rPr>
                      <w:rFonts w:hint="eastAsia"/>
                      <w:highlight w:val="none"/>
                    </w:rPr>
                    <w:t>——</w:t>
                  </w:r>
                </w:p>
              </w:tc>
              <w:tc>
                <w:tcPr>
                  <w:tcW w:w="3015" w:type="dxa"/>
                </w:tcPr>
                <w:p>
                  <w:pPr>
                    <w:rPr>
                      <w:highlight w:val="none"/>
                    </w:rPr>
                  </w:pPr>
                  <w:r>
                    <w:rPr>
                      <w:rFonts w:hint="eastAsia"/>
                      <w:highlight w:val="none"/>
                    </w:rPr>
                    <w:sym w:font="Wingdings" w:char="00A8"/>
                  </w:r>
                  <w:r>
                    <w:rPr>
                      <w:rFonts w:hint="eastAsia"/>
                      <w:highlight w:val="none"/>
                    </w:rPr>
                    <w:t xml:space="preserve">可以满足    </w:t>
                  </w:r>
                  <w:r>
                    <w:rPr>
                      <w:rFonts w:hint="eastAsia"/>
                      <w:highlight w:val="none"/>
                    </w:rPr>
                    <w:sym w:font="Wingdings" w:char="00A8"/>
                  </w:r>
                  <w:r>
                    <w:rPr>
                      <w:rFonts w:hint="eastAsia"/>
                      <w:highlight w:val="none"/>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rPr>
                      <w:highlight w:val="none"/>
                    </w:rPr>
                  </w:pPr>
                  <w:r>
                    <w:rPr>
                      <w:rFonts w:hint="eastAsia"/>
                      <w:highlight w:val="none"/>
                    </w:rPr>
                    <w:t>职责和权限的分配或再分配</w:t>
                  </w:r>
                </w:p>
              </w:tc>
              <w:tc>
                <w:tcPr>
                  <w:tcW w:w="3632" w:type="dxa"/>
                </w:tcPr>
                <w:p>
                  <w:pPr>
                    <w:rPr>
                      <w:highlight w:val="none"/>
                    </w:rPr>
                  </w:pPr>
                  <w:r>
                    <w:rPr>
                      <w:rFonts w:hint="eastAsia"/>
                      <w:highlight w:val="none"/>
                    </w:rPr>
                    <w:t>——</w:t>
                  </w:r>
                </w:p>
              </w:tc>
              <w:tc>
                <w:tcPr>
                  <w:tcW w:w="3015" w:type="dxa"/>
                </w:tcPr>
                <w:p>
                  <w:pPr>
                    <w:rPr>
                      <w:highlight w:val="none"/>
                    </w:rPr>
                  </w:pPr>
                  <w:r>
                    <w:rPr>
                      <w:rFonts w:hint="eastAsia"/>
                      <w:highlight w:val="none"/>
                    </w:rPr>
                    <w:sym w:font="Wingdings" w:char="00A8"/>
                  </w:r>
                  <w:r>
                    <w:rPr>
                      <w:rFonts w:hint="eastAsia"/>
                      <w:highlight w:val="none"/>
                    </w:rPr>
                    <w:t xml:space="preserve">可以满足    </w:t>
                  </w:r>
                  <w:r>
                    <w:rPr>
                      <w:rFonts w:hint="eastAsia"/>
                      <w:highlight w:val="none"/>
                    </w:rPr>
                    <w:sym w:font="Wingdings" w:char="00A8"/>
                  </w:r>
                  <w:r>
                    <w:rPr>
                      <w:rFonts w:hint="eastAsia"/>
                      <w:highlight w:val="none"/>
                    </w:rPr>
                    <w:t>不可以满足</w:t>
                  </w:r>
                </w:p>
              </w:tc>
            </w:tr>
          </w:tbl>
          <w:p>
            <w:pPr>
              <w:rPr>
                <w:highlight w:val="none"/>
              </w:rPr>
            </w:pP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3" w:hRule="atLeast"/>
        </w:trPr>
        <w:tc>
          <w:tcPr>
            <w:tcW w:w="2044" w:type="dxa"/>
            <w:vMerge w:val="restart"/>
            <w:shd w:val="clear" w:color="auto" w:fill="FFFFFF" w:themeFill="background1"/>
          </w:tcPr>
          <w:p>
            <w:pPr>
              <w:rPr>
                <w:highlight w:val="none"/>
              </w:rPr>
            </w:pPr>
            <w:r>
              <w:rPr>
                <w:rFonts w:hint="eastAsia"/>
                <w:highlight w:val="none"/>
              </w:rPr>
              <w:t>资源（总则）</w:t>
            </w:r>
          </w:p>
        </w:tc>
        <w:tc>
          <w:tcPr>
            <w:tcW w:w="952" w:type="dxa"/>
            <w:vMerge w:val="restart"/>
            <w:shd w:val="clear" w:color="auto" w:fill="FFFFFF" w:themeFill="background1"/>
          </w:tcPr>
          <w:p>
            <w:pPr>
              <w:rPr>
                <w:highlight w:val="none"/>
              </w:rPr>
            </w:pPr>
            <w:r>
              <w:rPr>
                <w:rFonts w:hint="eastAsia"/>
                <w:color w:val="000000"/>
                <w:szCs w:val="21"/>
                <w:highlight w:val="none"/>
              </w:rPr>
              <w:t>F7.1.1</w:t>
            </w:r>
          </w:p>
        </w:tc>
        <w:tc>
          <w:tcPr>
            <w:tcW w:w="761" w:type="dxa"/>
            <w:shd w:val="clear" w:color="auto" w:fill="FFFFFF" w:themeFill="background1"/>
          </w:tcPr>
          <w:p>
            <w:pPr>
              <w:rPr>
                <w:highlight w:val="none"/>
              </w:rPr>
            </w:pPr>
            <w:r>
              <w:rPr>
                <w:rFonts w:hint="eastAsia"/>
                <w:highlight w:val="none"/>
              </w:rPr>
              <w:t>文件名称</w:t>
            </w:r>
          </w:p>
        </w:tc>
        <w:tc>
          <w:tcPr>
            <w:tcW w:w="9370" w:type="dxa"/>
            <w:shd w:val="clear" w:color="auto" w:fill="FFFFFF" w:themeFill="background1"/>
          </w:tcPr>
          <w:p>
            <w:pPr>
              <w:rPr>
                <w:highlight w:val="none"/>
              </w:rPr>
            </w:pPr>
            <w:r>
              <w:rPr>
                <w:rFonts w:hint="eastAsia"/>
                <w:highlight w:val="none"/>
              </w:rPr>
              <w:t>如：</w:t>
            </w:r>
            <w:r>
              <w:rPr>
                <w:highlight w:val="none"/>
              </w:rPr>
              <w:sym w:font="Wingdings" w:char="00FE"/>
            </w:r>
            <w:r>
              <w:rPr>
                <w:rFonts w:hint="eastAsia"/>
                <w:highlight w:val="none"/>
              </w:rPr>
              <w:t>手册第7.1条款、</w:t>
            </w:r>
          </w:p>
        </w:tc>
        <w:tc>
          <w:tcPr>
            <w:tcW w:w="1587" w:type="dxa"/>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54" w:hRule="atLeast"/>
        </w:trPr>
        <w:tc>
          <w:tcPr>
            <w:tcW w:w="2044" w:type="dxa"/>
            <w:vMerge w:val="continue"/>
            <w:shd w:val="clear" w:color="auto" w:fill="FFFFFF" w:themeFill="background1"/>
          </w:tcPr>
          <w:p>
            <w:pPr>
              <w:rPr>
                <w:highlight w:val="none"/>
              </w:rPr>
            </w:pPr>
          </w:p>
        </w:tc>
        <w:tc>
          <w:tcPr>
            <w:tcW w:w="952" w:type="dxa"/>
            <w:vMerge w:val="continue"/>
            <w:shd w:val="clear" w:color="auto" w:fill="FFFFFF" w:themeFill="background1"/>
          </w:tcPr>
          <w:p>
            <w:pPr>
              <w:rPr>
                <w:highlight w:val="none"/>
              </w:rPr>
            </w:pPr>
          </w:p>
        </w:tc>
        <w:tc>
          <w:tcPr>
            <w:tcW w:w="761" w:type="dxa"/>
            <w:shd w:val="clear" w:color="auto" w:fill="FFFFFF" w:themeFill="background1"/>
          </w:tcPr>
          <w:p>
            <w:pPr>
              <w:rPr>
                <w:highlight w:val="none"/>
              </w:rPr>
            </w:pPr>
            <w:r>
              <w:rPr>
                <w:rFonts w:hint="eastAsia"/>
                <w:highlight w:val="none"/>
              </w:rPr>
              <w:t>运行证据</w:t>
            </w:r>
          </w:p>
        </w:tc>
        <w:tc>
          <w:tcPr>
            <w:tcW w:w="9370" w:type="dxa"/>
            <w:shd w:val="clear" w:color="auto" w:fill="FFFFFF" w:themeFill="background1"/>
          </w:tcPr>
          <w:p>
            <w:pPr>
              <w:rPr>
                <w:color w:val="000000"/>
                <w:szCs w:val="21"/>
                <w:highlight w:val="none"/>
              </w:rPr>
            </w:pPr>
            <w:r>
              <w:rPr>
                <w:rFonts w:hint="eastAsia"/>
                <w:color w:val="000000"/>
                <w:szCs w:val="21"/>
                <w:highlight w:val="none"/>
              </w:rPr>
              <w:t xml:space="preserve">和最高管理层确定并提供所需的资源，以建立、实施、保持和持续改进食品管理体系。 </w:t>
            </w:r>
          </w:p>
          <w:p>
            <w:pPr>
              <w:numPr>
                <w:ilvl w:val="0"/>
                <w:numId w:val="4"/>
              </w:numPr>
              <w:rPr>
                <w:color w:val="000000"/>
                <w:szCs w:val="21"/>
                <w:highlight w:val="none"/>
              </w:rPr>
            </w:pPr>
            <w:r>
              <w:rPr>
                <w:rFonts w:hint="eastAsia"/>
                <w:color w:val="000000"/>
                <w:szCs w:val="21"/>
                <w:highlight w:val="none"/>
              </w:rPr>
              <w:t>现有内部资源的能力；</w:t>
            </w:r>
          </w:p>
          <w:p>
            <w:pPr>
              <w:pStyle w:val="2"/>
              <w:rPr>
                <w:highlight w:val="none"/>
              </w:rPr>
            </w:pPr>
          </w:p>
          <w:p>
            <w:pPr>
              <w:ind w:firstLine="420" w:firstLineChars="200"/>
              <w:jc w:val="left"/>
              <w:rPr>
                <w:rFonts w:hint="default" w:eastAsia="宋体"/>
                <w:highlight w:val="none"/>
                <w:lang w:val="en-US" w:eastAsia="zh-CN"/>
              </w:rPr>
            </w:pPr>
            <w:r>
              <w:rPr>
                <w:rFonts w:hint="eastAsia"/>
                <w:highlight w:val="none"/>
              </w:rPr>
              <w:t>建筑面积</w:t>
            </w:r>
            <w:r>
              <w:rPr>
                <w:rFonts w:hint="eastAsia"/>
                <w:highlight w:val="none"/>
                <w:lang w:val="en-US" w:eastAsia="zh-CN"/>
              </w:rPr>
              <w:t>办公区</w:t>
            </w:r>
            <w:r>
              <w:rPr>
                <w:rFonts w:hint="eastAsia"/>
                <w:highlight w:val="none"/>
                <w:u w:val="single"/>
              </w:rPr>
              <w:t xml:space="preserve"> </w:t>
            </w:r>
            <w:r>
              <w:rPr>
                <w:rFonts w:hint="eastAsia"/>
                <w:highlight w:val="none"/>
                <w:u w:val="single"/>
                <w:lang w:val="en-US" w:eastAsia="zh-CN"/>
              </w:rPr>
              <w:t>2</w:t>
            </w:r>
            <w:r>
              <w:rPr>
                <w:rFonts w:hint="eastAsia"/>
                <w:highlight w:val="none"/>
                <w:u w:val="single"/>
              </w:rPr>
              <w:t>00</w:t>
            </w:r>
            <w:r>
              <w:rPr>
                <w:rFonts w:hint="eastAsia"/>
                <w:highlight w:val="none"/>
              </w:rPr>
              <w:t>平方米</w:t>
            </w:r>
            <w:r>
              <w:rPr>
                <w:rFonts w:hint="eastAsia"/>
                <w:highlight w:val="none"/>
                <w:lang w:eastAsia="zh-CN"/>
              </w:rPr>
              <w:t>，</w:t>
            </w:r>
            <w:r>
              <w:rPr>
                <w:rFonts w:hint="eastAsia"/>
                <w:highlight w:val="none"/>
              </w:rPr>
              <w:t>建筑面积</w:t>
            </w:r>
            <w:r>
              <w:rPr>
                <w:rFonts w:hint="eastAsia"/>
                <w:highlight w:val="none"/>
                <w:lang w:val="en-US" w:eastAsia="zh-CN"/>
              </w:rPr>
              <w:t>仓库：</w:t>
            </w:r>
            <w:r>
              <w:rPr>
                <w:rFonts w:hint="eastAsia"/>
                <w:highlight w:val="none"/>
                <w:u w:val="single"/>
                <w:lang w:val="en-US" w:eastAsia="zh-CN"/>
              </w:rPr>
              <w:t xml:space="preserve"> 2500平方米</w:t>
            </w:r>
            <w:r>
              <w:rPr>
                <w:rFonts w:hint="eastAsia"/>
                <w:highlight w:val="none"/>
              </w:rPr>
              <w:t>；</w:t>
            </w:r>
            <w:r>
              <w:rPr>
                <w:rFonts w:hint="eastAsia"/>
                <w:highlight w:val="none"/>
                <w:lang w:val="en-US" w:eastAsia="zh-CN"/>
              </w:rPr>
              <w:t>建议检验室</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在仓库）</w:t>
            </w:r>
            <w:r>
              <w:rPr>
                <w:rFonts w:hint="eastAsia"/>
                <w:highlight w:val="none"/>
              </w:rPr>
              <w:t>；</w:t>
            </w:r>
            <w:r>
              <w:rPr>
                <w:rFonts w:hint="eastAsia"/>
                <w:highlight w:val="none"/>
                <w:lang w:val="en-US" w:eastAsia="zh-CN"/>
              </w:rPr>
              <w:t>小货车</w:t>
            </w:r>
            <w:r>
              <w:rPr>
                <w:rFonts w:hint="eastAsia"/>
                <w:highlight w:val="none"/>
              </w:rPr>
              <w:t>辆</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辆</w:t>
            </w:r>
            <w:r>
              <w:rPr>
                <w:rFonts w:hint="eastAsia"/>
                <w:highlight w:val="none"/>
                <w:lang w:eastAsia="zh-CN"/>
              </w:rPr>
              <w:t>，</w:t>
            </w:r>
          </w:p>
          <w:p>
            <w:pPr>
              <w:ind w:firstLine="420" w:firstLineChars="200"/>
              <w:jc w:val="left"/>
              <w:rPr>
                <w:highlight w:val="none"/>
                <w:u w:val="single"/>
              </w:rPr>
            </w:pPr>
            <w:r>
              <w:rPr>
                <w:rFonts w:hint="eastAsia"/>
                <w:highlight w:val="none"/>
              </w:rPr>
              <w:t>主要生产设备有：</w:t>
            </w:r>
            <w:r>
              <w:rPr>
                <w:rFonts w:hint="eastAsia"/>
                <w:highlight w:val="none"/>
                <w:u w:val="single"/>
                <w:lang w:val="en-US" w:eastAsia="zh-CN"/>
              </w:rPr>
              <w:t>粮食输送带、小货车</w:t>
            </w:r>
            <w:r>
              <w:rPr>
                <w:rFonts w:hint="eastAsia"/>
                <w:highlight w:val="none"/>
                <w:u w:val="single"/>
              </w:rPr>
              <w:t xml:space="preserve">   （列举2~4种）</w:t>
            </w:r>
          </w:p>
          <w:p>
            <w:pPr>
              <w:jc w:val="left"/>
              <w:rPr>
                <w:rFonts w:hint="eastAsia"/>
                <w:highlight w:val="none"/>
              </w:rPr>
            </w:pPr>
          </w:p>
          <w:p>
            <w:pPr>
              <w:jc w:val="left"/>
              <w:rPr>
                <w:highlight w:val="none"/>
              </w:rPr>
            </w:pPr>
            <w:r>
              <w:rPr>
                <w:rFonts w:hint="eastAsia"/>
                <w:highlight w:val="none"/>
              </w:rPr>
              <w:t>特种设备：</w:t>
            </w: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FE"/>
            </w:r>
            <w:r>
              <w:rPr>
                <w:rFonts w:hint="eastAsia"/>
                <w:highlight w:val="none"/>
              </w:rPr>
              <w:t xml:space="preserve">锅炉 </w:t>
            </w:r>
            <w:r>
              <w:rPr>
                <w:rFonts w:hint="eastAsia"/>
                <w:highlight w:val="none"/>
              </w:rPr>
              <w:sym w:font="Wingdings" w:char="00A8"/>
            </w:r>
            <w:r>
              <w:rPr>
                <w:rFonts w:hint="eastAsia"/>
                <w:highlight w:val="none"/>
              </w:rPr>
              <w:t xml:space="preserve">电梯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压力管道  ☑不适用</w:t>
            </w:r>
          </w:p>
          <w:p>
            <w:pPr>
              <w:jc w:val="left"/>
              <w:rPr>
                <w:rFonts w:hint="eastAsia"/>
                <w:highlight w:val="none"/>
                <w:u w:val="single"/>
              </w:rPr>
            </w:pPr>
            <w:r>
              <w:rPr>
                <w:rFonts w:hint="eastAsia"/>
                <w:highlight w:val="none"/>
              </w:rPr>
              <w:t>特种设备管理：</w:t>
            </w:r>
            <w:r>
              <w:rPr>
                <w:rFonts w:hint="eastAsia"/>
                <w:highlight w:val="none"/>
              </w:rPr>
              <w:sym w:font="Wingdings" w:char="00A8"/>
            </w:r>
            <w:r>
              <w:rPr>
                <w:rFonts w:hint="eastAsia"/>
                <w:highlight w:val="none"/>
              </w:rPr>
              <w:t xml:space="preserve">进行了定期检验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☑不适用          </w:t>
            </w:r>
          </w:p>
          <w:p>
            <w:pPr>
              <w:rPr>
                <w:color w:val="000000"/>
                <w:szCs w:val="21"/>
                <w:highlight w:val="none"/>
              </w:rPr>
            </w:pPr>
            <w:r>
              <w:rPr>
                <w:rFonts w:hint="eastAsia"/>
                <w:color w:val="000000"/>
                <w:szCs w:val="21"/>
                <w:highlight w:val="none"/>
              </w:rPr>
              <w:t>还存在哪些局限和不足：</w:t>
            </w:r>
            <w:r>
              <w:rPr>
                <w:rFonts w:hint="eastAsia"/>
                <w:highlight w:val="none"/>
                <w:u w:val="single"/>
              </w:rPr>
              <w:t xml:space="preserve">        无                          </w:t>
            </w:r>
          </w:p>
          <w:p>
            <w:pPr>
              <w:pStyle w:val="6"/>
              <w:rPr>
                <w:highlight w:val="none"/>
              </w:rPr>
            </w:pPr>
          </w:p>
          <w:p>
            <w:pPr>
              <w:numPr>
                <w:ilvl w:val="0"/>
                <w:numId w:val="4"/>
              </w:numPr>
              <w:rPr>
                <w:highlight w:val="none"/>
              </w:rPr>
            </w:pPr>
            <w:r>
              <w:rPr>
                <w:rFonts w:hint="eastAsia"/>
                <w:color w:val="000000"/>
                <w:szCs w:val="21"/>
                <w:highlight w:val="none"/>
              </w:rPr>
              <w:t>需要从外部供方获得的资源：</w:t>
            </w: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r>
              <w:rPr>
                <w:rFonts w:hint="eastAsia"/>
                <w:highlight w:val="none"/>
              </w:rPr>
              <w:t xml:space="preserve">       </w:t>
            </w: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9" w:hRule="atLeast"/>
        </w:trPr>
        <w:tc>
          <w:tcPr>
            <w:tcW w:w="2044" w:type="dxa"/>
            <w:vMerge w:val="restart"/>
            <w:shd w:val="clear" w:color="auto" w:fill="FFFFFF" w:themeFill="background1"/>
          </w:tcPr>
          <w:p>
            <w:pPr>
              <w:rPr>
                <w:highlight w:val="none"/>
              </w:rPr>
            </w:pPr>
            <w:r>
              <w:rPr>
                <w:rFonts w:hint="eastAsia"/>
                <w:highlight w:val="none"/>
              </w:rPr>
              <w:t>监视、测量、分析和评价</w:t>
            </w:r>
          </w:p>
          <w:p>
            <w:pPr>
              <w:rPr>
                <w:highlight w:val="none"/>
              </w:rPr>
            </w:pPr>
          </w:p>
        </w:tc>
        <w:tc>
          <w:tcPr>
            <w:tcW w:w="952" w:type="dxa"/>
            <w:vMerge w:val="restart"/>
            <w:shd w:val="clear" w:color="auto" w:fill="FFFFFF" w:themeFill="background1"/>
          </w:tcPr>
          <w:p>
            <w:pPr>
              <w:rPr>
                <w:highlight w:val="none"/>
              </w:rPr>
            </w:pPr>
            <w:r>
              <w:rPr>
                <w:rFonts w:hint="eastAsia"/>
                <w:highlight w:val="none"/>
              </w:rPr>
              <w:t>F9.1.1</w:t>
            </w:r>
          </w:p>
        </w:tc>
        <w:tc>
          <w:tcPr>
            <w:tcW w:w="761" w:type="dxa"/>
            <w:shd w:val="clear" w:color="auto" w:fill="FFFFFF" w:themeFill="background1"/>
          </w:tcPr>
          <w:p>
            <w:pPr>
              <w:rPr>
                <w:highlight w:val="none"/>
              </w:rPr>
            </w:pPr>
            <w:r>
              <w:rPr>
                <w:rFonts w:hint="eastAsia"/>
                <w:highlight w:val="none"/>
              </w:rPr>
              <w:t>文件名称</w:t>
            </w:r>
          </w:p>
        </w:tc>
        <w:tc>
          <w:tcPr>
            <w:tcW w:w="9370" w:type="dxa"/>
            <w:shd w:val="clear" w:color="auto" w:fill="FFFFFF" w:themeFill="background1"/>
          </w:tcPr>
          <w:p>
            <w:pPr>
              <w:rPr>
                <w:highlight w:val="none"/>
              </w:rPr>
            </w:pPr>
            <w:r>
              <w:rPr>
                <w:rFonts w:hint="eastAsia"/>
                <w:highlight w:val="none"/>
              </w:rPr>
              <w:t>如：</w:t>
            </w:r>
            <w:r>
              <w:rPr>
                <w:rFonts w:hint="eastAsia"/>
                <w:highlight w:val="none"/>
              </w:rPr>
              <w:sym w:font="Wingdings" w:char="00FE"/>
            </w:r>
            <w:r>
              <w:rPr>
                <w:rFonts w:hint="eastAsia"/>
                <w:highlight w:val="none"/>
              </w:rPr>
              <w:t>管理手册9.1.1条款</w:t>
            </w:r>
          </w:p>
        </w:tc>
        <w:tc>
          <w:tcPr>
            <w:tcW w:w="1587" w:type="dxa"/>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554" w:hRule="atLeast"/>
        </w:trPr>
        <w:tc>
          <w:tcPr>
            <w:tcW w:w="2044" w:type="dxa"/>
            <w:vMerge w:val="continue"/>
            <w:shd w:val="clear" w:color="auto" w:fill="FFFFFF" w:themeFill="background1"/>
          </w:tcPr>
          <w:p>
            <w:pPr>
              <w:rPr>
                <w:highlight w:val="none"/>
              </w:rPr>
            </w:pPr>
          </w:p>
        </w:tc>
        <w:tc>
          <w:tcPr>
            <w:tcW w:w="952" w:type="dxa"/>
            <w:vMerge w:val="continue"/>
            <w:shd w:val="clear" w:color="auto" w:fill="FFFFFF" w:themeFill="background1"/>
          </w:tcPr>
          <w:p>
            <w:pPr>
              <w:rPr>
                <w:highlight w:val="none"/>
              </w:rPr>
            </w:pPr>
          </w:p>
        </w:tc>
        <w:tc>
          <w:tcPr>
            <w:tcW w:w="761" w:type="dxa"/>
            <w:shd w:val="clear" w:color="auto" w:fill="FFFFFF" w:themeFill="background1"/>
          </w:tcPr>
          <w:p>
            <w:pPr>
              <w:rPr>
                <w:highlight w:val="none"/>
              </w:rPr>
            </w:pPr>
            <w:r>
              <w:rPr>
                <w:rFonts w:hint="eastAsia"/>
                <w:highlight w:val="none"/>
              </w:rPr>
              <w:t>运行证据</w:t>
            </w:r>
          </w:p>
        </w:tc>
        <w:tc>
          <w:tcPr>
            <w:tcW w:w="9370" w:type="dxa"/>
            <w:shd w:val="clear" w:color="auto" w:fill="FFFFFF" w:themeFill="background1"/>
          </w:tcPr>
          <w:p>
            <w:pPr>
              <w:rPr>
                <w:highlight w:val="none"/>
              </w:rPr>
            </w:pPr>
            <w:r>
              <w:rPr>
                <w:rFonts w:hint="eastAsia"/>
                <w:highlight w:val="none"/>
              </w:rPr>
              <w:t>组织对监视和测量的环境绩效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054"/>
              <w:gridCol w:w="1986"/>
              <w:gridCol w:w="217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rPr>
                      <w:highlight w:val="none"/>
                    </w:rPr>
                  </w:pPr>
                  <w:r>
                    <w:rPr>
                      <w:rFonts w:hint="eastAsia"/>
                      <w:highlight w:val="none"/>
                    </w:rPr>
                    <w:t>监视和测量的对象</w:t>
                  </w:r>
                </w:p>
              </w:tc>
              <w:tc>
                <w:tcPr>
                  <w:tcW w:w="2054" w:type="dxa"/>
                </w:tcPr>
                <w:p>
                  <w:pPr>
                    <w:rPr>
                      <w:highlight w:val="none"/>
                    </w:rPr>
                  </w:pPr>
                  <w:r>
                    <w:rPr>
                      <w:rFonts w:hint="eastAsia"/>
                      <w:highlight w:val="none"/>
                    </w:rPr>
                    <w:t>监视、测量、分析和评价的方法</w:t>
                  </w:r>
                </w:p>
              </w:tc>
              <w:tc>
                <w:tcPr>
                  <w:tcW w:w="1986" w:type="dxa"/>
                </w:tcPr>
                <w:p>
                  <w:pPr>
                    <w:rPr>
                      <w:highlight w:val="none"/>
                    </w:rPr>
                  </w:pPr>
                  <w:r>
                    <w:rPr>
                      <w:rFonts w:hint="eastAsia"/>
                      <w:highlight w:val="none"/>
                    </w:rPr>
                    <w:t>监视和测量的频次和时机</w:t>
                  </w:r>
                </w:p>
              </w:tc>
              <w:tc>
                <w:tcPr>
                  <w:tcW w:w="2171" w:type="dxa"/>
                </w:tcPr>
                <w:p>
                  <w:pPr>
                    <w:rPr>
                      <w:highlight w:val="none"/>
                    </w:rPr>
                  </w:pPr>
                  <w:r>
                    <w:rPr>
                      <w:rFonts w:hint="eastAsia"/>
                      <w:highlight w:val="none"/>
                    </w:rPr>
                    <w:t>评价其绩效所依据的准则和适当的参数</w:t>
                  </w:r>
                </w:p>
              </w:tc>
              <w:tc>
                <w:tcPr>
                  <w:tcW w:w="1750" w:type="dxa"/>
                </w:tcPr>
                <w:p>
                  <w:pPr>
                    <w:rPr>
                      <w:highlight w:val="none"/>
                    </w:rPr>
                  </w:pPr>
                  <w:r>
                    <w:rPr>
                      <w:rFonts w:hint="eastAsia"/>
                      <w:highlight w:val="none"/>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rPr>
                      <w:rFonts w:hint="eastAsia" w:eastAsia="宋体"/>
                      <w:highlight w:val="none"/>
                      <w:lang w:val="en-US" w:eastAsia="zh-CN"/>
                    </w:rPr>
                  </w:pPr>
                  <w:r>
                    <w:rPr>
                      <w:rFonts w:hint="eastAsia"/>
                      <w:highlight w:val="none"/>
                      <w:lang w:val="en-US" w:eastAsia="zh-CN"/>
                    </w:rPr>
                    <w:t>产品</w:t>
                  </w:r>
                </w:p>
              </w:tc>
              <w:tc>
                <w:tcPr>
                  <w:tcW w:w="2054" w:type="dxa"/>
                </w:tcPr>
                <w:p>
                  <w:pPr>
                    <w:rPr>
                      <w:rFonts w:hint="eastAsia"/>
                      <w:highlight w:val="none"/>
                      <w:lang w:val="en-US" w:eastAsia="zh-CN"/>
                    </w:rPr>
                  </w:pPr>
                  <w:r>
                    <w:rPr>
                      <w:rFonts w:hint="eastAsia"/>
                      <w:highlight w:val="none"/>
                      <w:lang w:val="en-US" w:eastAsia="zh-CN"/>
                    </w:rPr>
                    <w:t>预包装类：每年索取供方提供的产品检测报告</w:t>
                  </w:r>
                </w:p>
                <w:p>
                  <w:pPr>
                    <w:pStyle w:val="6"/>
                    <w:ind w:firstLine="630" w:firstLineChars="300"/>
                    <w:rPr>
                      <w:rFonts w:hint="eastAsia"/>
                      <w:sz w:val="21"/>
                      <w:szCs w:val="21"/>
                      <w:highlight w:val="none"/>
                      <w:lang w:val="en-US" w:eastAsia="zh-CN"/>
                    </w:rPr>
                  </w:pPr>
                  <w:r>
                    <w:rPr>
                      <w:rFonts w:hint="eastAsia"/>
                      <w:sz w:val="21"/>
                      <w:szCs w:val="21"/>
                      <w:highlight w:val="none"/>
                      <w:lang w:val="en-US" w:eastAsia="zh-CN"/>
                    </w:rPr>
                    <w:t>散装粮食类每年委托</w:t>
                  </w:r>
                </w:p>
                <w:p>
                  <w:pPr>
                    <w:pStyle w:val="6"/>
                    <w:ind w:firstLine="630" w:firstLineChars="300"/>
                    <w:rPr>
                      <w:rFonts w:hint="default"/>
                      <w:highlight w:val="none"/>
                      <w:lang w:val="en-US" w:eastAsia="zh-CN"/>
                    </w:rPr>
                  </w:pPr>
                  <w:r>
                    <w:rPr>
                      <w:rFonts w:hint="eastAsia"/>
                      <w:sz w:val="21"/>
                      <w:szCs w:val="21"/>
                      <w:highlight w:val="none"/>
                      <w:lang w:val="en-US" w:eastAsia="zh-CN"/>
                    </w:rPr>
                    <w:t>第三方进行检测1次</w:t>
                  </w:r>
                </w:p>
              </w:tc>
              <w:tc>
                <w:tcPr>
                  <w:tcW w:w="1986" w:type="dxa"/>
                </w:tcPr>
                <w:p>
                  <w:pPr>
                    <w:rPr>
                      <w:rFonts w:hint="eastAsia" w:eastAsia="宋体"/>
                      <w:highlight w:val="none"/>
                      <w:lang w:val="en-US" w:eastAsia="zh-CN"/>
                    </w:rPr>
                  </w:pPr>
                  <w:r>
                    <w:rPr>
                      <w:rFonts w:hint="eastAsia"/>
                      <w:highlight w:val="none"/>
                      <w:lang w:val="en-US" w:eastAsia="zh-CN"/>
                    </w:rPr>
                    <w:t>每年</w:t>
                  </w:r>
                </w:p>
              </w:tc>
              <w:tc>
                <w:tcPr>
                  <w:tcW w:w="2171" w:type="dxa"/>
                </w:tcPr>
                <w:p>
                  <w:pPr>
                    <w:rPr>
                      <w:rFonts w:hint="default" w:eastAsia="宋体"/>
                      <w:highlight w:val="none"/>
                      <w:lang w:val="en-US" w:eastAsia="zh-CN"/>
                    </w:rPr>
                  </w:pPr>
                  <w:r>
                    <w:rPr>
                      <w:rFonts w:hint="eastAsia"/>
                      <w:highlight w:val="none"/>
                      <w:lang w:val="en-US" w:eastAsia="zh-CN"/>
                    </w:rPr>
                    <w:t>产品安全性国家标准</w:t>
                  </w:r>
                </w:p>
              </w:tc>
              <w:tc>
                <w:tcPr>
                  <w:tcW w:w="1750" w:type="dxa"/>
                </w:tcPr>
                <w:p>
                  <w:pPr>
                    <w:rPr>
                      <w:rFonts w:hint="eastAsia"/>
                      <w:highlight w:val="none"/>
                    </w:rPr>
                  </w:pPr>
                  <w:r>
                    <w:rPr>
                      <w:rFonts w:hint="eastAsia"/>
                      <w:color w:val="000000"/>
                      <w:szCs w:val="21"/>
                      <w:highlight w:val="none"/>
                    </w:rPr>
                    <w:sym w:font="Wingdings 2" w:char="00A3"/>
                  </w:r>
                  <w:r>
                    <w:rPr>
                      <w:rFonts w:hint="eastAsia"/>
                      <w:highlight w:val="none"/>
                    </w:rPr>
                    <w:t>每月</w:t>
                  </w:r>
                  <w:r>
                    <w:rPr>
                      <w:rFonts w:hint="eastAsia"/>
                      <w:color w:val="000000"/>
                      <w:szCs w:val="21"/>
                      <w:highlight w:val="none"/>
                    </w:rPr>
                    <w:t xml:space="preserve"> □</w:t>
                  </w:r>
                  <w:r>
                    <w:rPr>
                      <w:rFonts w:hint="eastAsia"/>
                      <w:highlight w:val="none"/>
                    </w:rPr>
                    <w:t xml:space="preserve">每季度 </w:t>
                  </w:r>
                  <w:r>
                    <w:rPr>
                      <w:rFonts w:hint="eastAsia"/>
                      <w:color w:val="000000"/>
                      <w:szCs w:val="21"/>
                      <w:highlight w:val="none"/>
                    </w:rPr>
                    <w:sym w:font="Wingdings 2" w:char="0052"/>
                  </w:r>
                  <w:r>
                    <w:rPr>
                      <w:rFonts w:hint="eastAsia"/>
                      <w:color w:val="000000"/>
                      <w:szCs w:val="21"/>
                      <w:highlight w:val="none"/>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rPr>
                      <w:highlight w:val="none"/>
                    </w:rPr>
                  </w:pPr>
                  <w:r>
                    <w:rPr>
                      <w:rFonts w:hint="eastAsia"/>
                      <w:highlight w:val="none"/>
                    </w:rPr>
                    <w:t>过程</w:t>
                  </w:r>
                </w:p>
              </w:tc>
              <w:tc>
                <w:tcPr>
                  <w:tcW w:w="2054" w:type="dxa"/>
                </w:tcPr>
                <w:p>
                  <w:pPr>
                    <w:rPr>
                      <w:highlight w:val="none"/>
                    </w:rPr>
                  </w:pPr>
                  <w:r>
                    <w:rPr>
                      <w:rFonts w:hint="eastAsia"/>
                      <w:highlight w:val="none"/>
                    </w:rPr>
                    <w:t>现场巡视</w:t>
                  </w:r>
                </w:p>
                <w:p>
                  <w:pPr>
                    <w:rPr>
                      <w:highlight w:val="none"/>
                    </w:rPr>
                  </w:pPr>
                  <w:r>
                    <w:rPr>
                      <w:rFonts w:hint="eastAsia"/>
                      <w:highlight w:val="none"/>
                    </w:rPr>
                    <w:t>抽查记录</w:t>
                  </w:r>
                </w:p>
                <w:p>
                  <w:pPr>
                    <w:rPr>
                      <w:highlight w:val="none"/>
                    </w:rPr>
                  </w:pPr>
                  <w:r>
                    <w:rPr>
                      <w:rFonts w:hint="eastAsia"/>
                      <w:highlight w:val="none"/>
                    </w:rPr>
                    <w:t>对食品安全目标进行统计</w:t>
                  </w:r>
                </w:p>
              </w:tc>
              <w:tc>
                <w:tcPr>
                  <w:tcW w:w="1986" w:type="dxa"/>
                </w:tcPr>
                <w:p>
                  <w:pPr>
                    <w:rPr>
                      <w:highlight w:val="none"/>
                    </w:rPr>
                  </w:pPr>
                  <w:r>
                    <w:rPr>
                      <w:rFonts w:hint="eastAsia"/>
                      <w:color w:val="000000"/>
                      <w:szCs w:val="21"/>
                      <w:highlight w:val="none"/>
                    </w:rPr>
                    <w:t>☑</w:t>
                  </w:r>
                  <w:r>
                    <w:rPr>
                      <w:rFonts w:hint="eastAsia"/>
                      <w:highlight w:val="none"/>
                    </w:rPr>
                    <w:t>定期检查</w:t>
                  </w:r>
                </w:p>
                <w:p>
                  <w:pPr>
                    <w:rPr>
                      <w:highlight w:val="none"/>
                    </w:rPr>
                  </w:pPr>
                  <w:r>
                    <w:rPr>
                      <w:rFonts w:hint="eastAsia"/>
                      <w:color w:val="000000"/>
                      <w:szCs w:val="21"/>
                      <w:highlight w:val="none"/>
                    </w:rPr>
                    <w:t>☑</w:t>
                  </w:r>
                  <w:r>
                    <w:rPr>
                      <w:rFonts w:hint="eastAsia"/>
                      <w:highlight w:val="none"/>
                    </w:rPr>
                    <w:t>抽查</w:t>
                  </w:r>
                </w:p>
              </w:tc>
              <w:tc>
                <w:tcPr>
                  <w:tcW w:w="2171" w:type="dxa"/>
                </w:tcPr>
                <w:p>
                  <w:pPr>
                    <w:rPr>
                      <w:rFonts w:hint="eastAsia" w:eastAsia="宋体"/>
                      <w:highlight w:val="none"/>
                      <w:lang w:eastAsia="zh-CN"/>
                    </w:rPr>
                  </w:pPr>
                  <w:r>
                    <w:rPr>
                      <w:rFonts w:hint="eastAsia"/>
                      <w:highlight w:val="none"/>
                    </w:rPr>
                    <w:t>按照程序文件/前提方案、H</w:t>
                  </w:r>
                  <w:r>
                    <w:rPr>
                      <w:highlight w:val="none"/>
                    </w:rPr>
                    <w:t>ACCP</w:t>
                  </w:r>
                  <w:r>
                    <w:rPr>
                      <w:rFonts w:hint="eastAsia"/>
                      <w:highlight w:val="none"/>
                    </w:rPr>
                    <w:t>计划执行</w:t>
                  </w:r>
                </w:p>
              </w:tc>
              <w:tc>
                <w:tcPr>
                  <w:tcW w:w="1750"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highlight w:val="none"/>
                    </w:rPr>
                    <w:t>每月</w:t>
                  </w:r>
                  <w:r>
                    <w:rPr>
                      <w:rFonts w:hint="eastAsia"/>
                      <w:color w:val="000000"/>
                      <w:szCs w:val="21"/>
                      <w:highlight w:val="none"/>
                    </w:rPr>
                    <w:t xml:space="preserve"> □</w:t>
                  </w:r>
                  <w:r>
                    <w:rPr>
                      <w:rFonts w:hint="eastAsia"/>
                      <w:highlight w:val="none"/>
                    </w:rPr>
                    <w:t xml:space="preserve">每季度 </w:t>
                  </w:r>
                  <w:r>
                    <w:rPr>
                      <w:rFonts w:hint="eastAsia"/>
                      <w:color w:val="000000"/>
                      <w:szCs w:val="21"/>
                      <w:highlight w:val="none"/>
                    </w:rPr>
                    <w:sym w:font="Wingdings 2" w:char="0052"/>
                  </w:r>
                  <w:r>
                    <w:rPr>
                      <w:rFonts w:hint="eastAsia"/>
                      <w:color w:val="000000"/>
                      <w:szCs w:val="21"/>
                      <w:highlight w:val="none"/>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rPr>
                      <w:highlight w:val="none"/>
                    </w:rPr>
                  </w:pPr>
                  <w:r>
                    <w:rPr>
                      <w:rFonts w:hint="eastAsia"/>
                      <w:highlight w:val="none"/>
                    </w:rPr>
                    <w:t>体系</w:t>
                  </w:r>
                </w:p>
              </w:tc>
              <w:tc>
                <w:tcPr>
                  <w:tcW w:w="2054" w:type="dxa"/>
                </w:tcPr>
                <w:p>
                  <w:pPr>
                    <w:rPr>
                      <w:highlight w:val="none"/>
                    </w:rPr>
                  </w:pPr>
                  <w:r>
                    <w:rPr>
                      <w:rFonts w:hint="eastAsia"/>
                      <w:highlight w:val="none"/>
                    </w:rPr>
                    <w:t>内部审核；对内审不符合项进行分析</w:t>
                  </w:r>
                </w:p>
              </w:tc>
              <w:tc>
                <w:tcPr>
                  <w:tcW w:w="1986" w:type="dxa"/>
                </w:tcPr>
                <w:p>
                  <w:pPr>
                    <w:rPr>
                      <w:highlight w:val="none"/>
                    </w:rPr>
                  </w:pPr>
                  <w:r>
                    <w:rPr>
                      <w:rFonts w:hint="eastAsia"/>
                      <w:color w:val="000000"/>
                      <w:szCs w:val="21"/>
                      <w:highlight w:val="none"/>
                    </w:rPr>
                    <w:t>☑</w:t>
                  </w:r>
                  <w:r>
                    <w:rPr>
                      <w:rFonts w:hint="eastAsia"/>
                      <w:highlight w:val="none"/>
                    </w:rPr>
                    <w:t>按年度内审计划</w:t>
                  </w:r>
                </w:p>
                <w:p>
                  <w:pPr>
                    <w:rPr>
                      <w:highlight w:val="none"/>
                    </w:rPr>
                  </w:pPr>
                  <w:r>
                    <w:rPr>
                      <w:rFonts w:hint="eastAsia"/>
                      <w:color w:val="000000"/>
                      <w:szCs w:val="21"/>
                      <w:highlight w:val="none"/>
                    </w:rPr>
                    <w:t>☑</w:t>
                  </w:r>
                  <w:r>
                    <w:rPr>
                      <w:rFonts w:hint="eastAsia"/>
                      <w:highlight w:val="none"/>
                    </w:rPr>
                    <w:t>每年一次</w:t>
                  </w:r>
                </w:p>
                <w:p>
                  <w:pPr>
                    <w:rPr>
                      <w:highlight w:val="none"/>
                    </w:rPr>
                  </w:pPr>
                  <w:r>
                    <w:rPr>
                      <w:rFonts w:hint="eastAsia"/>
                      <w:color w:val="000000"/>
                      <w:szCs w:val="21"/>
                      <w:highlight w:val="none"/>
                    </w:rPr>
                    <w:sym w:font="Wingdings 2" w:char="0052"/>
                  </w:r>
                  <w:r>
                    <w:rPr>
                      <w:rFonts w:hint="eastAsia"/>
                      <w:color w:val="000000"/>
                      <w:szCs w:val="21"/>
                      <w:highlight w:val="none"/>
                    </w:rPr>
                    <w:t>特殊情况增加</w:t>
                  </w:r>
                </w:p>
              </w:tc>
              <w:tc>
                <w:tcPr>
                  <w:tcW w:w="2171" w:type="dxa"/>
                </w:tcPr>
                <w:p>
                  <w:pPr>
                    <w:rPr>
                      <w:rFonts w:hint="eastAsia"/>
                      <w:highlight w:val="none"/>
                    </w:rPr>
                  </w:pPr>
                  <w:r>
                    <w:rPr>
                      <w:rFonts w:hint="eastAsia"/>
                      <w:highlight w:val="none"/>
                    </w:rPr>
                    <w:t>ISO22000:2018《内部审核控制程序》</w:t>
                  </w:r>
                </w:p>
                <w:p>
                  <w:pPr>
                    <w:pStyle w:val="6"/>
                    <w:jc w:val="center"/>
                    <w:rPr>
                      <w:rFonts w:hint="default" w:eastAsia="宋体"/>
                      <w:highlight w:val="none"/>
                      <w:lang w:val="en-US" w:eastAsia="zh-CN"/>
                    </w:rPr>
                  </w:pPr>
                  <w:r>
                    <w:rPr>
                      <w:rFonts w:hint="eastAsia"/>
                      <w:sz w:val="21"/>
                      <w:szCs w:val="21"/>
                      <w:highlight w:val="none"/>
                      <w:lang w:val="en-US" w:eastAsia="zh-CN"/>
                    </w:rPr>
                    <w:t>审核周期内无特殊情况</w:t>
                  </w:r>
                </w:p>
              </w:tc>
              <w:tc>
                <w:tcPr>
                  <w:tcW w:w="1750"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每月</w:t>
                  </w:r>
                  <w:r>
                    <w:rPr>
                      <w:rFonts w:hint="eastAsia"/>
                      <w:color w:val="000000"/>
                      <w:szCs w:val="21"/>
                      <w:highlight w:val="none"/>
                    </w:rPr>
                    <w:t xml:space="preserve"> □</w:t>
                  </w:r>
                  <w:r>
                    <w:rPr>
                      <w:rFonts w:hint="eastAsia"/>
                      <w:highlight w:val="none"/>
                    </w:rPr>
                    <w:t xml:space="preserve">每季度 </w:t>
                  </w:r>
                  <w:r>
                    <w:rPr>
                      <w:rFonts w:hint="eastAsia"/>
                      <w:color w:val="000000"/>
                      <w:szCs w:val="21"/>
                      <w:highlight w:val="none"/>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rPr>
                      <w:highlight w:val="none"/>
                    </w:rPr>
                  </w:pPr>
                  <w:r>
                    <w:rPr>
                      <w:rFonts w:hint="eastAsia"/>
                      <w:highlight w:val="none"/>
                    </w:rPr>
                    <w:t>体系有效性</w:t>
                  </w:r>
                </w:p>
              </w:tc>
              <w:tc>
                <w:tcPr>
                  <w:tcW w:w="2054" w:type="dxa"/>
                </w:tcPr>
                <w:p>
                  <w:pPr>
                    <w:rPr>
                      <w:highlight w:val="none"/>
                    </w:rPr>
                  </w:pPr>
                  <w:r>
                    <w:rPr>
                      <w:rFonts w:hint="eastAsia"/>
                      <w:highlight w:val="none"/>
                    </w:rPr>
                    <w:t>管理评审，对FSMS存在的需要问题进行分析</w:t>
                  </w:r>
                </w:p>
              </w:tc>
              <w:tc>
                <w:tcPr>
                  <w:tcW w:w="1986" w:type="dxa"/>
                </w:tcPr>
                <w:p>
                  <w:pPr>
                    <w:rPr>
                      <w:highlight w:val="none"/>
                    </w:rPr>
                  </w:pPr>
                  <w:r>
                    <w:rPr>
                      <w:rFonts w:hint="eastAsia"/>
                      <w:color w:val="000000"/>
                      <w:szCs w:val="21"/>
                      <w:highlight w:val="none"/>
                    </w:rPr>
                    <w:t>☑</w:t>
                  </w:r>
                  <w:r>
                    <w:rPr>
                      <w:rFonts w:hint="eastAsia"/>
                      <w:highlight w:val="none"/>
                    </w:rPr>
                    <w:t>每年一次</w:t>
                  </w:r>
                </w:p>
                <w:p>
                  <w:pPr>
                    <w:rPr>
                      <w:highlight w:val="none"/>
                    </w:rPr>
                  </w:pPr>
                  <w:r>
                    <w:rPr>
                      <w:rFonts w:hint="eastAsia"/>
                      <w:color w:val="000000"/>
                      <w:szCs w:val="21"/>
                      <w:highlight w:val="none"/>
                    </w:rPr>
                    <w:t>☑特殊情况增加</w:t>
                  </w:r>
                </w:p>
              </w:tc>
              <w:tc>
                <w:tcPr>
                  <w:tcW w:w="2171" w:type="dxa"/>
                </w:tcPr>
                <w:p>
                  <w:pPr>
                    <w:rPr>
                      <w:highlight w:val="none"/>
                    </w:rPr>
                  </w:pPr>
                  <w:r>
                    <w:rPr>
                      <w:rFonts w:hint="eastAsia"/>
                      <w:highlight w:val="none"/>
                    </w:rPr>
                    <w:t>ISO22000:2018《管理评审控制程序》</w:t>
                  </w:r>
                  <w:r>
                    <w:rPr>
                      <w:rFonts w:hint="eastAsia"/>
                      <w:sz w:val="21"/>
                      <w:szCs w:val="21"/>
                      <w:highlight w:val="none"/>
                      <w:lang w:val="en-US" w:eastAsia="zh-CN"/>
                    </w:rPr>
                    <w:t>审核周期内无特殊情况</w:t>
                  </w:r>
                </w:p>
              </w:tc>
              <w:tc>
                <w:tcPr>
                  <w:tcW w:w="1750"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每月</w:t>
                  </w:r>
                  <w:r>
                    <w:rPr>
                      <w:rFonts w:hint="eastAsia"/>
                      <w:color w:val="000000"/>
                      <w:szCs w:val="21"/>
                      <w:highlight w:val="none"/>
                    </w:rPr>
                    <w:t xml:space="preserve"> □</w:t>
                  </w:r>
                  <w:r>
                    <w:rPr>
                      <w:rFonts w:hint="eastAsia"/>
                      <w:highlight w:val="none"/>
                    </w:rPr>
                    <w:t xml:space="preserve">每季度 </w:t>
                  </w:r>
                  <w:r>
                    <w:rPr>
                      <w:rFonts w:hint="eastAsia"/>
                      <w:color w:val="000000"/>
                      <w:szCs w:val="21"/>
                      <w:highlight w:val="none"/>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rPr>
                      <w:highlight w:val="none"/>
                    </w:rPr>
                  </w:pPr>
                  <w:r>
                    <w:rPr>
                      <w:rFonts w:hint="eastAsia"/>
                      <w:highlight w:val="none"/>
                    </w:rPr>
                    <w:t>相关方反馈</w:t>
                  </w:r>
                </w:p>
              </w:tc>
              <w:tc>
                <w:tcPr>
                  <w:tcW w:w="2054" w:type="dxa"/>
                </w:tcPr>
                <w:p>
                  <w:pPr>
                    <w:rPr>
                      <w:highlight w:val="none"/>
                    </w:rPr>
                  </w:pPr>
                  <w:r>
                    <w:rPr>
                      <w:rFonts w:hint="eastAsia"/>
                      <w:highlight w:val="none"/>
                    </w:rPr>
                    <w:t>反馈处理，对对问题进行统计</w:t>
                  </w:r>
                </w:p>
              </w:tc>
              <w:tc>
                <w:tcPr>
                  <w:tcW w:w="1986" w:type="dxa"/>
                </w:tcPr>
                <w:p>
                  <w:pPr>
                    <w:rPr>
                      <w:highlight w:val="none"/>
                    </w:rPr>
                  </w:pPr>
                  <w:r>
                    <w:rPr>
                      <w:rFonts w:hint="eastAsia"/>
                      <w:color w:val="000000"/>
                      <w:szCs w:val="21"/>
                      <w:highlight w:val="none"/>
                    </w:rPr>
                    <w:t>□</w:t>
                  </w:r>
                  <w:r>
                    <w:rPr>
                      <w:rFonts w:hint="eastAsia"/>
                      <w:highlight w:val="none"/>
                    </w:rPr>
                    <w:t>每年一次</w:t>
                  </w:r>
                </w:p>
                <w:p>
                  <w:pPr>
                    <w:rPr>
                      <w:highlight w:val="none"/>
                    </w:rPr>
                  </w:pPr>
                  <w:r>
                    <w:rPr>
                      <w:rFonts w:hint="eastAsia"/>
                      <w:color w:val="000000"/>
                      <w:szCs w:val="21"/>
                      <w:highlight w:val="none"/>
                    </w:rPr>
                    <w:t>☑随时</w:t>
                  </w:r>
                </w:p>
              </w:tc>
              <w:tc>
                <w:tcPr>
                  <w:tcW w:w="2171" w:type="dxa"/>
                </w:tcPr>
                <w:p>
                  <w:pPr>
                    <w:rPr>
                      <w:rFonts w:hint="default" w:eastAsia="宋体"/>
                      <w:highlight w:val="none"/>
                      <w:lang w:val="en-US" w:eastAsia="zh-CN"/>
                    </w:rPr>
                  </w:pPr>
                  <w:r>
                    <w:rPr>
                      <w:rFonts w:hint="eastAsia" w:eastAsia="宋体"/>
                      <w:highlight w:val="none"/>
                      <w:lang w:eastAsia="zh-CN"/>
                    </w:rPr>
                    <w:t>《信息沟通程序》</w:t>
                  </w:r>
                </w:p>
              </w:tc>
              <w:tc>
                <w:tcPr>
                  <w:tcW w:w="1750"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每月</w:t>
                  </w:r>
                  <w:r>
                    <w:rPr>
                      <w:rFonts w:hint="eastAsia"/>
                      <w:color w:val="000000"/>
                      <w:szCs w:val="21"/>
                      <w:highlight w:val="none"/>
                    </w:rPr>
                    <w:t xml:space="preserve"> □</w:t>
                  </w:r>
                  <w:r>
                    <w:rPr>
                      <w:rFonts w:hint="eastAsia"/>
                      <w:highlight w:val="none"/>
                    </w:rPr>
                    <w:t xml:space="preserve">每季度 </w:t>
                  </w:r>
                  <w:r>
                    <w:rPr>
                      <w:rFonts w:hint="eastAsia"/>
                      <w:color w:val="000000"/>
                      <w:szCs w:val="21"/>
                      <w:highlight w:val="none"/>
                    </w:rPr>
                    <w:t>□每年  ☑随时</w:t>
                  </w:r>
                </w:p>
              </w:tc>
            </w:tr>
          </w:tbl>
          <w:p>
            <w:pPr>
              <w:rPr>
                <w:highlight w:val="none"/>
              </w:rPr>
            </w:pP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3" w:hRule="atLeast"/>
        </w:trPr>
        <w:tc>
          <w:tcPr>
            <w:tcW w:w="2044" w:type="dxa"/>
            <w:vMerge w:val="restart"/>
            <w:shd w:val="clear" w:color="auto" w:fill="FFFFFF" w:themeFill="background1"/>
          </w:tcPr>
          <w:p>
            <w:pPr>
              <w:rPr>
                <w:highlight w:val="none"/>
              </w:rPr>
            </w:pPr>
            <w:r>
              <w:rPr>
                <w:rFonts w:hint="eastAsia"/>
                <w:highlight w:val="none"/>
              </w:rPr>
              <w:t>内部审核</w:t>
            </w:r>
          </w:p>
        </w:tc>
        <w:tc>
          <w:tcPr>
            <w:tcW w:w="952" w:type="dxa"/>
            <w:vMerge w:val="restart"/>
            <w:shd w:val="clear" w:color="auto" w:fill="FFFFFF" w:themeFill="background1"/>
          </w:tcPr>
          <w:p>
            <w:pPr>
              <w:rPr>
                <w:highlight w:val="none"/>
              </w:rPr>
            </w:pPr>
            <w:r>
              <w:rPr>
                <w:rFonts w:hint="eastAsia"/>
                <w:highlight w:val="none"/>
              </w:rPr>
              <w:t>F9.2</w:t>
            </w:r>
          </w:p>
          <w:p>
            <w:pPr>
              <w:rPr>
                <w:highlight w:val="none"/>
              </w:rPr>
            </w:pPr>
          </w:p>
        </w:tc>
        <w:tc>
          <w:tcPr>
            <w:tcW w:w="761" w:type="dxa"/>
            <w:shd w:val="clear" w:color="auto" w:fill="FFFFFF" w:themeFill="background1"/>
          </w:tcPr>
          <w:p>
            <w:pPr>
              <w:rPr>
                <w:highlight w:val="none"/>
              </w:rPr>
            </w:pPr>
            <w:r>
              <w:rPr>
                <w:rFonts w:hint="eastAsia"/>
                <w:highlight w:val="none"/>
              </w:rPr>
              <w:t>文件名称</w:t>
            </w:r>
          </w:p>
        </w:tc>
        <w:tc>
          <w:tcPr>
            <w:tcW w:w="9370" w:type="dxa"/>
            <w:shd w:val="clear" w:color="auto" w:fill="FFFFFF" w:themeFill="background1"/>
          </w:tcPr>
          <w:p>
            <w:pPr>
              <w:rPr>
                <w:highlight w:val="none"/>
              </w:rPr>
            </w:pPr>
            <w:r>
              <w:rPr>
                <w:highlight w:val="none"/>
              </w:rPr>
              <w:sym w:font="Wingdings" w:char="00FE"/>
            </w:r>
            <w:r>
              <w:rPr>
                <w:rFonts w:hint="eastAsia"/>
                <w:highlight w:val="none"/>
              </w:rPr>
              <w:t>《内部审核控制程序》</w:t>
            </w:r>
          </w:p>
        </w:tc>
        <w:tc>
          <w:tcPr>
            <w:tcW w:w="1587" w:type="dxa"/>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p>
            <w:pPr>
              <w:pStyle w:val="6"/>
              <w:ind w:left="-594" w:firstLine="560"/>
              <w:rPr>
                <w:highlight w:val="none"/>
              </w:rPr>
            </w:pPr>
          </w:p>
          <w:p>
            <w:pPr>
              <w:pStyle w:val="6"/>
              <w:ind w:left="-594" w:firstLine="560"/>
              <w:rPr>
                <w:highlight w:val="none"/>
              </w:rPr>
            </w:pPr>
          </w:p>
          <w:p>
            <w:pPr>
              <w:pStyle w:val="6"/>
              <w:ind w:left="-594" w:firstLine="560"/>
              <w:rPr>
                <w:highlight w:val="none"/>
              </w:rPr>
            </w:pPr>
          </w:p>
          <w:p>
            <w:pPr>
              <w:pStyle w:val="6"/>
              <w:ind w:left="-594" w:firstLine="560"/>
              <w:rPr>
                <w:highlight w:val="none"/>
              </w:rPr>
            </w:pPr>
          </w:p>
          <w:p>
            <w:pPr>
              <w:pStyle w:val="6"/>
              <w:ind w:left="-594" w:firstLine="560"/>
              <w:rPr>
                <w:highlight w:val="none"/>
              </w:rPr>
            </w:pPr>
          </w:p>
          <w:p>
            <w:pPr>
              <w:rPr>
                <w:color w:val="FF0000"/>
                <w:highlight w:val="none"/>
              </w:rPr>
            </w:pPr>
          </w:p>
          <w:p>
            <w:pPr>
              <w:pStyle w:val="6"/>
              <w:ind w:left="-594" w:firstLine="560"/>
              <w:rPr>
                <w:highlight w:val="none"/>
              </w:rPr>
            </w:pPr>
          </w:p>
          <w:p>
            <w:pPr>
              <w:pStyle w:val="6"/>
              <w:ind w:left="-594" w:firstLine="560"/>
              <w:rPr>
                <w:highlight w:val="none"/>
              </w:rPr>
            </w:pPr>
          </w:p>
          <w:p>
            <w:pPr>
              <w:pStyle w:val="6"/>
              <w:ind w:left="-594" w:firstLine="560"/>
              <w:rPr>
                <w:highlight w:val="none"/>
              </w:rPr>
            </w:pPr>
          </w:p>
          <w:p>
            <w:pPr>
              <w:pStyle w:val="6"/>
              <w:ind w:left="-594" w:firstLine="560"/>
              <w:rPr>
                <w:highlight w:val="none"/>
              </w:rPr>
            </w:pPr>
          </w:p>
          <w:p>
            <w:pPr>
              <w:pStyle w:val="6"/>
              <w:ind w:left="-594" w:firstLine="560"/>
              <w:rPr>
                <w:highlight w:val="none"/>
              </w:rPr>
            </w:pPr>
          </w:p>
          <w:p>
            <w:pPr>
              <w:pStyle w:val="6"/>
              <w:ind w:left="-594" w:firstLine="560"/>
              <w:rPr>
                <w:highlight w:val="none"/>
              </w:rPr>
            </w:pPr>
          </w:p>
          <w:p>
            <w:pPr>
              <w:pStyle w:val="6"/>
              <w:ind w:left="-594" w:firstLine="560"/>
              <w:rPr>
                <w:highlight w:val="none"/>
              </w:rPr>
            </w:pPr>
          </w:p>
          <w:p>
            <w:pPr>
              <w:pStyle w:val="6"/>
              <w:ind w:left="-594" w:firstLine="560"/>
              <w:rPr>
                <w:highlight w:val="none"/>
              </w:rPr>
            </w:pPr>
          </w:p>
          <w:p>
            <w:pPr>
              <w:pStyle w:val="6"/>
              <w:ind w:left="-594" w:firstLine="56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6" w:hRule="atLeast"/>
        </w:trPr>
        <w:tc>
          <w:tcPr>
            <w:tcW w:w="2044" w:type="dxa"/>
            <w:vMerge w:val="continue"/>
            <w:shd w:val="clear" w:color="auto" w:fill="FFFFFF" w:themeFill="background1"/>
          </w:tcPr>
          <w:p>
            <w:pPr>
              <w:rPr>
                <w:highlight w:val="none"/>
              </w:rPr>
            </w:pPr>
          </w:p>
        </w:tc>
        <w:tc>
          <w:tcPr>
            <w:tcW w:w="952" w:type="dxa"/>
            <w:vMerge w:val="continue"/>
            <w:shd w:val="clear" w:color="auto" w:fill="FFFFFF" w:themeFill="background1"/>
          </w:tcPr>
          <w:p>
            <w:pPr>
              <w:rPr>
                <w:highlight w:val="none"/>
              </w:rPr>
            </w:pPr>
          </w:p>
        </w:tc>
        <w:tc>
          <w:tcPr>
            <w:tcW w:w="761" w:type="dxa"/>
            <w:shd w:val="clear" w:color="auto" w:fill="FFFFFF" w:themeFill="background1"/>
          </w:tcPr>
          <w:p>
            <w:pPr>
              <w:rPr>
                <w:highlight w:val="none"/>
              </w:rPr>
            </w:pPr>
            <w:r>
              <w:rPr>
                <w:rFonts w:hint="eastAsia"/>
                <w:highlight w:val="none"/>
              </w:rPr>
              <w:t>运行证据</w:t>
            </w:r>
          </w:p>
        </w:tc>
        <w:tc>
          <w:tcPr>
            <w:tcW w:w="9370" w:type="dxa"/>
            <w:shd w:val="clear" w:color="auto" w:fill="FFFFFF" w:themeFill="background1"/>
          </w:tcPr>
          <w:p>
            <w:pPr>
              <w:widowControl/>
              <w:spacing w:before="40"/>
              <w:jc w:val="left"/>
              <w:rPr>
                <w:color w:val="000000"/>
                <w:szCs w:val="18"/>
                <w:highlight w:val="none"/>
              </w:rPr>
            </w:pPr>
            <w:r>
              <w:rPr>
                <w:highlight w:val="none"/>
              </w:rPr>
              <w:sym w:font="Wingdings" w:char="00A8"/>
            </w:r>
            <w:r>
              <w:rPr>
                <w:rFonts w:hint="eastAsia"/>
                <w:color w:val="000000"/>
                <w:szCs w:val="18"/>
                <w:highlight w:val="none"/>
              </w:rPr>
              <w:t>自管理体系建立后/</w:t>
            </w:r>
            <w:r>
              <w:rPr>
                <w:highlight w:val="none"/>
              </w:rPr>
              <w:sym w:font="Wingdings" w:char="00FE"/>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20</w:t>
            </w:r>
            <w:r>
              <w:rPr>
                <w:rFonts w:hint="eastAsia"/>
                <w:color w:val="000000"/>
                <w:szCs w:val="18"/>
                <w:highlight w:val="none"/>
                <w:u w:val="single"/>
              </w:rPr>
              <w:t>2</w:t>
            </w:r>
            <w:r>
              <w:rPr>
                <w:color w:val="000000"/>
                <w:szCs w:val="18"/>
                <w:highlight w:val="none"/>
                <w:u w:val="single"/>
              </w:rPr>
              <w:t xml:space="preserve">2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13</w:t>
            </w:r>
            <w:r>
              <w:rPr>
                <w:color w:val="000000"/>
                <w:szCs w:val="18"/>
                <w:highlight w:val="none"/>
                <w:u w:val="single"/>
              </w:rPr>
              <w:t xml:space="preserve"> </w:t>
            </w:r>
            <w:r>
              <w:rPr>
                <w:rFonts w:hint="eastAsia"/>
                <w:color w:val="000000"/>
                <w:szCs w:val="18"/>
                <w:highlight w:val="none"/>
              </w:rPr>
              <w:t>日实施了FSMS内部审核；</w:t>
            </w:r>
          </w:p>
          <w:p>
            <w:pPr>
              <w:widowControl/>
              <w:spacing w:before="40"/>
              <w:jc w:val="left"/>
              <w:rPr>
                <w:color w:val="000000"/>
                <w:szCs w:val="18"/>
                <w:highlight w:val="none"/>
              </w:rPr>
            </w:pPr>
            <w:r>
              <w:rPr>
                <w:rFonts w:hint="eastAsia"/>
                <w:color w:val="000000"/>
                <w:szCs w:val="18"/>
                <w:highlight w:val="none"/>
              </w:rPr>
              <w:t>记录包括：</w:t>
            </w:r>
          </w:p>
          <w:p>
            <w:pPr>
              <w:widowControl/>
              <w:spacing w:before="40"/>
              <w:jc w:val="left"/>
              <w:rPr>
                <w:szCs w:val="18"/>
                <w:highlight w:val="none"/>
              </w:rPr>
            </w:pPr>
            <w:r>
              <w:rPr>
                <w:rFonts w:hint="eastAsia"/>
                <w:color w:val="000000"/>
                <w:szCs w:val="18"/>
                <w:highlight w:val="none"/>
              </w:rPr>
              <w:t>《内审计划》：有</w:t>
            </w:r>
            <w:r>
              <w:rPr>
                <w:rFonts w:hint="eastAsia"/>
                <w:color w:val="000000"/>
                <w:szCs w:val="18"/>
                <w:highlight w:val="none"/>
                <w:u w:val="single"/>
              </w:rPr>
              <w:t xml:space="preserve"> 2 </w:t>
            </w:r>
            <w:r>
              <w:rPr>
                <w:rFonts w:hint="eastAsia"/>
                <w:color w:val="000000"/>
                <w:szCs w:val="18"/>
                <w:highlight w:val="none"/>
              </w:rPr>
              <w:t>名内审员；有</w:t>
            </w:r>
            <w:r>
              <w:rPr>
                <w:rFonts w:hint="eastAsia"/>
                <w:color w:val="000000"/>
                <w:szCs w:val="21"/>
                <w:highlight w:val="none"/>
              </w:rPr>
              <w:t>□</w:t>
            </w:r>
            <w:r>
              <w:rPr>
                <w:rFonts w:hint="eastAsia"/>
                <w:color w:val="000000"/>
                <w:szCs w:val="18"/>
                <w:highlight w:val="none"/>
              </w:rPr>
              <w:t>《内审员证书》</w:t>
            </w:r>
            <w:r>
              <w:rPr>
                <w:rFonts w:hint="eastAsia"/>
                <w:highlight w:val="none"/>
              </w:rPr>
              <w:t>☑</w:t>
            </w:r>
            <w:r>
              <w:rPr>
                <w:rFonts w:hint="eastAsia"/>
                <w:color w:val="000000"/>
                <w:szCs w:val="21"/>
                <w:highlight w:val="none"/>
              </w:rPr>
              <w:t>有</w:t>
            </w:r>
            <w:r>
              <w:rPr>
                <w:rFonts w:hint="eastAsia"/>
                <w:szCs w:val="21"/>
                <w:highlight w:val="none"/>
              </w:rPr>
              <w:t>内审员培训记录</w:t>
            </w:r>
          </w:p>
          <w:p>
            <w:pPr>
              <w:widowControl/>
              <w:spacing w:before="40"/>
              <w:ind w:firstLine="420" w:firstLineChars="200"/>
              <w:jc w:val="left"/>
              <w:rPr>
                <w:color w:val="000000"/>
                <w:szCs w:val="18"/>
                <w:highlight w:val="none"/>
              </w:rPr>
            </w:pPr>
            <w:r>
              <w:rPr>
                <w:rFonts w:hint="eastAsia"/>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《内审检查表》：</w:t>
            </w:r>
            <w:r>
              <w:rPr>
                <w:rFonts w:hint="eastAsia"/>
                <w:highlight w:val="none"/>
              </w:rPr>
              <w:t>☑</w:t>
            </w:r>
            <w:r>
              <w:rPr>
                <w:rFonts w:hint="eastAsia"/>
                <w:color w:val="000000"/>
                <w:szCs w:val="18"/>
                <w:highlight w:val="none"/>
              </w:rPr>
              <w:t xml:space="preserve">与内审计划一致 </w:t>
            </w:r>
            <w:r>
              <w:rPr>
                <w:rFonts w:hint="eastAsia"/>
                <w:color w:val="000000"/>
                <w:szCs w:val="21"/>
                <w:highlight w:val="none"/>
              </w:rPr>
              <w:t>□与内审计划不一致缺少</w:t>
            </w:r>
            <w:r>
              <w:rPr>
                <w:rFonts w:hint="eastAsia"/>
                <w:color w:val="000000"/>
                <w:szCs w:val="21"/>
                <w:highlight w:val="none"/>
                <w:u w:val="single"/>
              </w:rPr>
              <w:t xml:space="preserve"> </w:t>
            </w:r>
            <w:r>
              <w:rPr>
                <w:rFonts w:hint="eastAsia"/>
                <w:color w:val="000000"/>
                <w:szCs w:val="21"/>
                <w:highlight w:val="none"/>
                <w:u w:val="single"/>
                <w:lang w:val="en-US" w:eastAsia="zh-CN"/>
              </w:rPr>
              <w:t>但《内审检查表》各部门均在一起，已经与企业沟通</w:t>
            </w:r>
            <w:r>
              <w:rPr>
                <w:rFonts w:hint="eastAsia"/>
                <w:color w:val="000000"/>
                <w:szCs w:val="21"/>
                <w:highlight w:val="none"/>
                <w:u w:val="single"/>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color w:val="000000"/>
                <w:szCs w:val="18"/>
                <w:highlight w:val="none"/>
                <w:u w:val="single"/>
              </w:rPr>
              <w:t>管理层</w:t>
            </w:r>
            <w:r>
              <w:rPr>
                <w:rFonts w:hint="eastAsia"/>
                <w:color w:val="000000"/>
                <w:szCs w:val="18"/>
                <w:highlight w:val="none"/>
                <w:u w:val="single"/>
                <w:lang w:val="en-US" w:eastAsia="zh-CN"/>
              </w:rPr>
              <w:t>/</w:t>
            </w:r>
            <w:r>
              <w:rPr>
                <w:rFonts w:hint="eastAsia"/>
                <w:color w:val="000000"/>
                <w:szCs w:val="18"/>
                <w:highlight w:val="none"/>
                <w:u w:val="single"/>
              </w:rPr>
              <w:t>食品安全小组</w:t>
            </w:r>
            <w:r>
              <w:rPr>
                <w:rFonts w:hint="eastAsia"/>
                <w:color w:val="000000"/>
                <w:szCs w:val="18"/>
                <w:highlight w:val="none"/>
                <w:u w:val="single"/>
                <w:lang w:val="en-US" w:eastAsia="zh-CN"/>
              </w:rPr>
              <w:t>/销售部</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rFonts w:hint="eastAsia"/>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szCs w:val="21"/>
                <w:highlight w:val="none"/>
                <w:u w:val="single"/>
              </w:rPr>
            </w:pPr>
            <w:r>
              <w:rPr>
                <w:rFonts w:hint="eastAsia"/>
                <w:szCs w:val="21"/>
                <w:highlight w:val="none"/>
              </w:rPr>
              <w:sym w:font="Wingdings 2" w:char="0052"/>
            </w:r>
            <w:r>
              <w:rPr>
                <w:rFonts w:hint="eastAsia"/>
                <w:szCs w:val="21"/>
                <w:highlight w:val="none"/>
                <w:u w:val="singl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sym w:font="Wingdings 2" w:char="00A3"/>
            </w: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《不符合项报告》</w:t>
            </w:r>
            <w:r>
              <w:rPr>
                <w:rFonts w:hint="eastAsia"/>
                <w:color w:val="000000"/>
                <w:szCs w:val="18"/>
                <w:highlight w:val="none"/>
                <w:u w:val="single"/>
              </w:rPr>
              <w:t xml:space="preserve"> </w:t>
            </w:r>
            <w:r>
              <w:rPr>
                <w:color w:val="000000"/>
                <w:szCs w:val="18"/>
                <w:highlight w:val="none"/>
                <w:u w:val="single"/>
              </w:rPr>
              <w:t xml:space="preserve">1 </w:t>
            </w:r>
            <w:r>
              <w:rPr>
                <w:rFonts w:hint="eastAsia"/>
                <w:color w:val="000000"/>
                <w:szCs w:val="18"/>
                <w:highlight w:val="none"/>
              </w:rPr>
              <w:t>份；</w:t>
            </w:r>
          </w:p>
          <w:p>
            <w:pPr>
              <w:widowControl/>
              <w:spacing w:before="40"/>
              <w:jc w:val="left"/>
              <w:rPr>
                <w:rFonts w:hint="eastAsia" w:eastAsia="宋体"/>
                <w:color w:val="000000"/>
                <w:szCs w:val="21"/>
                <w:highlight w:val="none"/>
                <w:u w:val="single"/>
                <w:lang w:val="en-US" w:eastAsia="zh-CN"/>
              </w:rPr>
            </w:pPr>
            <w:r>
              <w:rPr>
                <w:rFonts w:hint="eastAsia"/>
                <w:color w:val="000000"/>
                <w:szCs w:val="18"/>
                <w:highlight w:val="none"/>
              </w:rPr>
              <w:t>涉及的条款号或问题简述：</w:t>
            </w:r>
            <w:r>
              <w:rPr>
                <w:rFonts w:hint="eastAsia"/>
                <w:color w:val="000000"/>
                <w:szCs w:val="21"/>
                <w:highlight w:val="none"/>
                <w:u w:val="single"/>
              </w:rPr>
              <w:t xml:space="preserve">  办公室未提供策划的关于“安全配送知识、卫生规范要求、配送工艺HACCP相关知识”培训记录。不符合标准条款：ISO22000：2018标准的 7.2条款有关要求 </w:t>
            </w:r>
            <w:r>
              <w:rPr>
                <w:rFonts w:hint="eastAsia"/>
                <w:color w:val="000000"/>
                <w:szCs w:val="21"/>
                <w:highlight w:val="none"/>
                <w:u w:val="single"/>
                <w:lang w:val="en-US" w:eastAsia="zh-CN"/>
              </w:rPr>
              <w:t xml:space="preserve"> </w:t>
            </w:r>
          </w:p>
          <w:p>
            <w:pPr>
              <w:widowControl/>
              <w:spacing w:before="40"/>
              <w:ind w:firstLine="420" w:firstLineChars="200"/>
              <w:jc w:val="left"/>
              <w:rPr>
                <w:highlight w:val="none"/>
              </w:rPr>
            </w:pPr>
            <w:r>
              <w:rPr>
                <w:rFonts w:hint="eastAsia"/>
                <w:highlight w:val="none"/>
              </w:rPr>
              <w:t xml:space="preserve">☑不符合项已关闭  </w:t>
            </w:r>
            <w:r>
              <w:rPr>
                <w:rFonts w:hint="eastAsia"/>
                <w:highlight w:val="none"/>
              </w:rPr>
              <w:sym w:font="Wingdings" w:char="00A8"/>
            </w:r>
            <w:r>
              <w:rPr>
                <w:rFonts w:hint="eastAsia"/>
                <w:highlight w:val="none"/>
              </w:rPr>
              <w:t xml:space="preserve">不符合项部分关闭 </w:t>
            </w:r>
          </w:p>
          <w:p>
            <w:pPr>
              <w:widowControl/>
              <w:spacing w:before="40"/>
              <w:ind w:firstLine="420" w:firstLineChars="200"/>
              <w:jc w:val="left"/>
              <w:rPr>
                <w:highlight w:val="none"/>
              </w:rPr>
            </w:pPr>
            <w:r>
              <w:rPr>
                <w:rFonts w:hint="eastAsia"/>
                <w:highlight w:val="none"/>
              </w:rPr>
              <w:sym w:font="Wingdings" w:char="00A8"/>
            </w:r>
            <w:r>
              <w:rPr>
                <w:rFonts w:hint="eastAsia"/>
                <w:highlight w:val="none"/>
              </w:rPr>
              <w:t>不符合项未关闭</w:t>
            </w:r>
            <w:r>
              <w:rPr>
                <w:rFonts w:hint="eastAsia"/>
                <w:color w:val="000000"/>
                <w:szCs w:val="21"/>
                <w:highlight w:val="none"/>
              </w:rPr>
              <w:t>，缺少</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highlight w:val="none"/>
              </w:rPr>
              <w:sym w:font="Wingdings 2" w:char="00A3"/>
            </w:r>
            <w:r>
              <w:rPr>
                <w:rFonts w:hint="eastAsia"/>
                <w:highlight w:val="none"/>
              </w:rPr>
              <w:t xml:space="preserve">体系运行有效  </w:t>
            </w:r>
            <w:r>
              <w:rPr>
                <w:rFonts w:hint="eastAsia"/>
                <w:highlight w:val="none"/>
              </w:rPr>
              <w:sym w:font="Wingdings" w:char="00FE"/>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highlight w:val="none"/>
                <w:shd w:val="pct10" w:color="auto" w:fill="FFFFFF"/>
              </w:rPr>
            </w:pPr>
            <w:r>
              <w:rPr>
                <w:rFonts w:hint="eastAsia"/>
                <w:highlight w:val="none"/>
                <w:shd w:val="pct10" w:color="auto" w:fill="FFFFFF"/>
              </w:rPr>
              <w:t>本次现场审核时，上述不符合项的纠正措施的有效性</w:t>
            </w:r>
          </w:p>
          <w:p>
            <w:pPr>
              <w:widowControl/>
              <w:spacing w:before="40"/>
              <w:jc w:val="left"/>
              <w:rPr>
                <w:highlight w:val="none"/>
              </w:rPr>
            </w:pPr>
            <w:r>
              <w:rPr>
                <w:rFonts w:hint="eastAsia"/>
                <w:highlight w:val="none"/>
              </w:rPr>
              <w:t>☑</w:t>
            </w:r>
            <w:r>
              <w:rPr>
                <w:rFonts w:hint="eastAsia"/>
                <w:highlight w:val="none"/>
                <w:shd w:val="pct10" w:color="auto" w:fill="FFFFFF"/>
              </w:rPr>
              <w:t xml:space="preserve">不符合项未发生  </w:t>
            </w:r>
            <w:r>
              <w:rPr>
                <w:rFonts w:hint="eastAsia"/>
                <w:highlight w:val="none"/>
                <w:shd w:val="pct10" w:color="auto" w:fill="FFFFFF"/>
              </w:rPr>
              <w:sym w:font="Wingdings" w:char="00A8"/>
            </w:r>
            <w:r>
              <w:rPr>
                <w:rFonts w:hint="eastAsia"/>
                <w:highlight w:val="none"/>
                <w:shd w:val="pct10" w:color="auto" w:fill="FFFFFF"/>
              </w:rPr>
              <w:t>不符合项仍然存在</w:t>
            </w:r>
            <w:r>
              <w:rPr>
                <w:rFonts w:hint="eastAsia"/>
                <w:highlight w:val="none"/>
                <w:shd w:val="clear" w:color="FFFFFF" w:fill="D9D9D9"/>
              </w:rPr>
              <w:t xml:space="preserve"> </w:t>
            </w: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80" w:hRule="atLeast"/>
        </w:trPr>
        <w:tc>
          <w:tcPr>
            <w:tcW w:w="2044" w:type="dxa"/>
            <w:vMerge w:val="restart"/>
            <w:shd w:val="clear" w:color="auto" w:fill="FFFFFF" w:themeFill="background1"/>
          </w:tcPr>
          <w:p>
            <w:pPr>
              <w:rPr>
                <w:highlight w:val="none"/>
              </w:rPr>
            </w:pPr>
            <w:r>
              <w:rPr>
                <w:rFonts w:hint="eastAsia"/>
                <w:highlight w:val="none"/>
              </w:rPr>
              <w:t>管理评审</w:t>
            </w:r>
          </w:p>
          <w:p>
            <w:pPr>
              <w:rPr>
                <w:highlight w:val="none"/>
              </w:rPr>
            </w:pPr>
          </w:p>
        </w:tc>
        <w:tc>
          <w:tcPr>
            <w:tcW w:w="952" w:type="dxa"/>
            <w:vMerge w:val="restart"/>
            <w:shd w:val="clear" w:color="auto" w:fill="FFFFFF" w:themeFill="background1"/>
          </w:tcPr>
          <w:p>
            <w:pPr>
              <w:rPr>
                <w:highlight w:val="none"/>
              </w:rPr>
            </w:pPr>
            <w:r>
              <w:rPr>
                <w:rFonts w:hint="eastAsia"/>
                <w:highlight w:val="none"/>
              </w:rPr>
              <w:t>F9.3</w:t>
            </w:r>
          </w:p>
        </w:tc>
        <w:tc>
          <w:tcPr>
            <w:tcW w:w="761" w:type="dxa"/>
            <w:shd w:val="clear" w:color="auto" w:fill="FFFFFF" w:themeFill="background1"/>
          </w:tcPr>
          <w:p>
            <w:pPr>
              <w:rPr>
                <w:highlight w:val="none"/>
              </w:rPr>
            </w:pPr>
            <w:r>
              <w:rPr>
                <w:rFonts w:hint="eastAsia"/>
                <w:highlight w:val="none"/>
              </w:rPr>
              <w:t>文件名称</w:t>
            </w:r>
          </w:p>
        </w:tc>
        <w:tc>
          <w:tcPr>
            <w:tcW w:w="9370" w:type="dxa"/>
            <w:shd w:val="clear" w:color="auto" w:fill="FFFFFF" w:themeFill="background1"/>
          </w:tcPr>
          <w:p>
            <w:pPr>
              <w:rPr>
                <w:highlight w:val="none"/>
              </w:rPr>
            </w:pPr>
            <w:r>
              <w:rPr>
                <w:rFonts w:hint="eastAsia"/>
                <w:highlight w:val="none"/>
              </w:rPr>
              <w:t>如：☑手册9.3条款   ☑《</w:t>
            </w:r>
            <w:r>
              <w:rPr>
                <w:rFonts w:hint="eastAsia"/>
                <w:szCs w:val="22"/>
                <w:highlight w:val="none"/>
              </w:rPr>
              <w:t>管理评审控制程序</w:t>
            </w:r>
            <w:r>
              <w:rPr>
                <w:rFonts w:hint="eastAsia"/>
                <w:highlight w:val="none"/>
              </w:rPr>
              <w:t>》</w:t>
            </w:r>
          </w:p>
        </w:tc>
        <w:tc>
          <w:tcPr>
            <w:tcW w:w="1587" w:type="dxa"/>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8" w:hRule="atLeast"/>
        </w:trPr>
        <w:tc>
          <w:tcPr>
            <w:tcW w:w="2044" w:type="dxa"/>
            <w:vMerge w:val="continue"/>
            <w:shd w:val="clear" w:color="auto" w:fill="FFFFFF" w:themeFill="background1"/>
          </w:tcPr>
          <w:p>
            <w:pPr>
              <w:rPr>
                <w:highlight w:val="none"/>
              </w:rPr>
            </w:pPr>
          </w:p>
        </w:tc>
        <w:tc>
          <w:tcPr>
            <w:tcW w:w="952" w:type="dxa"/>
            <w:vMerge w:val="continue"/>
            <w:shd w:val="clear" w:color="auto" w:fill="FFFFFF" w:themeFill="background1"/>
          </w:tcPr>
          <w:p>
            <w:pPr>
              <w:rPr>
                <w:highlight w:val="none"/>
              </w:rPr>
            </w:pPr>
          </w:p>
        </w:tc>
        <w:tc>
          <w:tcPr>
            <w:tcW w:w="761" w:type="dxa"/>
            <w:shd w:val="clear" w:color="auto" w:fill="FFFFFF" w:themeFill="background1"/>
          </w:tcPr>
          <w:p>
            <w:pPr>
              <w:rPr>
                <w:highlight w:val="none"/>
              </w:rPr>
            </w:pPr>
            <w:r>
              <w:rPr>
                <w:rFonts w:hint="eastAsia"/>
                <w:highlight w:val="none"/>
              </w:rPr>
              <w:t>运行证据</w:t>
            </w:r>
          </w:p>
        </w:tc>
        <w:tc>
          <w:tcPr>
            <w:tcW w:w="9370" w:type="dxa"/>
            <w:shd w:val="clear" w:color="auto" w:fill="FFFFFF" w:themeFill="background1"/>
          </w:tcPr>
          <w:p>
            <w:pPr>
              <w:widowControl/>
              <w:spacing w:before="40"/>
              <w:jc w:val="left"/>
              <w:rPr>
                <w:color w:val="000000"/>
                <w:szCs w:val="18"/>
                <w:highlight w:val="none"/>
              </w:rPr>
            </w:pPr>
            <w:r>
              <w:rPr>
                <w:rFonts w:hint="eastAsia"/>
                <w:color w:val="000000"/>
                <w:szCs w:val="18"/>
                <w:highlight w:val="none"/>
              </w:rPr>
              <w:t>自</w:t>
            </w:r>
            <w:r>
              <w:rPr>
                <w:highlight w:val="none"/>
              </w:rPr>
              <w:sym w:font="Wingdings" w:char="00A8"/>
            </w:r>
            <w:r>
              <w:rPr>
                <w:rFonts w:hint="eastAsia"/>
                <w:color w:val="000000"/>
                <w:szCs w:val="18"/>
                <w:highlight w:val="none"/>
              </w:rPr>
              <w:t>管理体系建立后/</w:t>
            </w:r>
            <w:r>
              <w:rPr>
                <w:highlight w:val="none"/>
              </w:rPr>
              <w:sym w:font="Wingdings" w:char="00FE"/>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202</w:t>
            </w:r>
            <w:r>
              <w:rPr>
                <w:color w:val="000000"/>
                <w:szCs w:val="18"/>
                <w:highlight w:val="none"/>
                <w:u w:val="single"/>
              </w:rPr>
              <w:t xml:space="preserve">2  </w:t>
            </w:r>
            <w:r>
              <w:rPr>
                <w:rFonts w:hint="eastAsia"/>
                <w:color w:val="000000"/>
                <w:szCs w:val="18"/>
                <w:highlight w:val="none"/>
              </w:rPr>
              <w:t>年</w:t>
            </w:r>
            <w:r>
              <w:rPr>
                <w:rFonts w:hint="eastAsia"/>
                <w:color w:val="000000"/>
                <w:szCs w:val="18"/>
                <w:highlight w:val="none"/>
                <w:u w:val="single"/>
              </w:rPr>
              <w:t xml:space="preserve"> 7</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22</w:t>
            </w:r>
            <w:r>
              <w:rPr>
                <w:rFonts w:hint="eastAsia"/>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18"/>
                <w:highlight w:val="none"/>
              </w:rPr>
            </w:pPr>
            <w:r>
              <w:rPr>
                <w:rFonts w:hint="eastAsia"/>
                <w:color w:val="000000"/>
                <w:szCs w:val="18"/>
                <w:highlight w:val="none"/>
              </w:rPr>
              <w:t>查看</w:t>
            </w:r>
            <w:r>
              <w:rPr>
                <w:rFonts w:hint="eastAsia"/>
                <w:color w:val="000000"/>
                <w:szCs w:val="21"/>
                <w:highlight w:val="none"/>
              </w:rPr>
              <w:t>☑管理评审计划  ☑管理评审记录（工作总结）</w:t>
            </w:r>
            <w:r>
              <w:rPr>
                <w:rFonts w:hint="eastAsia"/>
                <w:color w:val="000000"/>
                <w:szCs w:val="21"/>
                <w:highlight w:val="none"/>
                <w:lang w:eastAsia="zh-CN"/>
              </w:rPr>
              <w:t>【</w:t>
            </w:r>
            <w:r>
              <w:rPr>
                <w:rFonts w:hint="eastAsia"/>
                <w:color w:val="000000"/>
                <w:szCs w:val="21"/>
                <w:highlight w:val="none"/>
                <w:lang w:val="en-US" w:eastAsia="zh-CN"/>
              </w:rPr>
              <w:t>较为简单，已与企业沟通</w:t>
            </w:r>
            <w:r>
              <w:rPr>
                <w:rFonts w:hint="eastAsia"/>
                <w:color w:val="000000"/>
                <w:szCs w:val="21"/>
                <w:highlight w:val="none"/>
                <w:lang w:eastAsia="zh-CN"/>
              </w:rPr>
              <w:t>】</w:t>
            </w:r>
            <w:r>
              <w:rPr>
                <w:rFonts w:hint="eastAsia"/>
                <w:color w:val="000000"/>
                <w:szCs w:val="21"/>
                <w:highlight w:val="none"/>
              </w:rPr>
              <w:t xml:space="preserve">  □管理评审纪要  ☑管理评审报告</w:t>
            </w:r>
          </w:p>
          <w:p>
            <w:pPr>
              <w:widowControl/>
              <w:spacing w:before="40"/>
              <w:jc w:val="left"/>
              <w:rPr>
                <w:color w:val="000000"/>
                <w:szCs w:val="21"/>
                <w:highlight w:val="non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管理评审输入信息</w:t>
                  </w:r>
                </w:p>
              </w:tc>
              <w:tc>
                <w:tcPr>
                  <w:tcW w:w="1869" w:type="dxa"/>
                </w:tcPr>
                <w:p>
                  <w:pPr>
                    <w:widowControl/>
                    <w:spacing w:before="40"/>
                    <w:jc w:val="left"/>
                    <w:rPr>
                      <w:color w:val="000000"/>
                      <w:szCs w:val="21"/>
                      <w:highlight w:val="none"/>
                    </w:rPr>
                  </w:pPr>
                  <w:r>
                    <w:rPr>
                      <w:rFonts w:hint="eastAsia"/>
                      <w:color w:val="000000"/>
                      <w:szCs w:val="21"/>
                      <w:highlight w:val="none"/>
                    </w:rPr>
                    <w:t>评价</w:t>
                  </w:r>
                </w:p>
              </w:tc>
              <w:tc>
                <w:tcPr>
                  <w:tcW w:w="2816"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highlight w:val="none"/>
                    </w:rPr>
                    <w:sym w:font="Wingdings" w:char="00FE"/>
                  </w:r>
                  <w:r>
                    <w:rPr>
                      <w:rFonts w:hint="eastAsia"/>
                      <w:highlight w:val="none"/>
                    </w:rPr>
                    <w:t>以往管理评审所采取措施的情况；</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highlight w:val="none"/>
                    </w:rPr>
                    <w:sym w:font="Wingdings" w:char="00FE"/>
                  </w:r>
                  <w:r>
                    <w:rPr>
                      <w:color w:val="000000"/>
                      <w:szCs w:val="21"/>
                      <w:highlight w:val="none"/>
                    </w:rPr>
                    <w:t>组织所处形势的变化</w:t>
                  </w:r>
                  <w:r>
                    <w:rPr>
                      <w:rFonts w:hint="eastAsia"/>
                      <w:highlight w:val="none"/>
                    </w:rPr>
                    <w:t>；</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 包括执法检查结果</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 OPRP计划和HACCP计划有关的验证活动结果的分析</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为应对风险和机遇所采取措施的有效性</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bl>
          <w:p>
            <w:pPr>
              <w:widowControl/>
              <w:spacing w:before="40"/>
              <w:jc w:val="left"/>
              <w:rPr>
                <w:color w:val="000000"/>
                <w:szCs w:val="21"/>
                <w:highlight w:val="none"/>
              </w:rPr>
            </w:pPr>
            <w:r>
              <w:rPr>
                <w:rFonts w:hint="eastAsia"/>
                <w:color w:val="000000"/>
                <w:szCs w:val="21"/>
                <w:highlight w:val="none"/>
              </w:rPr>
              <w:t xml:space="preserve">   </w:t>
            </w:r>
          </w:p>
          <w:p>
            <w:pPr>
              <w:widowControl/>
              <w:spacing w:before="40"/>
              <w:jc w:val="left"/>
              <w:rPr>
                <w:color w:val="000000"/>
                <w:szCs w:val="21"/>
                <w:highlight w:val="none"/>
                <w:u w:val="single"/>
              </w:rPr>
            </w:pPr>
            <w:r>
              <w:rPr>
                <w:rFonts w:hint="eastAsia"/>
                <w:color w:val="000000"/>
                <w:szCs w:val="21"/>
                <w:highlight w:val="none"/>
              </w:rPr>
              <w:t>对食品安全管理体系的持续适宜性，充分性，有效性的结论。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4708"/>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18"/>
                      <w:highlight w:val="none"/>
                    </w:rPr>
                    <w:t>管理评审输出信息（决策）</w:t>
                  </w:r>
                </w:p>
              </w:tc>
              <w:tc>
                <w:tcPr>
                  <w:tcW w:w="4708" w:type="dxa"/>
                </w:tcPr>
                <w:p>
                  <w:pPr>
                    <w:widowControl/>
                    <w:spacing w:before="40"/>
                    <w:jc w:val="left"/>
                    <w:rPr>
                      <w:color w:val="000000"/>
                      <w:szCs w:val="21"/>
                      <w:highlight w:val="none"/>
                    </w:rPr>
                  </w:pPr>
                  <w:r>
                    <w:rPr>
                      <w:rFonts w:hint="eastAsia"/>
                      <w:color w:val="000000"/>
                      <w:szCs w:val="21"/>
                      <w:highlight w:val="none"/>
                    </w:rPr>
                    <w:t>措施描述（举例）</w:t>
                  </w:r>
                </w:p>
              </w:tc>
              <w:tc>
                <w:tcPr>
                  <w:tcW w:w="1483" w:type="dxa"/>
                </w:tcPr>
                <w:p>
                  <w:pPr>
                    <w:widowControl/>
                    <w:spacing w:before="40"/>
                    <w:jc w:val="left"/>
                    <w:rPr>
                      <w:color w:val="000000"/>
                      <w:szCs w:val="21"/>
                      <w:highlight w:val="none"/>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4708" w:type="dxa"/>
                </w:tcPr>
                <w:p>
                  <w:pPr>
                    <w:widowControl/>
                    <w:spacing w:before="40"/>
                    <w:jc w:val="left"/>
                    <w:rPr>
                      <w:rFonts w:hint="eastAsia" w:eastAsia="仿宋"/>
                      <w:color w:val="000000"/>
                      <w:sz w:val="21"/>
                      <w:szCs w:val="21"/>
                      <w:highlight w:val="none"/>
                      <w:lang w:eastAsia="zh-CN"/>
                    </w:rPr>
                  </w:pPr>
                  <w:r>
                    <w:rPr>
                      <w:rFonts w:hint="eastAsia" w:eastAsia="仿宋"/>
                      <w:color w:val="000000"/>
                      <w:sz w:val="21"/>
                      <w:szCs w:val="21"/>
                      <w:highlight w:val="none"/>
                    </w:rPr>
                    <w:t>⑴进一步加强对员工ISO22000:2018标准和管理体系文件的培训学习，采用自学与辅导相结合的办法，提高对标准的理解能力和对体系文件的执行能力，由办公室拟定具体计划和措施。计划2022年10月底前完成</w:t>
                  </w:r>
                  <w:r>
                    <w:rPr>
                      <w:rFonts w:hint="eastAsia" w:eastAsia="仿宋"/>
                      <w:color w:val="000000"/>
                      <w:sz w:val="21"/>
                      <w:szCs w:val="21"/>
                      <w:highlight w:val="none"/>
                      <w:lang w:eastAsia="zh-CN"/>
                    </w:rPr>
                    <w:t>。</w:t>
                  </w:r>
                </w:p>
                <w:p>
                  <w:pPr>
                    <w:widowControl/>
                    <w:spacing w:before="40"/>
                    <w:jc w:val="left"/>
                    <w:rPr>
                      <w:rFonts w:hint="eastAsia" w:eastAsia="仿宋"/>
                      <w:color w:val="000000"/>
                      <w:szCs w:val="21"/>
                      <w:highlight w:val="none"/>
                      <w:lang w:eastAsia="zh-CN"/>
                    </w:rPr>
                  </w:pPr>
                  <w:r>
                    <w:rPr>
                      <w:rFonts w:hint="eastAsia" w:eastAsia="仿宋"/>
                      <w:color w:val="000000"/>
                      <w:sz w:val="21"/>
                      <w:szCs w:val="21"/>
                      <w:highlight w:val="none"/>
                    </w:rPr>
                    <w:t>⑵加强对检验人员的培训工作，提高检验业务水平，确保产品质量的稳定。由销售部负责与有关部门联系委培事宜。计划2022年10月底前完成</w:t>
                  </w:r>
                  <w:r>
                    <w:rPr>
                      <w:rFonts w:hint="eastAsia" w:eastAsia="仿宋"/>
                      <w:color w:val="000000"/>
                      <w:sz w:val="21"/>
                      <w:szCs w:val="21"/>
                      <w:highlight w:val="none"/>
                      <w:lang w:eastAsia="zh-CN"/>
                    </w:rPr>
                    <w:t>。</w:t>
                  </w:r>
                </w:p>
              </w:tc>
              <w:tc>
                <w:tcPr>
                  <w:tcW w:w="1483" w:type="dxa"/>
                </w:tcPr>
                <w:p>
                  <w:pPr>
                    <w:widowControl/>
                    <w:spacing w:before="40"/>
                    <w:jc w:val="left"/>
                    <w:rPr>
                      <w:rFonts w:hint="eastAsia"/>
                      <w:highlight w:val="none"/>
                    </w:rPr>
                  </w:pPr>
                  <w:r>
                    <w:rPr>
                      <w:rFonts w:hint="eastAsia"/>
                      <w:color w:val="000000"/>
                      <w:szCs w:val="21"/>
                      <w:highlight w:val="none"/>
                    </w:rPr>
                    <w:sym w:font="Wingdings 2" w:char="00A3"/>
                  </w:r>
                  <w:r>
                    <w:rPr>
                      <w:rFonts w:hint="eastAsia"/>
                      <w:highlight w:val="none"/>
                    </w:rPr>
                    <w:t>已落实</w:t>
                  </w:r>
                </w:p>
                <w:p>
                  <w:pPr>
                    <w:widowControl/>
                    <w:spacing w:before="40"/>
                    <w:jc w:val="left"/>
                    <w:rPr>
                      <w:color w:val="000000"/>
                      <w:szCs w:val="21"/>
                      <w:highlight w:val="none"/>
                    </w:rPr>
                  </w:pP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4708" w:type="dxa"/>
                </w:tcPr>
                <w:p>
                  <w:pPr>
                    <w:widowControl/>
                    <w:spacing w:before="40"/>
                    <w:jc w:val="left"/>
                    <w:rPr>
                      <w:color w:val="000000"/>
                      <w:szCs w:val="21"/>
                      <w:highlight w:val="none"/>
                    </w:rPr>
                  </w:pPr>
                  <w:r>
                    <w:rPr>
                      <w:rFonts w:hint="eastAsia"/>
                      <w:color w:val="000000"/>
                      <w:szCs w:val="21"/>
                      <w:highlight w:val="none"/>
                    </w:rPr>
                    <w:t>——</w:t>
                  </w:r>
                </w:p>
              </w:tc>
              <w:tc>
                <w:tcPr>
                  <w:tcW w:w="1483" w:type="dxa"/>
                </w:tcPr>
                <w:p>
                  <w:pPr>
                    <w:widowControl/>
                    <w:spacing w:before="40"/>
                    <w:jc w:val="left"/>
                    <w:rPr>
                      <w:rFonts w:hint="eastAsia"/>
                      <w:highlight w:val="none"/>
                    </w:rPr>
                  </w:pPr>
                  <w:r>
                    <w:rPr>
                      <w:rFonts w:hint="eastAsia"/>
                      <w:color w:val="000000"/>
                      <w:szCs w:val="21"/>
                      <w:highlight w:val="none"/>
                    </w:rPr>
                    <w:t>□</w:t>
                  </w:r>
                  <w:r>
                    <w:rPr>
                      <w:rFonts w:hint="eastAsia"/>
                      <w:highlight w:val="none"/>
                    </w:rPr>
                    <w:t>已落实</w:t>
                  </w:r>
                </w:p>
                <w:p>
                  <w:pPr>
                    <w:widowControl/>
                    <w:spacing w:before="40"/>
                    <w:jc w:val="left"/>
                    <w:rPr>
                      <w:color w:val="000000"/>
                      <w:szCs w:val="21"/>
                      <w:highlight w:val="none"/>
                    </w:rPr>
                  </w:pP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4708" w:type="dxa"/>
                </w:tcPr>
                <w:p>
                  <w:pPr>
                    <w:widowControl/>
                    <w:spacing w:before="40"/>
                    <w:jc w:val="left"/>
                    <w:rPr>
                      <w:color w:val="000000"/>
                      <w:szCs w:val="21"/>
                      <w:highlight w:val="none"/>
                    </w:rPr>
                  </w:pPr>
                  <w:r>
                    <w:rPr>
                      <w:rFonts w:hint="eastAsia"/>
                      <w:color w:val="000000"/>
                      <w:szCs w:val="21"/>
                      <w:highlight w:val="none"/>
                    </w:rPr>
                    <w:t>——</w:t>
                  </w:r>
                </w:p>
              </w:tc>
              <w:tc>
                <w:tcPr>
                  <w:tcW w:w="1483" w:type="dxa"/>
                </w:tcPr>
                <w:p>
                  <w:pPr>
                    <w:widowControl/>
                    <w:spacing w:before="40"/>
                    <w:jc w:val="left"/>
                    <w:rPr>
                      <w:rFonts w:hint="eastAsia"/>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p>
                <w:p>
                  <w:pPr>
                    <w:widowControl/>
                    <w:spacing w:before="40"/>
                    <w:jc w:val="left"/>
                    <w:rPr>
                      <w:color w:val="000000"/>
                      <w:szCs w:val="21"/>
                      <w:highlight w:val="none"/>
                    </w:rPr>
                  </w:pPr>
                  <w:r>
                    <w:rPr>
                      <w:rFonts w:hint="eastAsia"/>
                      <w:color w:val="000000"/>
                      <w:szCs w:val="21"/>
                      <w:highlight w:val="none"/>
                    </w:rPr>
                    <w:t>□</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4708" w:type="dxa"/>
                </w:tcPr>
                <w:p>
                  <w:pPr>
                    <w:widowControl/>
                    <w:spacing w:before="40"/>
                    <w:jc w:val="left"/>
                    <w:rPr>
                      <w:color w:val="000000"/>
                      <w:szCs w:val="21"/>
                      <w:highlight w:val="none"/>
                    </w:rPr>
                  </w:pPr>
                  <w:r>
                    <w:rPr>
                      <w:rFonts w:hint="eastAsia"/>
                      <w:color w:val="000000"/>
                      <w:szCs w:val="21"/>
                      <w:highlight w:val="none"/>
                    </w:rPr>
                    <w:t>——</w:t>
                  </w:r>
                </w:p>
              </w:tc>
              <w:tc>
                <w:tcPr>
                  <w:tcW w:w="1483" w:type="dxa"/>
                </w:tcPr>
                <w:p>
                  <w:pPr>
                    <w:widowControl/>
                    <w:spacing w:before="40"/>
                    <w:jc w:val="left"/>
                    <w:rPr>
                      <w:rFonts w:hint="eastAsia"/>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p>
                <w:p>
                  <w:pPr>
                    <w:widowControl/>
                    <w:spacing w:before="40"/>
                    <w:jc w:val="left"/>
                    <w:rPr>
                      <w:color w:val="000000"/>
                      <w:szCs w:val="21"/>
                      <w:highlight w:val="none"/>
                    </w:rPr>
                  </w:pP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4708" w:type="dxa"/>
                </w:tcPr>
                <w:p>
                  <w:pPr>
                    <w:widowControl/>
                    <w:spacing w:before="40"/>
                    <w:jc w:val="left"/>
                    <w:rPr>
                      <w:color w:val="000000"/>
                      <w:szCs w:val="21"/>
                      <w:highlight w:val="none"/>
                    </w:rPr>
                  </w:pPr>
                  <w:r>
                    <w:rPr>
                      <w:rFonts w:hint="eastAsia"/>
                      <w:color w:val="000000"/>
                      <w:szCs w:val="21"/>
                      <w:highlight w:val="none"/>
                    </w:rPr>
                    <w:t>——</w:t>
                  </w:r>
                </w:p>
              </w:tc>
              <w:tc>
                <w:tcPr>
                  <w:tcW w:w="1483" w:type="dxa"/>
                </w:tcPr>
                <w:p>
                  <w:pPr>
                    <w:widowControl/>
                    <w:spacing w:before="40"/>
                    <w:jc w:val="left"/>
                    <w:rPr>
                      <w:rFonts w:hint="eastAsia"/>
                      <w:highlight w:val="none"/>
                    </w:rPr>
                  </w:pPr>
                  <w:r>
                    <w:rPr>
                      <w:rFonts w:hint="eastAsia"/>
                      <w:color w:val="000000"/>
                      <w:szCs w:val="21"/>
                      <w:highlight w:val="none"/>
                    </w:rPr>
                    <w:t>□</w:t>
                  </w:r>
                  <w:r>
                    <w:rPr>
                      <w:rFonts w:hint="eastAsia"/>
                      <w:highlight w:val="none"/>
                    </w:rPr>
                    <w:t>已落实</w:t>
                  </w:r>
                </w:p>
                <w:p>
                  <w:pPr>
                    <w:widowControl/>
                    <w:spacing w:before="40"/>
                    <w:jc w:val="left"/>
                    <w:rPr>
                      <w:color w:val="000000"/>
                      <w:szCs w:val="21"/>
                      <w:highlight w:val="none"/>
                    </w:rPr>
                  </w:pPr>
                  <w:r>
                    <w:rPr>
                      <w:rFonts w:hint="eastAsia"/>
                      <w:color w:val="000000"/>
                      <w:szCs w:val="21"/>
                      <w:highlight w:val="none"/>
                    </w:rPr>
                    <w:t>□</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4708" w:type="dxa"/>
                </w:tcPr>
                <w:p>
                  <w:pPr>
                    <w:widowControl/>
                    <w:spacing w:before="40"/>
                    <w:jc w:val="left"/>
                    <w:rPr>
                      <w:color w:val="000000"/>
                      <w:szCs w:val="21"/>
                      <w:highlight w:val="none"/>
                    </w:rPr>
                  </w:pPr>
                  <w:r>
                    <w:rPr>
                      <w:rFonts w:hint="eastAsia"/>
                      <w:color w:val="000000"/>
                      <w:szCs w:val="21"/>
                      <w:highlight w:val="none"/>
                    </w:rPr>
                    <w:t>——</w:t>
                  </w:r>
                </w:p>
              </w:tc>
              <w:tc>
                <w:tcPr>
                  <w:tcW w:w="1483" w:type="dxa"/>
                </w:tcPr>
                <w:p>
                  <w:pPr>
                    <w:widowControl/>
                    <w:spacing w:before="40"/>
                    <w:jc w:val="left"/>
                    <w:rPr>
                      <w:rFonts w:hint="eastAsia"/>
                      <w:highlight w:val="none"/>
                    </w:rPr>
                  </w:pPr>
                  <w:r>
                    <w:rPr>
                      <w:rFonts w:hint="eastAsia"/>
                      <w:color w:val="000000"/>
                      <w:szCs w:val="21"/>
                      <w:highlight w:val="none"/>
                    </w:rPr>
                    <w:t>□</w:t>
                  </w:r>
                  <w:r>
                    <w:rPr>
                      <w:rFonts w:hint="eastAsia"/>
                      <w:highlight w:val="none"/>
                    </w:rPr>
                    <w:t>已落实</w:t>
                  </w:r>
                </w:p>
                <w:p>
                  <w:pPr>
                    <w:widowControl/>
                    <w:spacing w:before="40"/>
                    <w:jc w:val="left"/>
                    <w:rPr>
                      <w:color w:val="000000"/>
                      <w:szCs w:val="21"/>
                      <w:highlight w:val="none"/>
                    </w:rPr>
                  </w:pPr>
                  <w:r>
                    <w:rPr>
                      <w:rFonts w:hint="eastAsia"/>
                      <w:color w:val="000000"/>
                      <w:szCs w:val="21"/>
                      <w:highlight w:val="none"/>
                    </w:rPr>
                    <w:t>□</w:t>
                  </w:r>
                  <w:r>
                    <w:rPr>
                      <w:rFonts w:hint="eastAsia"/>
                      <w:highlight w:val="none"/>
                    </w:rPr>
                    <w:t>已部分落实</w:t>
                  </w:r>
                </w:p>
              </w:tc>
            </w:tr>
          </w:tbl>
          <w:p>
            <w:pPr>
              <w:rPr>
                <w:highlight w:val="none"/>
                <w:u w:val="single"/>
              </w:rPr>
            </w:pPr>
            <w:r>
              <w:rPr>
                <w:rFonts w:hint="eastAsia"/>
                <w:highlight w:val="none"/>
              </w:rPr>
              <w:sym w:font="Wingdings" w:char="00FE"/>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计划2022年10月底前完成</w:t>
            </w:r>
            <w:r>
              <w:rPr>
                <w:rFonts w:hint="eastAsia"/>
                <w:highlight w:val="none"/>
                <w:u w:val="single"/>
              </w:rPr>
              <w:t xml:space="preserve">     </w:t>
            </w:r>
          </w:p>
          <w:p>
            <w:pPr>
              <w:rPr>
                <w:highlight w:val="none"/>
              </w:rPr>
            </w:pP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1" w:hRule="atLeast"/>
        </w:trPr>
        <w:tc>
          <w:tcPr>
            <w:tcW w:w="2044" w:type="dxa"/>
            <w:vMerge w:val="restart"/>
            <w:shd w:val="clear" w:color="auto" w:fill="FFFFFF" w:themeFill="background1"/>
          </w:tcPr>
          <w:p>
            <w:pPr>
              <w:rPr>
                <w:highlight w:val="none"/>
              </w:rPr>
            </w:pPr>
            <w:r>
              <w:rPr>
                <w:rFonts w:hint="eastAsia"/>
                <w:highlight w:val="none"/>
              </w:rPr>
              <w:t>不符合与纠正措施</w:t>
            </w:r>
          </w:p>
        </w:tc>
        <w:tc>
          <w:tcPr>
            <w:tcW w:w="952" w:type="dxa"/>
            <w:vMerge w:val="restart"/>
            <w:shd w:val="clear" w:color="auto" w:fill="FFFFFF" w:themeFill="background1"/>
          </w:tcPr>
          <w:p>
            <w:pPr>
              <w:rPr>
                <w:highlight w:val="none"/>
              </w:rPr>
            </w:pPr>
            <w:r>
              <w:rPr>
                <w:rFonts w:hint="eastAsia"/>
                <w:highlight w:val="none"/>
              </w:rPr>
              <w:t>F10.1</w:t>
            </w:r>
          </w:p>
        </w:tc>
        <w:tc>
          <w:tcPr>
            <w:tcW w:w="761" w:type="dxa"/>
            <w:shd w:val="clear" w:color="auto" w:fill="FFFFFF" w:themeFill="background1"/>
          </w:tcPr>
          <w:p>
            <w:pPr>
              <w:rPr>
                <w:highlight w:val="none"/>
              </w:rPr>
            </w:pPr>
            <w:r>
              <w:rPr>
                <w:rFonts w:hint="eastAsia"/>
                <w:highlight w:val="none"/>
              </w:rPr>
              <w:t>文件名称</w:t>
            </w:r>
          </w:p>
        </w:tc>
        <w:tc>
          <w:tcPr>
            <w:tcW w:w="9370" w:type="dxa"/>
            <w:shd w:val="clear" w:color="auto" w:fill="FFFFFF" w:themeFill="background1"/>
          </w:tcPr>
          <w:p>
            <w:pPr>
              <w:rPr>
                <w:highlight w:val="none"/>
              </w:rPr>
            </w:pPr>
            <w:r>
              <w:rPr>
                <w:rFonts w:hint="eastAsia"/>
                <w:highlight w:val="none"/>
              </w:rPr>
              <w:t xml:space="preserve"> 如：</w:t>
            </w:r>
            <w:r>
              <w:rPr>
                <w:highlight w:val="none"/>
              </w:rPr>
              <w:sym w:font="Wingdings" w:char="00FE"/>
            </w:r>
            <w:r>
              <w:rPr>
                <w:rFonts w:hint="eastAsia"/>
                <w:szCs w:val="22"/>
                <w:highlight w:val="none"/>
              </w:rPr>
              <w:t>《不合格控制程序》、</w:t>
            </w:r>
            <w:r>
              <w:rPr>
                <w:highlight w:val="none"/>
              </w:rPr>
              <w:sym w:font="Wingdings" w:char="00FE"/>
            </w:r>
            <w:r>
              <w:rPr>
                <w:rFonts w:hint="eastAsia"/>
                <w:szCs w:val="22"/>
                <w:highlight w:val="none"/>
              </w:rPr>
              <w:t>《纠正和预防措施控制程序》</w:t>
            </w:r>
          </w:p>
        </w:tc>
        <w:tc>
          <w:tcPr>
            <w:tcW w:w="1587" w:type="dxa"/>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2044" w:type="dxa"/>
            <w:vMerge w:val="continue"/>
            <w:shd w:val="clear" w:color="auto" w:fill="FFFFFF" w:themeFill="background1"/>
          </w:tcPr>
          <w:p>
            <w:pPr>
              <w:rPr>
                <w:highlight w:val="none"/>
              </w:rPr>
            </w:pPr>
          </w:p>
        </w:tc>
        <w:tc>
          <w:tcPr>
            <w:tcW w:w="952" w:type="dxa"/>
            <w:vMerge w:val="continue"/>
            <w:shd w:val="clear" w:color="auto" w:fill="FFFFFF" w:themeFill="background1"/>
          </w:tcPr>
          <w:p>
            <w:pPr>
              <w:rPr>
                <w:highlight w:val="none"/>
              </w:rPr>
            </w:pPr>
          </w:p>
        </w:tc>
        <w:tc>
          <w:tcPr>
            <w:tcW w:w="761" w:type="dxa"/>
            <w:shd w:val="clear" w:color="auto" w:fill="FFFFFF" w:themeFill="background1"/>
          </w:tcPr>
          <w:p>
            <w:pPr>
              <w:rPr>
                <w:highlight w:val="none"/>
              </w:rPr>
            </w:pPr>
            <w:r>
              <w:rPr>
                <w:rFonts w:hint="eastAsia"/>
                <w:highlight w:val="none"/>
              </w:rPr>
              <w:t>运行证据</w:t>
            </w:r>
          </w:p>
        </w:tc>
        <w:tc>
          <w:tcPr>
            <w:tcW w:w="9370" w:type="dxa"/>
            <w:shd w:val="clear" w:color="auto" w:fill="FFFFFF" w:themeFill="background1"/>
          </w:tcPr>
          <w:p>
            <w:pPr>
              <w:rPr>
                <w:highlight w:val="none"/>
              </w:rPr>
            </w:pPr>
            <w:r>
              <w:rPr>
                <w:rFonts w:hint="eastAsia"/>
                <w:highlight w:val="none"/>
              </w:rPr>
              <w:t>不符合的来源：</w:t>
            </w:r>
          </w:p>
          <w:p>
            <w:pPr>
              <w:rPr>
                <w:highlight w:val="none"/>
              </w:rPr>
            </w:pPr>
            <w:r>
              <w:rPr>
                <w:highlight w:val="none"/>
              </w:rPr>
              <w:sym w:font="Wingdings" w:char="00A8"/>
            </w:r>
            <w:r>
              <w:rPr>
                <w:rFonts w:hint="eastAsia"/>
                <w:highlight w:val="none"/>
              </w:rPr>
              <w:t xml:space="preserve"> 相关方投诉   </w:t>
            </w:r>
            <w:r>
              <w:rPr>
                <w:rFonts w:hint="eastAsia"/>
                <w:highlight w:val="none"/>
              </w:rPr>
              <w:sym w:font="Wingdings" w:char="00A8"/>
            </w:r>
            <w:r>
              <w:rPr>
                <w:rFonts w:hint="eastAsia"/>
                <w:highlight w:val="none"/>
              </w:rPr>
              <w:t xml:space="preserve">产品检查中出现的问题   </w:t>
            </w:r>
            <w:r>
              <w:rPr>
                <w:rFonts w:hint="eastAsia"/>
                <w:highlight w:val="none"/>
              </w:rPr>
              <w:sym w:font="Wingdings" w:char="00A8"/>
            </w:r>
            <w:r>
              <w:rPr>
                <w:rFonts w:hint="eastAsia"/>
                <w:highlight w:val="none"/>
              </w:rPr>
              <w:t xml:space="preserve">工作运行中的问题  </w:t>
            </w:r>
            <w:r>
              <w:rPr>
                <w:rFonts w:hint="eastAsia"/>
                <w:highlight w:val="none"/>
              </w:rPr>
              <w:sym w:font="Wingdings" w:char="00FE"/>
            </w:r>
            <w:r>
              <w:rPr>
                <w:rFonts w:hint="eastAsia"/>
                <w:highlight w:val="none"/>
              </w:rPr>
              <w:t>其他——</w:t>
            </w:r>
            <w:r>
              <w:rPr>
                <w:rFonts w:hint="eastAsia"/>
                <w:highlight w:val="none"/>
                <w:lang w:val="en-US" w:eastAsia="zh-CN"/>
              </w:rPr>
              <w:t>审核周期内</w:t>
            </w:r>
            <w:r>
              <w:rPr>
                <w:rFonts w:hint="eastAsia"/>
                <w:highlight w:val="none"/>
              </w:rPr>
              <w:t xml:space="preserve">未发生 </w:t>
            </w:r>
          </w:p>
          <w:p>
            <w:pPr>
              <w:rPr>
                <w:highlight w:val="none"/>
              </w:rPr>
            </w:pPr>
            <w:r>
              <w:rPr>
                <w:rFonts w:hint="eastAsia"/>
                <w:highlight w:val="none"/>
              </w:rPr>
              <w:t>抽查采取纠正措施相关记录名称：</w:t>
            </w:r>
            <w:r>
              <w:rPr>
                <w:rFonts w:hint="eastAsia"/>
                <w:highlight w:val="none"/>
                <w:u w:val="single"/>
              </w:rPr>
              <w:t xml:space="preserve"> </w:t>
            </w:r>
            <w:r>
              <w:rPr>
                <w:highlight w:val="none"/>
                <w:u w:val="single"/>
              </w:rPr>
              <w:t xml:space="preserve">   </w:t>
            </w:r>
            <w:r>
              <w:rPr>
                <w:rFonts w:hint="eastAsia"/>
                <w:highlight w:val="none"/>
                <w:u w:val="single"/>
              </w:rPr>
              <w:t>《——》</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u w:val="single"/>
              </w:rPr>
              <w:t xml:space="preserve"> </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66"/>
              <w:gridCol w:w="1118"/>
              <w:gridCol w:w="2126"/>
              <w:gridCol w:w="1985"/>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rPr>
                      <w:rFonts w:ascii="宋体" w:hAnsi="宋体"/>
                      <w:szCs w:val="21"/>
                      <w:highlight w:val="none"/>
                    </w:rPr>
                  </w:pPr>
                  <w:r>
                    <w:rPr>
                      <w:rFonts w:hint="eastAsia" w:ascii="宋体" w:hAnsi="宋体"/>
                      <w:szCs w:val="21"/>
                      <w:highlight w:val="none"/>
                    </w:rPr>
                    <w:t>日期</w:t>
                  </w:r>
                </w:p>
              </w:tc>
              <w:tc>
                <w:tcPr>
                  <w:tcW w:w="1766" w:type="dxa"/>
                </w:tcPr>
                <w:p>
                  <w:pPr>
                    <w:rPr>
                      <w:rFonts w:ascii="宋体" w:hAnsi="宋体"/>
                      <w:szCs w:val="21"/>
                      <w:highlight w:val="none"/>
                    </w:rPr>
                  </w:pPr>
                  <w:r>
                    <w:rPr>
                      <w:rFonts w:hint="eastAsia" w:ascii="宋体" w:hAnsi="宋体"/>
                      <w:szCs w:val="21"/>
                      <w:highlight w:val="none"/>
                    </w:rPr>
                    <w:t>不符合描述</w:t>
                  </w:r>
                </w:p>
              </w:tc>
              <w:tc>
                <w:tcPr>
                  <w:tcW w:w="1118" w:type="dxa"/>
                </w:tcPr>
                <w:p>
                  <w:pPr>
                    <w:rPr>
                      <w:rFonts w:ascii="宋体" w:hAnsi="宋体"/>
                      <w:szCs w:val="21"/>
                      <w:highlight w:val="none"/>
                    </w:rPr>
                  </w:pPr>
                  <w:r>
                    <w:rPr>
                      <w:rFonts w:hint="eastAsia" w:ascii="宋体" w:hAnsi="宋体"/>
                      <w:szCs w:val="21"/>
                      <w:highlight w:val="none"/>
                    </w:rPr>
                    <w:t>不符合纠正</w:t>
                  </w:r>
                </w:p>
              </w:tc>
              <w:tc>
                <w:tcPr>
                  <w:tcW w:w="2126" w:type="dxa"/>
                </w:tcPr>
                <w:p>
                  <w:pPr>
                    <w:rPr>
                      <w:rFonts w:ascii="宋体" w:hAnsi="宋体"/>
                      <w:szCs w:val="21"/>
                      <w:highlight w:val="none"/>
                    </w:rPr>
                  </w:pPr>
                  <w:r>
                    <w:rPr>
                      <w:rFonts w:hint="eastAsia" w:ascii="宋体" w:hAnsi="宋体"/>
                      <w:szCs w:val="21"/>
                      <w:highlight w:val="none"/>
                    </w:rPr>
                    <w:t>原因分析</w:t>
                  </w:r>
                </w:p>
              </w:tc>
              <w:tc>
                <w:tcPr>
                  <w:tcW w:w="1985" w:type="dxa"/>
                </w:tcPr>
                <w:p>
                  <w:pPr>
                    <w:rPr>
                      <w:rFonts w:ascii="宋体" w:hAnsi="宋体"/>
                      <w:szCs w:val="21"/>
                      <w:highlight w:val="none"/>
                    </w:rPr>
                  </w:pPr>
                  <w:r>
                    <w:rPr>
                      <w:rFonts w:hint="eastAsia" w:ascii="宋体" w:hAnsi="宋体"/>
                      <w:szCs w:val="21"/>
                      <w:highlight w:val="none"/>
                    </w:rPr>
                    <w:t>纠正措施</w:t>
                  </w:r>
                </w:p>
              </w:tc>
              <w:tc>
                <w:tcPr>
                  <w:tcW w:w="1251" w:type="dxa"/>
                </w:tcPr>
                <w:p>
                  <w:pPr>
                    <w:rPr>
                      <w:rFonts w:ascii="宋体" w:hAnsi="宋体"/>
                      <w:szCs w:val="21"/>
                      <w:highlight w:val="none"/>
                    </w:rPr>
                  </w:pPr>
                  <w:r>
                    <w:rPr>
                      <w:rFonts w:hint="eastAsia" w:ascii="宋体" w:hAnsi="宋体"/>
                      <w:szCs w:val="21"/>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highlight w:val="none"/>
                    </w:rPr>
                  </w:pPr>
                </w:p>
              </w:tc>
              <w:tc>
                <w:tcPr>
                  <w:tcW w:w="1766" w:type="dxa"/>
                </w:tcPr>
                <w:p>
                  <w:pPr>
                    <w:rPr>
                      <w:rFonts w:ascii="宋体" w:hAnsi="宋体"/>
                      <w:szCs w:val="21"/>
                      <w:highlight w:val="none"/>
                    </w:rPr>
                  </w:pPr>
                </w:p>
              </w:tc>
              <w:tc>
                <w:tcPr>
                  <w:tcW w:w="1118" w:type="dxa"/>
                </w:tcPr>
                <w:p>
                  <w:pPr>
                    <w:rPr>
                      <w:rFonts w:ascii="宋体" w:hAnsi="宋体"/>
                      <w:szCs w:val="21"/>
                      <w:highlight w:val="none"/>
                    </w:rPr>
                  </w:pPr>
                </w:p>
              </w:tc>
              <w:tc>
                <w:tcPr>
                  <w:tcW w:w="2126" w:type="dxa"/>
                </w:tcPr>
                <w:p>
                  <w:pPr>
                    <w:rPr>
                      <w:rFonts w:ascii="宋体" w:hAnsi="宋体"/>
                      <w:szCs w:val="21"/>
                      <w:highlight w:val="none"/>
                    </w:rPr>
                  </w:pPr>
                </w:p>
              </w:tc>
              <w:tc>
                <w:tcPr>
                  <w:tcW w:w="1985" w:type="dxa"/>
                </w:tcPr>
                <w:p>
                  <w:pPr>
                    <w:rPr>
                      <w:rFonts w:ascii="宋体" w:hAnsi="宋体"/>
                      <w:szCs w:val="21"/>
                      <w:highlight w:val="none"/>
                    </w:rPr>
                  </w:pPr>
                </w:p>
              </w:tc>
              <w:tc>
                <w:tcPr>
                  <w:tcW w:w="1251" w:type="dxa"/>
                </w:tcPr>
                <w:p>
                  <w:pPr>
                    <w:rPr>
                      <w:rFonts w:ascii="宋体" w:hAnsi="宋体"/>
                      <w:szCs w:val="21"/>
                      <w:highlight w:val="none"/>
                    </w:rPr>
                  </w:pPr>
                  <w:r>
                    <w:rPr>
                      <w:rFonts w:hint="eastAsia" w:ascii="宋体" w:hAnsi="宋体"/>
                      <w:szCs w:val="21"/>
                      <w:highlight w:val="none"/>
                    </w:rPr>
                    <w:t>有效</w:t>
                  </w:r>
                </w:p>
              </w:tc>
            </w:tr>
          </w:tbl>
          <w:p>
            <w:pPr>
              <w:rPr>
                <w:highlight w:val="none"/>
              </w:rPr>
            </w:pP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9" w:hRule="atLeast"/>
        </w:trPr>
        <w:tc>
          <w:tcPr>
            <w:tcW w:w="2044" w:type="dxa"/>
            <w:vMerge w:val="restart"/>
            <w:shd w:val="clear" w:color="auto" w:fill="FFFFFF" w:themeFill="background1"/>
          </w:tcPr>
          <w:p>
            <w:pPr>
              <w:rPr>
                <w:highlight w:val="none"/>
              </w:rPr>
            </w:pPr>
            <w:r>
              <w:rPr>
                <w:rFonts w:hint="eastAsia"/>
                <w:highlight w:val="none"/>
              </w:rPr>
              <w:t>持续改进</w:t>
            </w:r>
          </w:p>
        </w:tc>
        <w:tc>
          <w:tcPr>
            <w:tcW w:w="952" w:type="dxa"/>
            <w:vMerge w:val="restart"/>
            <w:shd w:val="clear" w:color="auto" w:fill="FFFFFF" w:themeFill="background1"/>
          </w:tcPr>
          <w:p>
            <w:pPr>
              <w:rPr>
                <w:highlight w:val="none"/>
              </w:rPr>
            </w:pPr>
            <w:r>
              <w:rPr>
                <w:rFonts w:hint="eastAsia"/>
                <w:highlight w:val="none"/>
              </w:rPr>
              <w:t>F10.2</w:t>
            </w:r>
          </w:p>
        </w:tc>
        <w:tc>
          <w:tcPr>
            <w:tcW w:w="761" w:type="dxa"/>
            <w:shd w:val="clear" w:color="auto" w:fill="FFFFFF" w:themeFill="background1"/>
          </w:tcPr>
          <w:p>
            <w:pPr>
              <w:rPr>
                <w:highlight w:val="none"/>
              </w:rPr>
            </w:pPr>
            <w:r>
              <w:rPr>
                <w:rFonts w:hint="eastAsia"/>
                <w:highlight w:val="none"/>
              </w:rPr>
              <w:t>文件名称</w:t>
            </w:r>
          </w:p>
        </w:tc>
        <w:tc>
          <w:tcPr>
            <w:tcW w:w="9370" w:type="dxa"/>
            <w:shd w:val="clear" w:color="auto" w:fill="FFFFFF" w:themeFill="background1"/>
          </w:tcPr>
          <w:p>
            <w:pPr>
              <w:rPr>
                <w:highlight w:val="none"/>
              </w:rPr>
            </w:pPr>
            <w:r>
              <w:rPr>
                <w:rFonts w:hint="eastAsia"/>
                <w:highlight w:val="none"/>
              </w:rPr>
              <w:t>如：</w:t>
            </w:r>
            <w:r>
              <w:rPr>
                <w:rFonts w:hint="eastAsia"/>
                <w:highlight w:val="none"/>
              </w:rPr>
              <w:sym w:font="Wingdings" w:char="00FE"/>
            </w:r>
            <w:r>
              <w:rPr>
                <w:rFonts w:hint="eastAsia"/>
                <w:highlight w:val="none"/>
              </w:rPr>
              <w:t>管理手册10.2条款</w:t>
            </w:r>
          </w:p>
        </w:tc>
        <w:tc>
          <w:tcPr>
            <w:tcW w:w="1587" w:type="dxa"/>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721" w:hRule="atLeast"/>
        </w:trPr>
        <w:tc>
          <w:tcPr>
            <w:tcW w:w="2044" w:type="dxa"/>
            <w:vMerge w:val="continue"/>
            <w:shd w:val="clear" w:color="auto" w:fill="FFFFFF" w:themeFill="background1"/>
          </w:tcPr>
          <w:p>
            <w:pPr>
              <w:rPr>
                <w:highlight w:val="none"/>
              </w:rPr>
            </w:pPr>
          </w:p>
        </w:tc>
        <w:tc>
          <w:tcPr>
            <w:tcW w:w="952" w:type="dxa"/>
            <w:vMerge w:val="continue"/>
            <w:shd w:val="clear" w:color="auto" w:fill="FFFFFF" w:themeFill="background1"/>
          </w:tcPr>
          <w:p>
            <w:pPr>
              <w:rPr>
                <w:highlight w:val="none"/>
              </w:rPr>
            </w:pPr>
          </w:p>
        </w:tc>
        <w:tc>
          <w:tcPr>
            <w:tcW w:w="761" w:type="dxa"/>
            <w:shd w:val="clear" w:color="auto" w:fill="FFFFFF" w:themeFill="background1"/>
          </w:tcPr>
          <w:p>
            <w:pPr>
              <w:rPr>
                <w:highlight w:val="none"/>
              </w:rPr>
            </w:pPr>
            <w:r>
              <w:rPr>
                <w:rFonts w:hint="eastAsia"/>
                <w:highlight w:val="none"/>
              </w:rPr>
              <w:t>运行证据</w:t>
            </w:r>
          </w:p>
        </w:tc>
        <w:tc>
          <w:tcPr>
            <w:tcW w:w="9370" w:type="dxa"/>
            <w:shd w:val="clear" w:color="auto" w:fill="FFFFFF" w:themeFill="background1"/>
          </w:tcPr>
          <w:p>
            <w:pPr>
              <w:rPr>
                <w:highlight w:val="none"/>
              </w:rPr>
            </w:pPr>
            <w:r>
              <w:rPr>
                <w:rFonts w:hint="eastAsia"/>
                <w:highlight w:val="none"/>
              </w:rPr>
              <w:t xml:space="preserve">组织已持续改进食品安全管理体系的适宜性、充分性和有效性，以提升食品安全绩效。 </w:t>
            </w:r>
          </w:p>
          <w:p>
            <w:pPr>
              <w:rPr>
                <w:highlight w:val="none"/>
              </w:rPr>
            </w:pPr>
            <w:r>
              <w:rPr>
                <w:rFonts w:hint="eastAsia"/>
                <w:highlight w:val="none"/>
              </w:rPr>
              <w:t>组织考虑了分析和评价的结果以及管理评审的输出，确定是否存在需求或机遇，这些需求或机遇应作为持续改进的一部分加以应对。</w:t>
            </w:r>
          </w:p>
          <w:p>
            <w:pPr>
              <w:rPr>
                <w:highlight w:val="none"/>
              </w:rPr>
            </w:pPr>
          </w:p>
          <w:p>
            <w:pPr>
              <w:rPr>
                <w:highlight w:val="none"/>
              </w:rPr>
            </w:pPr>
            <w:r>
              <w:rPr>
                <w:rFonts w:hint="eastAsia"/>
                <w:highlight w:val="none"/>
              </w:rPr>
              <w:sym w:font="Wingdings" w:char="00A8"/>
            </w:r>
            <w:r>
              <w:rPr>
                <w:rFonts w:hint="eastAsia"/>
                <w:highlight w:val="none"/>
              </w:rPr>
              <w:t xml:space="preserve"> 改进措施已落实</w:t>
            </w:r>
          </w:p>
          <w:p>
            <w:pPr>
              <w:rPr>
                <w:rFonts w:hint="default" w:eastAsia="宋体"/>
                <w:highlight w:val="none"/>
                <w:u w:val="single"/>
                <w:lang w:val="en-US" w:eastAsia="zh-CN"/>
              </w:rPr>
            </w:pPr>
            <w:r>
              <w:rPr>
                <w:rFonts w:hint="eastAsia"/>
                <w:highlight w:val="none"/>
              </w:rPr>
              <w:sym w:font="Wingdings" w:char="00FE"/>
            </w:r>
            <w:r>
              <w:rPr>
                <w:rFonts w:hint="eastAsia"/>
                <w:highlight w:val="none"/>
              </w:rPr>
              <w:t xml:space="preserve"> 改进措施未落实的原因：</w:t>
            </w:r>
            <w:r>
              <w:rPr>
                <w:rFonts w:hint="eastAsia"/>
                <w:highlight w:val="none"/>
                <w:u w:val="single"/>
              </w:rPr>
              <w:t xml:space="preserve">    </w:t>
            </w:r>
            <w:r>
              <w:rPr>
                <w:rFonts w:hint="eastAsia"/>
                <w:highlight w:val="none"/>
                <w:u w:val="single"/>
                <w:lang w:val="en-US" w:eastAsia="zh-CN"/>
              </w:rPr>
              <w:t>计划2022年10月底前完成</w:t>
            </w:r>
            <w:r>
              <w:rPr>
                <w:rFonts w:hint="eastAsia"/>
                <w:highlight w:val="none"/>
                <w:u w:val="single"/>
              </w:rPr>
              <w:t xml:space="preserve">      </w:t>
            </w:r>
            <w:r>
              <w:rPr>
                <w:rFonts w:hint="eastAsia"/>
                <w:highlight w:val="none"/>
                <w:u w:val="single"/>
                <w:lang w:val="en-US" w:eastAsia="zh-CN"/>
              </w:rPr>
              <w:t xml:space="preserve">   </w:t>
            </w:r>
          </w:p>
          <w:p>
            <w:pPr>
              <w:rPr>
                <w:highlight w:val="none"/>
              </w:rPr>
            </w:pPr>
          </w:p>
          <w:p>
            <w:pPr>
              <w:rPr>
                <w:highlight w:val="none"/>
              </w:rPr>
            </w:pPr>
            <w:r>
              <w:rPr>
                <w:rFonts w:hint="eastAsia"/>
                <w:highlight w:val="none"/>
              </w:rPr>
              <w:t>最高管理者应确保组织通过以下活动， 持续改进食品安全管理体系的有效性：</w:t>
            </w:r>
          </w:p>
          <w:p>
            <w:pPr>
              <w:rPr>
                <w:highlight w:val="none"/>
              </w:rPr>
            </w:pPr>
            <w:r>
              <w:rPr>
                <w:rFonts w:hint="eastAsia"/>
                <w:highlight w:val="none"/>
              </w:rPr>
              <w:sym w:font="Wingdings" w:char="00FE"/>
            </w:r>
            <w:r>
              <w:rPr>
                <w:rFonts w:hint="eastAsia"/>
                <w:highlight w:val="none"/>
              </w:rPr>
              <w:t xml:space="preserve">沟通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内部审核  </w:t>
            </w:r>
            <w:r>
              <w:rPr>
                <w:rFonts w:hint="eastAsia"/>
                <w:highlight w:val="none"/>
              </w:rPr>
              <w:sym w:font="Wingdings" w:char="00FE"/>
            </w:r>
            <w:r>
              <w:rPr>
                <w:rFonts w:hint="eastAsia"/>
                <w:highlight w:val="none"/>
              </w:rPr>
              <w:t xml:space="preserve">验证活动结果分析 </w:t>
            </w:r>
            <w:r>
              <w:rPr>
                <w:rFonts w:hint="eastAsia"/>
                <w:highlight w:val="none"/>
              </w:rPr>
              <w:sym w:font="Wingdings" w:char="00FE"/>
            </w:r>
            <w:r>
              <w:rPr>
                <w:rFonts w:hint="eastAsia"/>
                <w:highlight w:val="none"/>
              </w:rPr>
              <w:t>控制措施验证和控制措施组合</w:t>
            </w:r>
          </w:p>
          <w:p>
            <w:pPr>
              <w:rPr>
                <w:highlight w:val="none"/>
              </w:rPr>
            </w:pPr>
            <w:r>
              <w:rPr>
                <w:rFonts w:hint="eastAsia"/>
                <w:highlight w:val="none"/>
              </w:rPr>
              <w:sym w:font="Wingdings" w:char="00FE"/>
            </w:r>
            <w:r>
              <w:rPr>
                <w:rFonts w:hint="eastAsia"/>
                <w:highlight w:val="none"/>
              </w:rPr>
              <w:t xml:space="preserve">纠正措施  </w:t>
            </w:r>
            <w:r>
              <w:rPr>
                <w:rFonts w:hint="eastAsia"/>
                <w:highlight w:val="none"/>
              </w:rPr>
              <w:sym w:font="Wingdings" w:char="00FE"/>
            </w:r>
            <w:r>
              <w:rPr>
                <w:rFonts w:hint="eastAsia"/>
                <w:highlight w:val="none"/>
              </w:rPr>
              <w:t>FSMS更新</w:t>
            </w:r>
            <w:r>
              <w:rPr>
                <w:rFonts w:hint="eastAsia"/>
                <w:highlight w:val="none"/>
                <w:lang w:eastAsia="zh-CN"/>
              </w:rPr>
              <w:t>——【</w:t>
            </w:r>
            <w:r>
              <w:rPr>
                <w:rFonts w:hint="eastAsia"/>
                <w:highlight w:val="none"/>
                <w:lang w:val="en-US" w:eastAsia="zh-CN"/>
              </w:rPr>
              <w:t>审核周期内未发生</w:t>
            </w:r>
            <w:r>
              <w:rPr>
                <w:rFonts w:hint="eastAsia"/>
                <w:highlight w:val="none"/>
                <w:lang w:eastAsia="zh-CN"/>
              </w:rPr>
              <w:t>】</w:t>
            </w: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shd w:val="clear" w:color="auto" w:fill="FFFFFF" w:themeFill="background1"/>
          </w:tcPr>
          <w:p>
            <w:pPr>
              <w:rPr>
                <w:highlight w:val="none"/>
              </w:rPr>
            </w:pPr>
            <w:r>
              <w:rPr>
                <w:rFonts w:hint="eastAsia"/>
                <w:highlight w:val="none"/>
              </w:rPr>
              <w:t>食品安全管理体系的更新</w:t>
            </w:r>
          </w:p>
          <w:p>
            <w:pPr>
              <w:rPr>
                <w:highlight w:val="none"/>
              </w:rPr>
            </w:pPr>
          </w:p>
        </w:tc>
        <w:tc>
          <w:tcPr>
            <w:tcW w:w="952" w:type="dxa"/>
            <w:vMerge w:val="restart"/>
            <w:shd w:val="clear" w:color="auto" w:fill="FFFFFF" w:themeFill="background1"/>
          </w:tcPr>
          <w:p>
            <w:pPr>
              <w:rPr>
                <w:highlight w:val="none"/>
              </w:rPr>
            </w:pPr>
            <w:r>
              <w:rPr>
                <w:rFonts w:hint="eastAsia"/>
                <w:highlight w:val="none"/>
              </w:rPr>
              <w:t>F10.3</w:t>
            </w:r>
          </w:p>
        </w:tc>
        <w:tc>
          <w:tcPr>
            <w:tcW w:w="761" w:type="dxa"/>
            <w:shd w:val="clear" w:color="auto" w:fill="FFFFFF" w:themeFill="background1"/>
          </w:tcPr>
          <w:p>
            <w:pPr>
              <w:rPr>
                <w:highlight w:val="none"/>
              </w:rPr>
            </w:pPr>
            <w:r>
              <w:rPr>
                <w:rFonts w:hint="eastAsia"/>
                <w:highlight w:val="none"/>
              </w:rPr>
              <w:t>文件名称</w:t>
            </w:r>
          </w:p>
        </w:tc>
        <w:tc>
          <w:tcPr>
            <w:tcW w:w="9370" w:type="dxa"/>
            <w:shd w:val="clear" w:color="auto" w:fill="FFFFFF" w:themeFill="background1"/>
          </w:tcPr>
          <w:p>
            <w:pPr>
              <w:rPr>
                <w:highlight w:val="none"/>
              </w:rPr>
            </w:pPr>
            <w:r>
              <w:rPr>
                <w:rFonts w:hint="eastAsia"/>
                <w:highlight w:val="none"/>
              </w:rPr>
              <w:t>如：</w:t>
            </w:r>
            <w:r>
              <w:rPr>
                <w:rFonts w:hint="eastAsia"/>
                <w:highlight w:val="none"/>
              </w:rPr>
              <w:sym w:font="Wingdings" w:char="00FE"/>
            </w:r>
            <w:r>
              <w:rPr>
                <w:rFonts w:hint="eastAsia"/>
                <w:highlight w:val="none"/>
              </w:rPr>
              <w:t>管理手册10.3条款</w:t>
            </w:r>
          </w:p>
        </w:tc>
        <w:tc>
          <w:tcPr>
            <w:tcW w:w="1587" w:type="dxa"/>
            <w:vMerge w:val="restart"/>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75" w:hRule="atLeast"/>
        </w:trPr>
        <w:tc>
          <w:tcPr>
            <w:tcW w:w="2044" w:type="dxa"/>
            <w:vMerge w:val="continue"/>
            <w:shd w:val="clear" w:color="auto" w:fill="FFFFFF" w:themeFill="background1"/>
          </w:tcPr>
          <w:p>
            <w:pPr>
              <w:rPr>
                <w:highlight w:val="none"/>
              </w:rPr>
            </w:pPr>
          </w:p>
        </w:tc>
        <w:tc>
          <w:tcPr>
            <w:tcW w:w="952" w:type="dxa"/>
            <w:vMerge w:val="continue"/>
            <w:shd w:val="clear" w:color="auto" w:fill="FFFFFF" w:themeFill="background1"/>
          </w:tcPr>
          <w:p>
            <w:pPr>
              <w:rPr>
                <w:highlight w:val="none"/>
              </w:rPr>
            </w:pPr>
          </w:p>
        </w:tc>
        <w:tc>
          <w:tcPr>
            <w:tcW w:w="761" w:type="dxa"/>
            <w:shd w:val="clear" w:color="auto" w:fill="FFFFFF" w:themeFill="background1"/>
          </w:tcPr>
          <w:p>
            <w:pPr>
              <w:rPr>
                <w:highlight w:val="none"/>
              </w:rPr>
            </w:pPr>
            <w:r>
              <w:rPr>
                <w:rFonts w:hint="eastAsia"/>
                <w:highlight w:val="none"/>
              </w:rPr>
              <w:t>运行证据</w:t>
            </w:r>
          </w:p>
        </w:tc>
        <w:tc>
          <w:tcPr>
            <w:tcW w:w="9370" w:type="dxa"/>
            <w:shd w:val="clear" w:color="auto" w:fill="FFFFFF" w:themeFill="background1"/>
          </w:tcPr>
          <w:p>
            <w:pPr>
              <w:rPr>
                <w:highlight w:val="none"/>
                <w:u w:val="single"/>
              </w:rPr>
            </w:pPr>
            <w:r>
              <w:rPr>
                <w:highlight w:val="none"/>
              </w:rPr>
              <w:t>最高管理者确保FSMS持续更新。</w:t>
            </w:r>
            <w:r>
              <w:rPr>
                <w:rFonts w:hint="eastAsia"/>
                <w:highlight w:val="none"/>
              </w:rPr>
              <w:sym w:font="Wingdings" w:char="00A8"/>
            </w:r>
            <w:r>
              <w:rPr>
                <w:rFonts w:hint="eastAsia"/>
                <w:highlight w:val="none"/>
              </w:rPr>
              <w:t>是、</w:t>
            </w:r>
            <w:r>
              <w:rPr>
                <w:rFonts w:hint="eastAsia"/>
                <w:highlight w:val="none"/>
              </w:rPr>
              <w:sym w:font="Wingdings" w:char="00FE"/>
            </w:r>
            <w:r>
              <w:rPr>
                <w:rFonts w:hint="eastAsia"/>
                <w:highlight w:val="none"/>
              </w:rPr>
              <w:t>否，说明；</w:t>
            </w:r>
            <w:r>
              <w:rPr>
                <w:rFonts w:hint="eastAsia"/>
                <w:highlight w:val="none"/>
                <w:u w:val="single"/>
              </w:rPr>
              <w:t xml:space="preserve"> </w:t>
            </w:r>
            <w:r>
              <w:rPr>
                <w:rFonts w:hint="eastAsia"/>
                <w:highlight w:val="none"/>
                <w:u w:val="single"/>
                <w:lang w:val="en-US" w:eastAsia="zh-CN"/>
              </w:rPr>
              <w:t>审核周期内</w:t>
            </w:r>
            <w:r>
              <w:rPr>
                <w:rFonts w:hint="eastAsia"/>
                <w:highlight w:val="none"/>
                <w:u w:val="single"/>
              </w:rPr>
              <w:t xml:space="preserve">没有发生变更        </w:t>
            </w:r>
          </w:p>
          <w:p>
            <w:pPr>
              <w:rPr>
                <w:highlight w:val="none"/>
              </w:rPr>
            </w:pPr>
            <w:r>
              <w:rPr>
                <w:highlight w:val="none"/>
              </w:rPr>
              <w:t>食品安全小组应按计划间隔</w:t>
            </w:r>
            <w:r>
              <w:rPr>
                <w:rFonts w:hint="eastAsia"/>
                <w:highlight w:val="none"/>
              </w:rPr>
              <w:t>（</w:t>
            </w:r>
            <w:r>
              <w:rPr>
                <w:rFonts w:hint="eastAsia"/>
                <w:highlight w:val="none"/>
              </w:rPr>
              <w:sym w:font="Wingdings" w:char="00FE"/>
            </w:r>
            <w:r>
              <w:rPr>
                <w:rFonts w:hint="eastAsia"/>
                <w:highlight w:val="none"/>
              </w:rPr>
              <w:t>每年、</w:t>
            </w:r>
            <w:r>
              <w:rPr>
                <w:rFonts w:hint="eastAsia"/>
                <w:highlight w:val="none"/>
              </w:rPr>
              <w:sym w:font="Wingdings" w:char="00A8"/>
            </w:r>
            <w:r>
              <w:rPr>
                <w:rFonts w:hint="eastAsia"/>
                <w:highlight w:val="none"/>
              </w:rPr>
              <w:t>每月、</w:t>
            </w:r>
            <w:r>
              <w:rPr>
                <w:rFonts w:hint="eastAsia"/>
                <w:highlight w:val="none"/>
              </w:rPr>
              <w:sym w:font="Wingdings" w:char="00FE"/>
            </w:r>
            <w:r>
              <w:rPr>
                <w:rFonts w:hint="eastAsia"/>
                <w:highlight w:val="none"/>
              </w:rPr>
              <w:t>不定期）</w:t>
            </w:r>
            <w:r>
              <w:rPr>
                <w:highlight w:val="none"/>
              </w:rPr>
              <w:t>对食品安全管理体系进行评估。小组应考虑</w:t>
            </w:r>
            <w:r>
              <w:rPr>
                <w:rFonts w:hint="eastAsia"/>
                <w:highlight w:val="none"/>
              </w:rPr>
              <w:t>：</w:t>
            </w:r>
          </w:p>
          <w:p>
            <w:pPr>
              <w:rPr>
                <w:highlight w:val="none"/>
              </w:rPr>
            </w:pPr>
            <w:r>
              <w:rPr>
                <w:rFonts w:hint="eastAsia"/>
                <w:highlight w:val="none"/>
              </w:rPr>
              <w:sym w:font="Wingdings" w:char="00FE"/>
            </w:r>
            <w:r>
              <w:rPr>
                <w:highlight w:val="none"/>
              </w:rPr>
              <w:t>有必要审查危害分析</w:t>
            </w:r>
          </w:p>
          <w:p>
            <w:pPr>
              <w:rPr>
                <w:highlight w:val="none"/>
              </w:rPr>
            </w:pPr>
            <w:r>
              <w:rPr>
                <w:rFonts w:hint="eastAsia"/>
                <w:highlight w:val="none"/>
              </w:rPr>
              <w:sym w:font="Wingdings" w:char="00FE"/>
            </w:r>
            <w:r>
              <w:rPr>
                <w:highlight w:val="none"/>
              </w:rPr>
              <w:t>已建立的危害控制计划</w:t>
            </w:r>
          </w:p>
          <w:p>
            <w:pPr>
              <w:rPr>
                <w:highlight w:val="none"/>
              </w:rPr>
            </w:pPr>
            <w:r>
              <w:rPr>
                <w:rFonts w:hint="eastAsia"/>
                <w:highlight w:val="none"/>
              </w:rPr>
              <w:sym w:font="Wingdings" w:char="00FE"/>
            </w:r>
            <w:r>
              <w:rPr>
                <w:highlight w:val="none"/>
              </w:rPr>
              <w:t>已建立的PRP。</w:t>
            </w:r>
          </w:p>
          <w:p>
            <w:pPr>
              <w:rPr>
                <w:highlight w:val="none"/>
              </w:rPr>
            </w:pPr>
            <w:r>
              <w:rPr>
                <w:highlight w:val="none"/>
              </w:rPr>
              <w:t>更新活动应基于：</w:t>
            </w:r>
          </w:p>
          <w:p>
            <w:pPr>
              <w:rPr>
                <w:highlight w:val="none"/>
              </w:rPr>
            </w:pPr>
            <w:r>
              <w:rPr>
                <w:rFonts w:hint="eastAsia"/>
                <w:highlight w:val="none"/>
              </w:rPr>
              <w:sym w:font="Wingdings" w:char="00FE"/>
            </w:r>
            <w:r>
              <w:rPr>
                <w:rFonts w:hint="eastAsia"/>
                <w:highlight w:val="none"/>
              </w:rPr>
              <w:t xml:space="preserve"> </w:t>
            </w:r>
            <w:r>
              <w:rPr>
                <w:highlight w:val="none"/>
              </w:rPr>
              <w:t>来自外部和内部通信的输入；</w:t>
            </w:r>
          </w:p>
          <w:p>
            <w:pPr>
              <w:rPr>
                <w:highlight w:val="none"/>
              </w:rPr>
            </w:pPr>
            <w:r>
              <w:rPr>
                <w:rFonts w:hint="eastAsia"/>
                <w:highlight w:val="none"/>
              </w:rPr>
              <w:sym w:font="Wingdings" w:char="00FE"/>
            </w:r>
            <w:r>
              <w:rPr>
                <w:rFonts w:hint="eastAsia"/>
                <w:highlight w:val="none"/>
              </w:rPr>
              <w:t xml:space="preserve"> </w:t>
            </w:r>
            <w:r>
              <w:rPr>
                <w:highlight w:val="none"/>
              </w:rPr>
              <w:t>其他有关食品安全管理系统的适宜性、充分性和有效性的信息的输入；</w:t>
            </w:r>
          </w:p>
          <w:p>
            <w:pPr>
              <w:rPr>
                <w:highlight w:val="none"/>
              </w:rPr>
            </w:pPr>
            <w:r>
              <w:rPr>
                <w:rFonts w:hint="eastAsia"/>
                <w:highlight w:val="none"/>
              </w:rPr>
              <w:sym w:font="Wingdings" w:char="00FE"/>
            </w:r>
            <w:r>
              <w:rPr>
                <w:rFonts w:hint="eastAsia"/>
                <w:highlight w:val="none"/>
              </w:rPr>
              <w:t xml:space="preserve"> </w:t>
            </w:r>
            <w:r>
              <w:rPr>
                <w:highlight w:val="none"/>
              </w:rPr>
              <w:t>验证活动结果分析的输出；</w:t>
            </w:r>
          </w:p>
          <w:p>
            <w:pPr>
              <w:rPr>
                <w:highlight w:val="none"/>
              </w:rPr>
            </w:pPr>
            <w:r>
              <w:rPr>
                <w:rFonts w:hint="eastAsia"/>
                <w:highlight w:val="none"/>
              </w:rPr>
              <w:sym w:font="Wingdings" w:char="00FE"/>
            </w:r>
            <w:r>
              <w:rPr>
                <w:rFonts w:hint="eastAsia"/>
                <w:highlight w:val="none"/>
              </w:rPr>
              <w:t xml:space="preserve"> </w:t>
            </w:r>
            <w:r>
              <w:rPr>
                <w:highlight w:val="none"/>
              </w:rPr>
              <w:t>管理评审的输出。</w:t>
            </w:r>
          </w:p>
          <w:p>
            <w:pPr>
              <w:rPr>
                <w:highlight w:val="none"/>
              </w:rPr>
            </w:pPr>
            <w:r>
              <w:rPr>
                <w:highlight w:val="none"/>
              </w:rPr>
              <w:t>系统更新活动</w:t>
            </w:r>
            <w:r>
              <w:rPr>
                <w:rFonts w:hint="eastAsia"/>
                <w:highlight w:val="none"/>
              </w:rPr>
              <w:t>保留的</w:t>
            </w:r>
            <w:r>
              <w:rPr>
                <w:highlight w:val="none"/>
              </w:rPr>
              <w:t>文件化信息</w:t>
            </w:r>
            <w:r>
              <w:rPr>
                <w:rFonts w:hint="eastAsia"/>
                <w:highlight w:val="none"/>
              </w:rPr>
              <w:t>为</w:t>
            </w:r>
            <w:r>
              <w:rPr>
                <w:rFonts w:hint="eastAsia"/>
                <w:highlight w:val="none"/>
                <w:u w:val="single"/>
              </w:rPr>
              <w:t xml:space="preserve">：  ——      </w:t>
            </w:r>
            <w:r>
              <w:rPr>
                <w:rFonts w:hint="eastAsia"/>
                <w:highlight w:val="none"/>
              </w:rPr>
              <w:t xml:space="preserve">   </w:t>
            </w:r>
            <w:r>
              <w:rPr>
                <w:highlight w:val="none"/>
              </w:rPr>
              <w:t>，作为输入报告给管理评审。</w:t>
            </w:r>
          </w:p>
        </w:tc>
        <w:tc>
          <w:tcPr>
            <w:tcW w:w="1587" w:type="dxa"/>
            <w:vMerge w:val="continue"/>
            <w:shd w:val="clear" w:color="auto" w:fill="FFFFFF" w:themeFill="background1"/>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18" w:hRule="atLeast"/>
        </w:trPr>
        <w:tc>
          <w:tcPr>
            <w:tcW w:w="2044" w:type="dxa"/>
            <w:shd w:val="clear" w:color="auto" w:fill="FFFFFF" w:themeFill="background1"/>
          </w:tcPr>
          <w:p>
            <w:pPr>
              <w:rPr>
                <w:highlight w:val="none"/>
              </w:rPr>
            </w:pPr>
            <w:r>
              <w:rPr>
                <w:rFonts w:hint="eastAsia" w:ascii="宋体" w:hAnsi="宋体" w:eastAsia="宋体" w:cs="宋体"/>
                <w:sz w:val="21"/>
                <w:szCs w:val="21"/>
                <w:highlight w:val="none"/>
                <w:lang w:val="en-US" w:eastAsia="zh-CN"/>
              </w:rPr>
              <w:t>不符合项问题验证、证书使用情况、资质更新情况、投诉、食品安全事故等</w:t>
            </w:r>
          </w:p>
        </w:tc>
        <w:tc>
          <w:tcPr>
            <w:tcW w:w="952" w:type="dxa"/>
            <w:shd w:val="clear" w:color="auto" w:fill="FFFFFF" w:themeFill="background1"/>
          </w:tcPr>
          <w:p>
            <w:pPr>
              <w:rPr>
                <w:highlight w:val="none"/>
              </w:rPr>
            </w:pPr>
          </w:p>
        </w:tc>
        <w:tc>
          <w:tcPr>
            <w:tcW w:w="761" w:type="dxa"/>
            <w:shd w:val="clear" w:color="auto" w:fill="FFFFFF" w:themeFill="background1"/>
          </w:tcPr>
          <w:p>
            <w:pPr>
              <w:rPr>
                <w:rFonts w:hint="eastAsia"/>
                <w:highlight w:val="none"/>
              </w:rPr>
            </w:pPr>
          </w:p>
        </w:tc>
        <w:tc>
          <w:tcPr>
            <w:tcW w:w="9370" w:type="dxa"/>
            <w:shd w:val="clear" w:color="auto" w:fill="FFFFFF" w:themeFill="background1"/>
          </w:tcPr>
          <w:p>
            <w:pPr>
              <w:spacing w:line="360" w:lineRule="auto"/>
              <w:rPr>
                <w:rFonts w:hint="eastAsia"/>
                <w:sz w:val="21"/>
                <w:szCs w:val="21"/>
                <w:highlight w:val="none"/>
                <w:lang w:val="en-US" w:eastAsia="zh-CN"/>
              </w:rPr>
            </w:pPr>
            <w:r>
              <w:rPr>
                <w:rFonts w:hint="eastAsia"/>
                <w:sz w:val="21"/>
                <w:szCs w:val="21"/>
                <w:highlight w:val="none"/>
                <w:lang w:val="en-US" w:eastAsia="zh-CN"/>
              </w:rPr>
              <w:t>现场询问：</w:t>
            </w:r>
          </w:p>
          <w:p>
            <w:pPr>
              <w:numPr>
                <w:ilvl w:val="0"/>
                <w:numId w:val="5"/>
              </w:numPr>
              <w:spacing w:line="360" w:lineRule="auto"/>
              <w:rPr>
                <w:rFonts w:hint="eastAsia"/>
                <w:sz w:val="21"/>
                <w:szCs w:val="21"/>
                <w:highlight w:val="none"/>
                <w:u w:val="single"/>
                <w:lang w:val="en-US" w:eastAsia="zh-CN"/>
              </w:rPr>
            </w:pPr>
            <w:r>
              <w:rPr>
                <w:rFonts w:hint="eastAsia"/>
                <w:sz w:val="21"/>
                <w:szCs w:val="21"/>
                <w:highlight w:val="none"/>
                <w:lang w:val="en-US" w:eastAsia="zh-CN"/>
              </w:rPr>
              <w:t>营业执照、食品经营许可证未发生变化，</w:t>
            </w:r>
            <w:r>
              <w:rPr>
                <w:rFonts w:hint="eastAsia"/>
                <w:sz w:val="21"/>
                <w:szCs w:val="21"/>
                <w:highlight w:val="none"/>
                <w:u w:val="single"/>
                <w:lang w:val="en-US" w:eastAsia="zh-CN"/>
              </w:rPr>
              <w:t>食品经营许可证即将到期，已与企业沟通去办理证件更新。</w:t>
            </w:r>
          </w:p>
          <w:p>
            <w:pPr>
              <w:numPr>
                <w:ilvl w:val="0"/>
                <w:numId w:val="5"/>
              </w:numPr>
              <w:spacing w:line="360" w:lineRule="auto"/>
              <w:rPr>
                <w:rFonts w:hint="eastAsia"/>
                <w:sz w:val="21"/>
                <w:szCs w:val="21"/>
                <w:highlight w:val="none"/>
                <w:lang w:val="en-US" w:eastAsia="zh-CN"/>
              </w:rPr>
            </w:pPr>
            <w:r>
              <w:rPr>
                <w:rFonts w:hint="eastAsia"/>
                <w:sz w:val="21"/>
                <w:szCs w:val="21"/>
                <w:highlight w:val="none"/>
                <w:lang w:val="en-US" w:eastAsia="zh-CN"/>
              </w:rPr>
              <w:t>体系证书主要用于投标以及客户检查使用，未发生处罚等情况；</w:t>
            </w:r>
          </w:p>
          <w:p>
            <w:pPr>
              <w:spacing w:line="360" w:lineRule="auto"/>
              <w:rPr>
                <w:rFonts w:hint="eastAsia" w:eastAsia="宋体"/>
                <w:sz w:val="21"/>
                <w:szCs w:val="21"/>
                <w:highlight w:val="none"/>
                <w:lang w:val="en-US" w:eastAsia="zh-CN"/>
              </w:rPr>
            </w:pPr>
            <w:r>
              <w:rPr>
                <w:rFonts w:hint="eastAsia"/>
                <w:sz w:val="21"/>
                <w:szCs w:val="21"/>
                <w:highlight w:val="none"/>
                <w:lang w:val="en-US" w:eastAsia="zh-CN"/>
              </w:rPr>
              <w:t>3</w:t>
            </w:r>
            <w:r>
              <w:rPr>
                <w:rFonts w:hint="eastAsia" w:eastAsia="宋体"/>
                <w:sz w:val="21"/>
                <w:szCs w:val="21"/>
                <w:highlight w:val="none"/>
                <w:lang w:val="en-US" w:eastAsia="zh-CN"/>
              </w:rPr>
              <w:t>）自上次审核结束以来未发生顾客投诉、未发生重大的食品安全事故等；</w:t>
            </w:r>
          </w:p>
          <w:p>
            <w:pPr>
              <w:pStyle w:val="6"/>
              <w:spacing w:line="360" w:lineRule="auto"/>
              <w:ind w:firstLine="630" w:firstLineChars="300"/>
              <w:rPr>
                <w:rFonts w:hint="default"/>
                <w:sz w:val="21"/>
                <w:szCs w:val="21"/>
                <w:highlight w:val="none"/>
                <w:lang w:val="en-US" w:eastAsia="zh-CN"/>
              </w:rPr>
            </w:pPr>
            <w:r>
              <w:rPr>
                <w:rFonts w:hint="eastAsia"/>
                <w:sz w:val="21"/>
                <w:szCs w:val="21"/>
                <w:highlight w:val="none"/>
                <w:lang w:val="en-US" w:eastAsia="zh-CN"/>
              </w:rPr>
              <w:t>4</w:t>
            </w:r>
            <w:r>
              <w:rPr>
                <w:rFonts w:hint="eastAsia" w:eastAsia="宋体"/>
                <w:sz w:val="21"/>
                <w:szCs w:val="21"/>
                <w:highlight w:val="none"/>
                <w:lang w:val="en-US" w:eastAsia="zh-CN"/>
              </w:rPr>
              <w:t>）去年</w:t>
            </w:r>
            <w:r>
              <w:rPr>
                <w:rFonts w:hint="eastAsia"/>
                <w:sz w:val="21"/>
                <w:szCs w:val="21"/>
                <w:highlight w:val="none"/>
                <w:lang w:val="en-US" w:eastAsia="zh-CN"/>
              </w:rPr>
              <w:t>监审</w:t>
            </w:r>
            <w:r>
              <w:rPr>
                <w:rFonts w:hint="eastAsia" w:eastAsia="宋体"/>
                <w:sz w:val="21"/>
                <w:szCs w:val="21"/>
                <w:highlight w:val="none"/>
                <w:lang w:val="en-US" w:eastAsia="zh-CN"/>
              </w:rPr>
              <w:t>开具的不符合项</w:t>
            </w:r>
            <w:r>
              <w:rPr>
                <w:rFonts w:hint="eastAsia"/>
                <w:sz w:val="21"/>
                <w:szCs w:val="21"/>
                <w:highlight w:val="none"/>
                <w:lang w:val="en-US" w:eastAsia="zh-CN"/>
              </w:rPr>
              <w:t>2</w:t>
            </w:r>
            <w:r>
              <w:rPr>
                <w:rFonts w:hint="eastAsia" w:eastAsia="宋体"/>
                <w:sz w:val="21"/>
                <w:szCs w:val="21"/>
                <w:highlight w:val="none"/>
                <w:lang w:val="en-US" w:eastAsia="zh-CN"/>
              </w:rPr>
              <w:t>项，经过验证未再次发生。</w:t>
            </w:r>
          </w:p>
          <w:p>
            <w:pPr>
              <w:pStyle w:val="6"/>
              <w:spacing w:line="360" w:lineRule="auto"/>
              <w:ind w:left="0" w:leftChars="0" w:firstLine="0" w:firstLineChars="0"/>
              <w:rPr>
                <w:rFonts w:hint="default"/>
                <w:highlight w:val="none"/>
                <w:lang w:val="en-US" w:eastAsia="zh-CN"/>
              </w:rPr>
            </w:pPr>
            <w:r>
              <w:rPr>
                <w:rFonts w:hint="eastAsia"/>
                <w:sz w:val="21"/>
                <w:szCs w:val="21"/>
                <w:highlight w:val="none"/>
                <w:lang w:val="en-US" w:eastAsia="zh-CN"/>
              </w:rPr>
              <w:t>5）审核周期内无监管部门抽查情况。</w:t>
            </w:r>
          </w:p>
        </w:tc>
        <w:tc>
          <w:tcPr>
            <w:tcW w:w="1587" w:type="dxa"/>
            <w:shd w:val="clear" w:color="auto" w:fill="FFFFFF" w:themeFill="background1"/>
          </w:tcPr>
          <w:p>
            <w:pPr>
              <w:rPr>
                <w:highlight w:val="none"/>
              </w:rPr>
            </w:pPr>
            <w:r>
              <w:rPr>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45" w:firstLineChars="450"/>
      <w:jc w:val="left"/>
      <w:rPr>
        <w:rStyle w:val="13"/>
        <w:rFonts w:hint="default"/>
      </w:rPr>
    </w:pPr>
    <w:r>
      <w:rPr>
        <w:rStyle w:val="13"/>
        <w:rFonts w:hint="default"/>
      </w:rPr>
      <w:drawing>
        <wp:anchor distT="0" distB="0" distL="114300" distR="114300" simplePos="0" relativeHeight="251660288" behindDoc="0" locked="0" layoutInCell="1" allowOverlap="1">
          <wp:simplePos x="0" y="0"/>
          <wp:positionH relativeFrom="column">
            <wp:posOffset>-17145</wp:posOffset>
          </wp:positionH>
          <wp:positionV relativeFrom="paragraph">
            <wp:posOffset>-64770</wp:posOffset>
          </wp:positionV>
          <wp:extent cx="425450" cy="428625"/>
          <wp:effectExtent l="0" t="0" r="6350" b="3175"/>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25450" cy="42862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BA416"/>
    <w:multiLevelType w:val="singleLevel"/>
    <w:tmpl w:val="A5ABA416"/>
    <w:lvl w:ilvl="0" w:tentative="0">
      <w:start w:val="1"/>
      <w:numFmt w:val="decimal"/>
      <w:suff w:val="nothing"/>
      <w:lvlText w:val="%1）"/>
      <w:lvlJc w:val="left"/>
    </w:lvl>
  </w:abstractNum>
  <w:abstractNum w:abstractNumId="1">
    <w:nsid w:val="F15F614C"/>
    <w:multiLevelType w:val="singleLevel"/>
    <w:tmpl w:val="F15F614C"/>
    <w:lvl w:ilvl="0" w:tentative="0">
      <w:start w:val="1"/>
      <w:numFmt w:val="decimal"/>
      <w:suff w:val="nothing"/>
      <w:lvlText w:val="%1）"/>
      <w:lvlJc w:val="left"/>
    </w:lvl>
  </w:abstractNum>
  <w:abstractNum w:abstractNumId="2">
    <w:nsid w:val="0F8AF5FD"/>
    <w:multiLevelType w:val="singleLevel"/>
    <w:tmpl w:val="0F8AF5FD"/>
    <w:lvl w:ilvl="0" w:tentative="0">
      <w:start w:val="1"/>
      <w:numFmt w:val="decimal"/>
      <w:lvlText w:val="%1."/>
      <w:lvlJc w:val="left"/>
      <w:pPr>
        <w:tabs>
          <w:tab w:val="left" w:pos="312"/>
        </w:tabs>
      </w:pPr>
    </w:lvl>
  </w:abstractNum>
  <w:abstractNum w:abstractNumId="3">
    <w:nsid w:val="19E194F9"/>
    <w:multiLevelType w:val="singleLevel"/>
    <w:tmpl w:val="19E194F9"/>
    <w:lvl w:ilvl="0" w:tentative="0">
      <w:start w:val="1"/>
      <w:numFmt w:val="lowerLetter"/>
      <w:lvlText w:val="%1)"/>
      <w:lvlJc w:val="left"/>
      <w:pPr>
        <w:tabs>
          <w:tab w:val="left" w:pos="312"/>
        </w:tabs>
      </w:pPr>
    </w:lvl>
  </w:abstractNum>
  <w:abstractNum w:abstractNumId="4">
    <w:nsid w:val="44D1A558"/>
    <w:multiLevelType w:val="singleLevel"/>
    <w:tmpl w:val="44D1A558"/>
    <w:lvl w:ilvl="0" w:tentative="0">
      <w:start w:val="1"/>
      <w:numFmt w:val="decimal"/>
      <w:suff w:val="nothing"/>
      <w:lvlText w:val="%1）"/>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172A27"/>
    <w:rsid w:val="00010376"/>
    <w:rsid w:val="000237F6"/>
    <w:rsid w:val="0003373A"/>
    <w:rsid w:val="000400E2"/>
    <w:rsid w:val="000414FF"/>
    <w:rsid w:val="00062E46"/>
    <w:rsid w:val="000B4EF6"/>
    <w:rsid w:val="000C5187"/>
    <w:rsid w:val="000E6B21"/>
    <w:rsid w:val="001126B5"/>
    <w:rsid w:val="00120E8B"/>
    <w:rsid w:val="00172A27"/>
    <w:rsid w:val="001A2D7F"/>
    <w:rsid w:val="001E1F70"/>
    <w:rsid w:val="0020258E"/>
    <w:rsid w:val="00257016"/>
    <w:rsid w:val="00280082"/>
    <w:rsid w:val="00284EFF"/>
    <w:rsid w:val="002939AD"/>
    <w:rsid w:val="002D757C"/>
    <w:rsid w:val="00314AF6"/>
    <w:rsid w:val="00337922"/>
    <w:rsid w:val="00340867"/>
    <w:rsid w:val="00380837"/>
    <w:rsid w:val="003828AD"/>
    <w:rsid w:val="003972A8"/>
    <w:rsid w:val="003A198A"/>
    <w:rsid w:val="003C6993"/>
    <w:rsid w:val="00410914"/>
    <w:rsid w:val="00410AF7"/>
    <w:rsid w:val="004177C7"/>
    <w:rsid w:val="00437057"/>
    <w:rsid w:val="004724DC"/>
    <w:rsid w:val="0048201E"/>
    <w:rsid w:val="0048642D"/>
    <w:rsid w:val="004E2315"/>
    <w:rsid w:val="005121B0"/>
    <w:rsid w:val="005158BA"/>
    <w:rsid w:val="00536930"/>
    <w:rsid w:val="00553344"/>
    <w:rsid w:val="00564E53"/>
    <w:rsid w:val="00572483"/>
    <w:rsid w:val="005D5659"/>
    <w:rsid w:val="00600C20"/>
    <w:rsid w:val="00644FE2"/>
    <w:rsid w:val="00652742"/>
    <w:rsid w:val="0067640C"/>
    <w:rsid w:val="006D79E2"/>
    <w:rsid w:val="006E678B"/>
    <w:rsid w:val="006E7B1D"/>
    <w:rsid w:val="00733AF3"/>
    <w:rsid w:val="007757F3"/>
    <w:rsid w:val="007B5883"/>
    <w:rsid w:val="007C1B48"/>
    <w:rsid w:val="007D0E9E"/>
    <w:rsid w:val="007E3B15"/>
    <w:rsid w:val="007E6AEB"/>
    <w:rsid w:val="00802220"/>
    <w:rsid w:val="008973EE"/>
    <w:rsid w:val="008C2C55"/>
    <w:rsid w:val="008E686A"/>
    <w:rsid w:val="008F07D1"/>
    <w:rsid w:val="00906D05"/>
    <w:rsid w:val="009235DA"/>
    <w:rsid w:val="00971600"/>
    <w:rsid w:val="009973B4"/>
    <w:rsid w:val="009A3DC4"/>
    <w:rsid w:val="009A4AE9"/>
    <w:rsid w:val="009C28C1"/>
    <w:rsid w:val="009F7EED"/>
    <w:rsid w:val="00A30CCE"/>
    <w:rsid w:val="00A80636"/>
    <w:rsid w:val="00AD5C2E"/>
    <w:rsid w:val="00AE46F3"/>
    <w:rsid w:val="00AF0AAB"/>
    <w:rsid w:val="00B333DC"/>
    <w:rsid w:val="00BF597E"/>
    <w:rsid w:val="00C51A36"/>
    <w:rsid w:val="00C55228"/>
    <w:rsid w:val="00C63768"/>
    <w:rsid w:val="00C77034"/>
    <w:rsid w:val="00C96C18"/>
    <w:rsid w:val="00CE315A"/>
    <w:rsid w:val="00D06F59"/>
    <w:rsid w:val="00D64E7C"/>
    <w:rsid w:val="00D8388C"/>
    <w:rsid w:val="00DC0902"/>
    <w:rsid w:val="00E6224C"/>
    <w:rsid w:val="00E72B00"/>
    <w:rsid w:val="00EA37D1"/>
    <w:rsid w:val="00EB0164"/>
    <w:rsid w:val="00ED0F62"/>
    <w:rsid w:val="00F51DFC"/>
    <w:rsid w:val="00F651A8"/>
    <w:rsid w:val="00FF0463"/>
    <w:rsid w:val="01260C71"/>
    <w:rsid w:val="0148246F"/>
    <w:rsid w:val="01B97AED"/>
    <w:rsid w:val="01BB3069"/>
    <w:rsid w:val="01CE4435"/>
    <w:rsid w:val="01E27364"/>
    <w:rsid w:val="01F72228"/>
    <w:rsid w:val="02203F02"/>
    <w:rsid w:val="0228580F"/>
    <w:rsid w:val="026A697D"/>
    <w:rsid w:val="028120F9"/>
    <w:rsid w:val="02C1133C"/>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2C4322"/>
    <w:rsid w:val="044125D6"/>
    <w:rsid w:val="0441326A"/>
    <w:rsid w:val="04414625"/>
    <w:rsid w:val="04883DB3"/>
    <w:rsid w:val="04981EC9"/>
    <w:rsid w:val="04BF6893"/>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935A79"/>
    <w:rsid w:val="12A2571D"/>
    <w:rsid w:val="12A42EA7"/>
    <w:rsid w:val="12A506D3"/>
    <w:rsid w:val="12BA01F9"/>
    <w:rsid w:val="12BC7DBE"/>
    <w:rsid w:val="131C6135"/>
    <w:rsid w:val="13296CDD"/>
    <w:rsid w:val="132B5130"/>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2F1635"/>
    <w:rsid w:val="154C7AB0"/>
    <w:rsid w:val="15597511"/>
    <w:rsid w:val="155F4281"/>
    <w:rsid w:val="156F663C"/>
    <w:rsid w:val="157015E8"/>
    <w:rsid w:val="15B265C1"/>
    <w:rsid w:val="15B5072B"/>
    <w:rsid w:val="15BC540D"/>
    <w:rsid w:val="160D3D01"/>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2E72100"/>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D721CD"/>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0A0221"/>
    <w:rsid w:val="39114EE1"/>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7F1F82"/>
    <w:rsid w:val="4EAA463D"/>
    <w:rsid w:val="4F594843"/>
    <w:rsid w:val="4F780CA6"/>
    <w:rsid w:val="4F88590D"/>
    <w:rsid w:val="4FFD6CB4"/>
    <w:rsid w:val="503C3BCC"/>
    <w:rsid w:val="50C41CF1"/>
    <w:rsid w:val="50E1054A"/>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7289A"/>
    <w:rsid w:val="68494570"/>
    <w:rsid w:val="68746C8D"/>
    <w:rsid w:val="687C35AE"/>
    <w:rsid w:val="68AC0B57"/>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02053"/>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A6AA6"/>
    <w:rsid w:val="7EBA7F08"/>
    <w:rsid w:val="7ED713AA"/>
    <w:rsid w:val="7EDA5201"/>
    <w:rsid w:val="7EEE63E6"/>
    <w:rsid w:val="7EF40FFB"/>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ody Text Indent"/>
    <w:basedOn w:val="1"/>
    <w:qFormat/>
    <w:uiPriority w:val="0"/>
    <w:pPr>
      <w:widowControl/>
      <w:ind w:left="-566" w:leftChars="-283" w:firstLine="560" w:firstLineChars="200"/>
      <w:jc w:val="left"/>
    </w:pPr>
    <w:rPr>
      <w:kern w:val="0"/>
      <w:sz w:val="28"/>
    </w:rPr>
  </w:style>
  <w:style w:type="paragraph" w:styleId="4">
    <w:name w:val="Balloon Text"/>
    <w:basedOn w:val="1"/>
    <w:link w:val="12"/>
    <w:semiHidden/>
    <w:unhideWhenUsed/>
    <w:qFormat/>
    <w:uiPriority w:val="99"/>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99"/>
    <w:pPr>
      <w:tabs>
        <w:tab w:val="left" w:pos="540"/>
      </w:tabs>
      <w:ind w:firstLine="420"/>
    </w:p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2"/>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1261</Words>
  <Characters>7193</Characters>
  <Lines>59</Lines>
  <Paragraphs>16</Paragraphs>
  <TotalTime>13</TotalTime>
  <ScaleCrop>false</ScaleCrop>
  <LinksUpToDate>false</LinksUpToDate>
  <CharactersWithSpaces>8438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肖新龙</cp:lastModifiedBy>
  <dcterms:modified xsi:type="dcterms:W3CDTF">2022-08-19T12:10:55Z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215A06C9186542B69993642022505A72</vt:lpwstr>
  </property>
</Properties>
</file>