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5"/>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58"/>
        <w:gridCol w:w="10596"/>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60"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058"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596"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eastAsia="zh-CN"/>
              </w:rPr>
              <w:t>综合办</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highlight w:val="none"/>
              </w:rPr>
              <w:t>主管领导：</w:t>
            </w:r>
            <w:r>
              <w:rPr>
                <w:rFonts w:hint="eastAsia" w:ascii="宋体" w:hAnsi="宋体" w:eastAsia="宋体" w:cs="宋体"/>
                <w:sz w:val="21"/>
                <w:szCs w:val="21"/>
                <w:lang w:val="en-US" w:eastAsia="zh-CN"/>
              </w:rPr>
              <w:t xml:space="preserve">张亚丽   </w:t>
            </w:r>
            <w:r>
              <w:rPr>
                <w:rFonts w:hint="eastAsia" w:ascii="宋体" w:hAnsi="宋体" w:eastAsia="宋体" w:cs="宋体"/>
                <w:sz w:val="21"/>
                <w:szCs w:val="21"/>
                <w:highlight w:val="none"/>
              </w:rPr>
              <w:t xml:space="preserve"> 陪同：</w:t>
            </w:r>
            <w:r>
              <w:rPr>
                <w:rFonts w:hint="eastAsia" w:ascii="宋体" w:hAnsi="宋体" w:eastAsia="宋体" w:cs="宋体"/>
                <w:sz w:val="21"/>
                <w:szCs w:val="21"/>
                <w:highlight w:val="none"/>
                <w:lang w:val="en-US" w:eastAsia="zh-CN"/>
              </w:rPr>
              <w:t>杨丹</w:t>
            </w:r>
          </w:p>
        </w:tc>
        <w:tc>
          <w:tcPr>
            <w:tcW w:w="89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60" w:type="dxa"/>
            <w:vMerge w:val="continue"/>
            <w:vAlign w:val="center"/>
          </w:tcPr>
          <w:p>
            <w:pPr>
              <w:spacing w:line="360" w:lineRule="auto"/>
              <w:rPr>
                <w:rFonts w:hint="eastAsia" w:ascii="宋体" w:hAnsi="宋体" w:eastAsia="宋体" w:cs="宋体"/>
                <w:sz w:val="21"/>
                <w:szCs w:val="21"/>
              </w:rPr>
            </w:pPr>
          </w:p>
        </w:tc>
        <w:tc>
          <w:tcPr>
            <w:tcW w:w="1058" w:type="dxa"/>
            <w:vMerge w:val="continue"/>
            <w:vAlign w:val="center"/>
          </w:tcPr>
          <w:p>
            <w:pPr>
              <w:spacing w:line="360" w:lineRule="auto"/>
              <w:rPr>
                <w:rFonts w:hint="eastAsia" w:ascii="宋体" w:hAnsi="宋体" w:eastAsia="宋体" w:cs="宋体"/>
                <w:sz w:val="21"/>
                <w:szCs w:val="21"/>
              </w:rPr>
            </w:pPr>
          </w:p>
        </w:tc>
        <w:tc>
          <w:tcPr>
            <w:tcW w:w="10596" w:type="dxa"/>
            <w:vAlign w:val="center"/>
          </w:tcPr>
          <w:p>
            <w:pPr>
              <w:spacing w:line="360" w:lineRule="auto"/>
              <w:rPr>
                <w:rFonts w:hint="eastAsia" w:ascii="宋体" w:hAnsi="宋体" w:eastAsia="宋体" w:cs="宋体"/>
                <w:sz w:val="21"/>
                <w:szCs w:val="21"/>
                <w:lang w:val="en-US"/>
              </w:rPr>
            </w:pPr>
            <w:r>
              <w:rPr>
                <w:rFonts w:hint="eastAsia" w:ascii="宋体" w:hAnsi="宋体" w:eastAsia="宋体" w:cs="宋体"/>
                <w:sz w:val="21"/>
                <w:szCs w:val="21"/>
              </w:rPr>
              <w:t>审核员：</w:t>
            </w:r>
            <w:r>
              <w:rPr>
                <w:rFonts w:hint="eastAsia" w:ascii="宋体" w:hAnsi="宋体" w:eastAsia="宋体" w:cs="宋体"/>
                <w:sz w:val="21"/>
                <w:szCs w:val="21"/>
                <w:lang w:eastAsia="zh-CN"/>
              </w:rPr>
              <w:t>温红玲</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赵娟（提供专业支持）</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审核时间：</w:t>
            </w:r>
            <w:r>
              <w:rPr>
                <w:rFonts w:hint="eastAsia" w:ascii="宋体" w:hAnsi="宋体" w:eastAsia="宋体" w:cs="宋体"/>
                <w:sz w:val="21"/>
                <w:szCs w:val="21"/>
                <w:lang w:val="en-US" w:eastAsia="zh-CN"/>
              </w:rPr>
              <w:t>2022.8.13</w:t>
            </w:r>
          </w:p>
        </w:tc>
        <w:tc>
          <w:tcPr>
            <w:tcW w:w="89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0" w:type="dxa"/>
            <w:vMerge w:val="continue"/>
            <w:vAlign w:val="center"/>
          </w:tcPr>
          <w:p>
            <w:pPr>
              <w:spacing w:line="360" w:lineRule="auto"/>
              <w:rPr>
                <w:rFonts w:hint="eastAsia" w:ascii="宋体" w:hAnsi="宋体" w:eastAsia="宋体" w:cs="宋体"/>
                <w:sz w:val="21"/>
                <w:szCs w:val="21"/>
              </w:rPr>
            </w:pPr>
          </w:p>
        </w:tc>
        <w:tc>
          <w:tcPr>
            <w:tcW w:w="1058" w:type="dxa"/>
            <w:vMerge w:val="continue"/>
            <w:vAlign w:val="center"/>
          </w:tcPr>
          <w:p>
            <w:pPr>
              <w:spacing w:line="360" w:lineRule="auto"/>
              <w:rPr>
                <w:rFonts w:hint="eastAsia" w:ascii="宋体" w:hAnsi="宋体" w:eastAsia="宋体" w:cs="宋体"/>
                <w:sz w:val="21"/>
                <w:szCs w:val="21"/>
              </w:rPr>
            </w:pPr>
          </w:p>
        </w:tc>
        <w:tc>
          <w:tcPr>
            <w:tcW w:w="105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pStyle w:val="12"/>
              <w:bidi w:val="0"/>
              <w:spacing w:line="240" w:lineRule="auto"/>
              <w:ind w:left="0" w:leftChars="0" w:firstLine="0" w:firstLineChars="0"/>
              <w:rPr>
                <w:rFonts w:hint="eastAsia" w:ascii="宋体" w:hAnsi="宋体" w:eastAsia="宋体" w:cs="宋体"/>
                <w:sz w:val="21"/>
                <w:szCs w:val="21"/>
                <w:lang w:val="de-DE"/>
              </w:rPr>
            </w:pPr>
            <w:r>
              <w:rPr>
                <w:rFonts w:hint="eastAsia" w:ascii="宋体" w:hAnsi="宋体" w:eastAsia="宋体" w:cs="宋体"/>
                <w:sz w:val="21"/>
                <w:szCs w:val="21"/>
                <w:lang w:val="de-DE"/>
              </w:rPr>
              <w:t>Q</w:t>
            </w:r>
            <w:r>
              <w:rPr>
                <w:rFonts w:hint="eastAsia" w:ascii="宋体" w:hAnsi="宋体" w:eastAsia="宋体" w:cs="宋体"/>
                <w:sz w:val="21"/>
                <w:szCs w:val="21"/>
                <w:lang w:val="en-US" w:eastAsia="zh-CN"/>
              </w:rPr>
              <w:t>:</w:t>
            </w:r>
            <w:r>
              <w:rPr>
                <w:rFonts w:hint="eastAsia" w:ascii="宋体" w:hAnsi="宋体" w:eastAsia="宋体" w:cs="宋体"/>
                <w:sz w:val="21"/>
                <w:szCs w:val="21"/>
                <w:lang w:val="de-DE"/>
              </w:rPr>
              <w:t>5.3岗位/职责 /权限；6.2质量目标及其实现的策划；7.1.6组织知识；7.2能力；</w:t>
            </w:r>
            <w:r>
              <w:rPr>
                <w:rFonts w:hint="eastAsia" w:ascii="宋体" w:hAnsi="宋体" w:eastAsia="宋体" w:cs="宋体"/>
                <w:sz w:val="21"/>
                <w:szCs w:val="21"/>
                <w:lang w:val="en-US" w:eastAsia="zh-CN"/>
              </w:rPr>
              <w:t>9.1.3分析和评价；</w:t>
            </w:r>
            <w:r>
              <w:rPr>
                <w:rFonts w:hint="eastAsia" w:ascii="宋体" w:hAnsi="宋体" w:eastAsia="宋体" w:cs="宋体"/>
                <w:sz w:val="21"/>
                <w:szCs w:val="21"/>
                <w:lang w:val="de-DE"/>
              </w:rPr>
              <w:t>9.2内部审核；</w:t>
            </w:r>
          </w:p>
          <w:p>
            <w:pPr>
              <w:pStyle w:val="12"/>
              <w:bidi w:val="0"/>
              <w:spacing w:line="240" w:lineRule="auto"/>
              <w:ind w:left="0" w:leftChars="0" w:firstLine="0" w:firstLineChars="0"/>
              <w:rPr>
                <w:rFonts w:hint="eastAsia" w:ascii="宋体" w:hAnsi="宋体" w:eastAsia="宋体" w:cs="宋体"/>
                <w:sz w:val="21"/>
                <w:szCs w:val="21"/>
                <w:lang w:val="de-DE"/>
              </w:rPr>
            </w:pPr>
            <w:r>
              <w:rPr>
                <w:rFonts w:hint="eastAsia" w:ascii="宋体" w:hAnsi="宋体" w:eastAsia="宋体" w:cs="宋体"/>
                <w:sz w:val="21"/>
                <w:szCs w:val="21"/>
                <w:lang w:val="de-DE"/>
              </w:rPr>
              <w:t>E</w:t>
            </w:r>
            <w:r>
              <w:rPr>
                <w:rFonts w:hint="eastAsia" w:ascii="宋体" w:hAnsi="宋体" w:eastAsia="宋体" w:cs="宋体"/>
                <w:sz w:val="21"/>
                <w:szCs w:val="21"/>
                <w:lang w:val="en-US" w:eastAsia="zh-CN"/>
              </w:rPr>
              <w:t>:</w:t>
            </w:r>
            <w:r>
              <w:rPr>
                <w:rFonts w:hint="eastAsia" w:ascii="宋体" w:hAnsi="宋体" w:eastAsia="宋体" w:cs="宋体"/>
                <w:sz w:val="21"/>
                <w:szCs w:val="21"/>
                <w:lang w:val="de-DE"/>
              </w:rPr>
              <w:t xml:space="preserve"> 5.3组织的角色、职责和权限;</w:t>
            </w:r>
            <w:r>
              <w:rPr>
                <w:rFonts w:hint="eastAsia" w:ascii="宋体" w:hAnsi="宋体" w:eastAsia="宋体" w:cs="宋体"/>
                <w:sz w:val="21"/>
                <w:szCs w:val="21"/>
                <w:lang w:val="en-US" w:eastAsia="zh-CN"/>
              </w:rPr>
              <w:t>6.1.2环境因素;6.1.3合规义务；6.1.4措施的策划；</w:t>
            </w:r>
            <w:r>
              <w:rPr>
                <w:rFonts w:hint="eastAsia" w:ascii="宋体" w:hAnsi="宋体" w:eastAsia="宋体" w:cs="宋体"/>
                <w:sz w:val="21"/>
                <w:szCs w:val="21"/>
                <w:lang w:val="de-DE"/>
              </w:rPr>
              <w:t>6.2目标及其实现的策划；7.2能力；8.1运行策划和控制；8.2应急准备和响应；9.1.1监视、测量、分析和评价总则；</w:t>
            </w:r>
            <w:r>
              <w:rPr>
                <w:rFonts w:hint="eastAsia" w:ascii="宋体" w:hAnsi="宋体" w:eastAsia="宋体" w:cs="宋体"/>
                <w:sz w:val="21"/>
                <w:szCs w:val="21"/>
                <w:lang w:val="en-US" w:eastAsia="zh-CN"/>
              </w:rPr>
              <w:t>9.1.2合规性评价；</w:t>
            </w:r>
            <w:r>
              <w:rPr>
                <w:rFonts w:hint="eastAsia" w:ascii="宋体" w:hAnsi="宋体" w:eastAsia="宋体" w:cs="宋体"/>
                <w:sz w:val="21"/>
                <w:szCs w:val="21"/>
                <w:lang w:val="de-DE"/>
              </w:rPr>
              <w:t>9.2内部审核；</w:t>
            </w:r>
          </w:p>
          <w:p>
            <w:pPr>
              <w:pStyle w:val="12"/>
              <w:bidi w:val="0"/>
              <w:spacing w:line="240" w:lineRule="auto"/>
              <w:ind w:left="0" w:leftChars="0" w:firstLine="0" w:firstLineChars="0"/>
              <w:rPr>
                <w:rFonts w:hint="eastAsia" w:ascii="宋体" w:hAnsi="宋体" w:eastAsia="宋体" w:cs="宋体"/>
                <w:sz w:val="21"/>
                <w:szCs w:val="21"/>
                <w:lang w:val="de-DE"/>
              </w:rPr>
            </w:pPr>
            <w:r>
              <w:rPr>
                <w:rFonts w:hint="eastAsia" w:ascii="宋体" w:hAnsi="宋体" w:eastAsia="宋体" w:cs="宋体"/>
                <w:sz w:val="21"/>
                <w:szCs w:val="21"/>
                <w:lang w:val="en-US" w:eastAsia="zh-CN"/>
              </w:rPr>
              <w:t>O:</w:t>
            </w:r>
            <w:r>
              <w:rPr>
                <w:rFonts w:hint="eastAsia" w:ascii="宋体" w:hAnsi="宋体" w:eastAsia="宋体" w:cs="宋体"/>
                <w:sz w:val="21"/>
                <w:szCs w:val="21"/>
                <w:lang w:val="de-DE"/>
              </w:rPr>
              <w:t>5.3组织的角色、职责和权限；</w:t>
            </w:r>
            <w:r>
              <w:rPr>
                <w:rFonts w:hint="eastAsia" w:ascii="宋体" w:hAnsi="宋体" w:eastAsia="宋体" w:cs="宋体"/>
                <w:bCs/>
                <w:sz w:val="21"/>
                <w:szCs w:val="21"/>
                <w:lang w:val="en-US" w:eastAsia="zh-CN"/>
              </w:rPr>
              <w:t>6.1.2危险源、风险和机遇的评价；6.1.3法律法规要求和其他要求的确定；</w:t>
            </w:r>
            <w:r>
              <w:rPr>
                <w:rFonts w:hint="eastAsia" w:ascii="宋体" w:hAnsi="宋体" w:eastAsia="宋体" w:cs="宋体"/>
                <w:sz w:val="21"/>
                <w:szCs w:val="21"/>
                <w:lang w:val="en-US" w:eastAsia="zh-CN"/>
              </w:rPr>
              <w:t>6.1.4措施的策划；</w:t>
            </w:r>
            <w:r>
              <w:rPr>
                <w:rFonts w:hint="eastAsia" w:ascii="宋体" w:hAnsi="宋体" w:eastAsia="宋体" w:cs="宋体"/>
                <w:sz w:val="21"/>
                <w:szCs w:val="21"/>
                <w:lang w:val="de-DE"/>
              </w:rPr>
              <w:t>6.2目标及其实现的策划；7.2能力；8.1运行策划和控制；8.2应急准备和响应；9.1.1监视、测量、分析和评价总则；9.1.2法律法规要求和其他要求的合规性评价；9.2内部审核；</w:t>
            </w:r>
            <w:bookmarkStart w:id="0" w:name="_GoBack"/>
            <w:bookmarkEnd w:id="0"/>
          </w:p>
        </w:tc>
        <w:tc>
          <w:tcPr>
            <w:tcW w:w="89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组织的岗位、职责和权限</w:t>
            </w:r>
          </w:p>
          <w:p>
            <w:pPr>
              <w:spacing w:line="360" w:lineRule="auto"/>
              <w:rPr>
                <w:rFonts w:hint="eastAsia" w:ascii="宋体" w:hAnsi="宋体" w:eastAsia="宋体" w:cs="宋体"/>
                <w:sz w:val="21"/>
                <w:szCs w:val="21"/>
              </w:rPr>
            </w:pPr>
          </w:p>
        </w:tc>
        <w:tc>
          <w:tcPr>
            <w:tcW w:w="1058"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QEO</w:t>
            </w:r>
            <w:r>
              <w:rPr>
                <w:rFonts w:hint="eastAsia" w:ascii="宋体" w:hAnsi="宋体" w:eastAsia="宋体" w:cs="宋体"/>
                <w:sz w:val="21"/>
                <w:szCs w:val="21"/>
              </w:rPr>
              <w:t>5.3</w:t>
            </w:r>
          </w:p>
        </w:tc>
        <w:tc>
          <w:tcPr>
            <w:tcW w:w="10596"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综合办</w:t>
            </w:r>
            <w:r>
              <w:rPr>
                <w:rFonts w:hint="eastAsia" w:ascii="宋体" w:hAnsi="宋体" w:eastAsia="宋体" w:cs="宋体"/>
                <w:sz w:val="21"/>
                <w:szCs w:val="21"/>
              </w:rPr>
              <w:t>按照公司领导要求，做好公司职能和岗位的具体确定，对从事与</w:t>
            </w:r>
            <w:r>
              <w:rPr>
                <w:rFonts w:hint="eastAsia" w:ascii="宋体" w:hAnsi="宋体" w:eastAsia="宋体" w:cs="宋体"/>
                <w:sz w:val="21"/>
                <w:szCs w:val="21"/>
                <w:lang w:val="en-US" w:eastAsia="zh-CN"/>
              </w:rPr>
              <w:t>财务</w:t>
            </w:r>
            <w:r>
              <w:rPr>
                <w:rFonts w:hint="eastAsia" w:ascii="宋体" w:hAnsi="宋体" w:eastAsia="宋体" w:cs="宋体"/>
                <w:sz w:val="21"/>
                <w:szCs w:val="21"/>
              </w:rPr>
              <w:t>有关的管理、执行和验证人员规定其职责、权限及其相互关系，以实现公司管理方针和管理目标。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综合办</w:t>
            </w:r>
            <w:r>
              <w:rPr>
                <w:rFonts w:hint="eastAsia" w:ascii="宋体" w:hAnsi="宋体" w:eastAsia="宋体" w:cs="宋体"/>
                <w:sz w:val="21"/>
                <w:szCs w:val="21"/>
              </w:rPr>
              <w:t>负责人：</w:t>
            </w:r>
            <w:r>
              <w:rPr>
                <w:rFonts w:hint="eastAsia" w:ascii="宋体" w:hAnsi="宋体" w:eastAsia="宋体" w:cs="宋体"/>
                <w:sz w:val="21"/>
                <w:szCs w:val="21"/>
                <w:lang w:val="en-US" w:eastAsia="zh-CN"/>
              </w:rPr>
              <w:t>张亚丽</w:t>
            </w:r>
            <w:r>
              <w:rPr>
                <w:rFonts w:hint="eastAsia" w:ascii="宋体" w:hAnsi="宋体" w:eastAsia="宋体" w:cs="宋体"/>
                <w:sz w:val="21"/>
                <w:szCs w:val="21"/>
              </w:rPr>
              <w:t>。在手册中确定了</w:t>
            </w:r>
            <w:r>
              <w:rPr>
                <w:rFonts w:hint="eastAsia" w:ascii="宋体" w:hAnsi="宋体" w:eastAsia="宋体" w:cs="宋体"/>
                <w:sz w:val="21"/>
                <w:szCs w:val="21"/>
                <w:lang w:eastAsia="zh-CN"/>
              </w:rPr>
              <w:t>综合办</w:t>
            </w:r>
            <w:r>
              <w:rPr>
                <w:rFonts w:hint="eastAsia" w:ascii="宋体" w:hAnsi="宋体" w:eastAsia="宋体" w:cs="宋体"/>
                <w:sz w:val="21"/>
                <w:szCs w:val="21"/>
              </w:rPr>
              <w:t>部门的的职能，人员职责、权限和相互关系。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ab/>
            </w:r>
            <w:r>
              <w:rPr>
                <w:rFonts w:hint="eastAsia" w:ascii="宋体" w:hAnsi="宋体" w:eastAsia="宋体" w:cs="宋体"/>
                <w:sz w:val="21"/>
                <w:szCs w:val="21"/>
              </w:rPr>
              <w:t>公司质量、环境和职业健康安全管理体系的归口管理。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ab/>
            </w:r>
            <w:r>
              <w:rPr>
                <w:rFonts w:hint="eastAsia" w:ascii="宋体" w:hAnsi="宋体" w:eastAsia="宋体" w:cs="宋体"/>
                <w:sz w:val="21"/>
                <w:szCs w:val="21"/>
              </w:rPr>
              <w:t>负责组织内部审核、外部审核、管理评审中纠正和预防措施的实施和内部沟通工作；</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ab/>
            </w:r>
            <w:r>
              <w:rPr>
                <w:rFonts w:hint="eastAsia" w:ascii="宋体" w:hAnsi="宋体" w:eastAsia="宋体" w:cs="宋体"/>
                <w:sz w:val="21"/>
                <w:szCs w:val="21"/>
              </w:rPr>
              <w:t>编制岗位能力要求，负责组织实施职工培训工作，为质量管理体系有效运行提供合格的人力资源；</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rPr>
              <w:tab/>
            </w:r>
            <w:r>
              <w:rPr>
                <w:rFonts w:hint="eastAsia" w:ascii="宋体" w:hAnsi="宋体" w:eastAsia="宋体" w:cs="宋体"/>
                <w:sz w:val="21"/>
                <w:szCs w:val="21"/>
              </w:rPr>
              <w:t>负责对本公司人员教育和管理工作，不断提高人员的质量意识和素质，做好事业部过程中的与其他部门的配合接口工作；</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rPr>
              <w:tab/>
            </w:r>
            <w:r>
              <w:rPr>
                <w:rFonts w:hint="eastAsia" w:ascii="宋体" w:hAnsi="宋体" w:eastAsia="宋体" w:cs="宋体"/>
                <w:sz w:val="21"/>
                <w:szCs w:val="21"/>
              </w:rPr>
              <w:t>负责文件、资料的管理工作；</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rPr>
              <w:tab/>
            </w:r>
            <w:r>
              <w:rPr>
                <w:rFonts w:hint="eastAsia" w:ascii="宋体" w:hAnsi="宋体" w:eastAsia="宋体" w:cs="宋体"/>
                <w:sz w:val="21"/>
                <w:szCs w:val="21"/>
              </w:rPr>
              <w:t>建立劳动管理规章制度，负责职工劳动合同的签订及履行；</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rPr>
              <w:tab/>
            </w:r>
            <w:r>
              <w:rPr>
                <w:rFonts w:hint="eastAsia" w:ascii="宋体" w:hAnsi="宋体" w:eastAsia="宋体" w:cs="宋体"/>
                <w:sz w:val="21"/>
                <w:szCs w:val="21"/>
              </w:rPr>
              <w:t>负责内部工作文件、行业管理文件和其它应予归档材料的及时登记、分类、立卷归档，各类资料的分类存放要科学合理，便于查找。</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rPr>
              <w:tab/>
            </w:r>
            <w:r>
              <w:rPr>
                <w:rFonts w:hint="eastAsia" w:ascii="宋体" w:hAnsi="宋体" w:eastAsia="宋体" w:cs="宋体"/>
                <w:sz w:val="21"/>
                <w:szCs w:val="21"/>
              </w:rPr>
              <w:t>负责及时中止作废标准归档和资料销毁工作。</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rPr>
              <w:tab/>
            </w:r>
            <w:r>
              <w:rPr>
                <w:rFonts w:hint="eastAsia" w:ascii="宋体" w:hAnsi="宋体" w:eastAsia="宋体" w:cs="宋体"/>
                <w:sz w:val="21"/>
                <w:szCs w:val="21"/>
              </w:rPr>
              <w:t>负责公司外来人员的等级，保证公司公共财产的安全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sz w:val="21"/>
                <w:szCs w:val="21"/>
              </w:rPr>
              <w:tab/>
            </w:r>
            <w:r>
              <w:rPr>
                <w:rFonts w:hint="eastAsia" w:ascii="宋体" w:hAnsi="宋体" w:eastAsia="宋体" w:cs="宋体"/>
                <w:sz w:val="21"/>
                <w:szCs w:val="21"/>
              </w:rPr>
              <w:t>负责监督公司员工上下班打卡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w:t>
            </w:r>
            <w:r>
              <w:rPr>
                <w:rFonts w:hint="eastAsia" w:ascii="宋体" w:hAnsi="宋体" w:eastAsia="宋体" w:cs="宋体"/>
                <w:sz w:val="21"/>
                <w:szCs w:val="21"/>
              </w:rPr>
              <w:tab/>
            </w:r>
            <w:r>
              <w:rPr>
                <w:rFonts w:hint="eastAsia" w:ascii="宋体" w:hAnsi="宋体" w:eastAsia="宋体" w:cs="宋体"/>
                <w:sz w:val="21"/>
                <w:szCs w:val="21"/>
              </w:rPr>
              <w:t>及时完成公司领导交付的各项临时工作。</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eastAsia="宋体" w:cs="宋体"/>
                <w:sz w:val="21"/>
                <w:szCs w:val="21"/>
              </w:rPr>
              <w:tab/>
            </w:r>
            <w:r>
              <w:rPr>
                <w:rFonts w:hint="eastAsia" w:ascii="宋体" w:hAnsi="宋体" w:eastAsia="宋体" w:cs="宋体"/>
                <w:sz w:val="21"/>
                <w:szCs w:val="21"/>
              </w:rPr>
              <w:t>负责各种原材料、配件及辅助材料等物资的采购供应管理、贮存、保管和发放的工作，并标识完好和对采购成本负责；</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w:t>
            </w:r>
            <w:r>
              <w:rPr>
                <w:rFonts w:hint="eastAsia" w:ascii="宋体" w:hAnsi="宋体" w:eastAsia="宋体" w:cs="宋体"/>
                <w:sz w:val="21"/>
                <w:szCs w:val="21"/>
              </w:rPr>
              <w:tab/>
            </w:r>
            <w:r>
              <w:rPr>
                <w:rFonts w:hint="eastAsia" w:ascii="宋体" w:hAnsi="宋体" w:eastAsia="宋体" w:cs="宋体"/>
                <w:sz w:val="21"/>
                <w:szCs w:val="21"/>
              </w:rPr>
              <w:t>负责管理体系中有关材料管理、供应中的责任，发现问题时要及时与有关部门联系及时进行纠正，并不断进行质量改进；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14)</w:t>
            </w:r>
            <w:r>
              <w:rPr>
                <w:rFonts w:hint="eastAsia" w:ascii="宋体" w:hAnsi="宋体" w:eastAsia="宋体" w:cs="宋体"/>
                <w:sz w:val="21"/>
                <w:szCs w:val="21"/>
              </w:rPr>
              <w:tab/>
            </w:r>
            <w:r>
              <w:rPr>
                <w:rFonts w:hint="eastAsia" w:ascii="宋体" w:hAnsi="宋体" w:eastAsia="宋体" w:cs="宋体"/>
                <w:sz w:val="21"/>
                <w:szCs w:val="21"/>
              </w:rPr>
              <w:t>负责各种材料的料账进出业务报表等业务；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w:t>
            </w:r>
            <w:r>
              <w:rPr>
                <w:rFonts w:hint="eastAsia" w:ascii="宋体" w:hAnsi="宋体" w:eastAsia="宋体" w:cs="宋体"/>
                <w:sz w:val="21"/>
                <w:szCs w:val="21"/>
              </w:rPr>
              <w:tab/>
            </w:r>
            <w:r>
              <w:rPr>
                <w:rFonts w:hint="eastAsia" w:ascii="宋体" w:hAnsi="宋体" w:eastAsia="宋体" w:cs="宋体"/>
                <w:sz w:val="21"/>
                <w:szCs w:val="21"/>
              </w:rPr>
              <w:t>识别并控制本部门的环境因素及危险因素，落实本部门的体系目标和指标。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询问</w:t>
            </w:r>
            <w:r>
              <w:rPr>
                <w:rFonts w:hint="eastAsia" w:ascii="宋体" w:hAnsi="宋体" w:eastAsia="宋体" w:cs="宋体"/>
                <w:sz w:val="21"/>
                <w:szCs w:val="21"/>
                <w:lang w:val="en-US" w:eastAsia="zh-CN"/>
              </w:rPr>
              <w:t>综合办</w:t>
            </w:r>
            <w:r>
              <w:rPr>
                <w:rFonts w:hint="eastAsia" w:ascii="宋体" w:hAnsi="宋体" w:eastAsia="宋体" w:cs="宋体"/>
                <w:sz w:val="21"/>
                <w:szCs w:val="21"/>
              </w:rPr>
              <w:t>人员，基本清楚本部门职责。</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现有上述管理人员配置满足要求，配有与工作相关的电脑、打/复印机、传真机等设施。</w:t>
            </w:r>
          </w:p>
        </w:tc>
        <w:tc>
          <w:tcPr>
            <w:tcW w:w="895"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0"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环境因素危险源的识别和评价</w:t>
            </w:r>
          </w:p>
        </w:tc>
        <w:tc>
          <w:tcPr>
            <w:tcW w:w="1058"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EO</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6.1.2</w:t>
            </w:r>
          </w:p>
        </w:tc>
        <w:tc>
          <w:tcPr>
            <w:tcW w:w="10596" w:type="dxa"/>
            <w:vAlign w:val="top"/>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提供了《</w:t>
            </w:r>
            <w:r>
              <w:rPr>
                <w:rFonts w:hint="eastAsia" w:ascii="宋体" w:hAnsi="宋体" w:eastAsia="宋体" w:cs="宋体"/>
                <w:sz w:val="21"/>
                <w:szCs w:val="21"/>
                <w:lang w:val="zh-CN" w:eastAsia="zh-CN"/>
              </w:rPr>
              <w:t>环境因素识别与评价控制程序</w:t>
            </w:r>
            <w:r>
              <w:rPr>
                <w:rFonts w:hint="eastAsia" w:ascii="宋体" w:hAnsi="宋体" w:eastAsia="宋体" w:cs="宋体"/>
                <w:sz w:val="21"/>
                <w:szCs w:val="21"/>
                <w:lang w:val="en-US" w:eastAsia="zh-CN"/>
              </w:rPr>
              <w:t>》、《</w:t>
            </w:r>
            <w:r>
              <w:rPr>
                <w:rFonts w:hint="eastAsia" w:ascii="宋体" w:hAnsi="宋体" w:eastAsia="宋体" w:cs="宋体"/>
                <w:sz w:val="21"/>
                <w:szCs w:val="21"/>
                <w:lang w:val="zh-CN" w:eastAsia="zh-CN"/>
              </w:rPr>
              <w:t>危险源识别与风险评价控制程序</w:t>
            </w:r>
            <w:r>
              <w:rPr>
                <w:rFonts w:hint="eastAsia" w:ascii="宋体" w:hAnsi="宋体" w:eastAsia="宋体" w:cs="宋体"/>
                <w:sz w:val="21"/>
                <w:szCs w:val="21"/>
                <w:lang w:val="en-US" w:eastAsia="zh-CN"/>
              </w:rPr>
              <w:t>》，对环境因素、危险源的识别、评价结果、控制手段等做出了规定。</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部门负责人介绍了对环境因素、危险源进行了辨识，考虑了三种时态，过去、现在和将来，三种状态，正常、异常和紧急，按照办公区域及工作过程，另外按照区域及工作过程等进行了辨识。</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查《环境因素识别评价表》，对本部门办公等有关过程的环境因素。分别识别了日常办公过程中的固废（废电池、灯管、墨盒、笔）造成的地面污染、水资源消耗、照明、空调、办公设施等电能消耗、意外火灾引起的污染大气等环境因素。</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查到：《重要环境因素清单》，公司涉及重要环境因素：</w:t>
            </w:r>
            <w:r>
              <w:rPr>
                <w:rFonts w:hint="eastAsia" w:ascii="宋体" w:hAnsi="宋体" w:cs="宋体"/>
                <w:color w:val="auto"/>
                <w:sz w:val="21"/>
                <w:szCs w:val="21"/>
                <w:lang w:val="en-US" w:eastAsia="zh-CN"/>
              </w:rPr>
              <w:t>粉尘的</w:t>
            </w:r>
            <w:r>
              <w:rPr>
                <w:rFonts w:hint="eastAsia" w:ascii="宋体" w:hAnsi="宋体" w:eastAsia="宋体" w:cs="宋体"/>
                <w:color w:val="auto"/>
                <w:sz w:val="21"/>
                <w:szCs w:val="21"/>
                <w:lang w:val="en-US" w:eastAsia="zh-CN"/>
              </w:rPr>
              <w:t>排放</w:t>
            </w:r>
            <w:r>
              <w:rPr>
                <w:rFonts w:hint="eastAsia" w:ascii="宋体" w:hAnsi="宋体" w:cs="宋体"/>
                <w:color w:val="auto"/>
                <w:sz w:val="21"/>
                <w:szCs w:val="21"/>
                <w:lang w:val="en-US" w:eastAsia="zh-CN"/>
              </w:rPr>
              <w:t>和噪声排放</w:t>
            </w:r>
            <w:r>
              <w:rPr>
                <w:rFonts w:hint="eastAsia" w:ascii="宋体" w:hAnsi="宋体" w:eastAsia="宋体" w:cs="宋体"/>
                <w:color w:val="auto"/>
                <w:sz w:val="21"/>
                <w:szCs w:val="21"/>
                <w:lang w:val="en-US" w:eastAsia="zh-CN"/>
              </w:rPr>
              <w:t>。</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查《危险源辨识及风险评价表》，</w:t>
            </w:r>
            <w:r>
              <w:rPr>
                <w:rFonts w:hint="eastAsia" w:ascii="宋体" w:hAnsi="宋体" w:eastAsia="宋体" w:cs="宋体"/>
                <w:color w:val="auto"/>
                <w:sz w:val="21"/>
                <w:szCs w:val="21"/>
                <w:lang w:val="en-US" w:eastAsia="zh-TW"/>
              </w:rPr>
              <w:t>识别了</w:t>
            </w:r>
            <w:r>
              <w:rPr>
                <w:rFonts w:hint="eastAsia" w:ascii="宋体" w:hAnsi="宋体" w:eastAsia="宋体" w:cs="宋体"/>
                <w:color w:val="auto"/>
                <w:sz w:val="21"/>
                <w:szCs w:val="21"/>
                <w:lang w:val="en-US" w:eastAsia="zh-CN"/>
              </w:rPr>
              <w:t>高温作业中暑</w:t>
            </w:r>
            <w:r>
              <w:rPr>
                <w:rFonts w:hint="eastAsia" w:ascii="宋体" w:hAnsi="宋体" w:eastAsia="宋体" w:cs="宋体"/>
                <w:color w:val="auto"/>
                <w:sz w:val="21"/>
                <w:szCs w:val="21"/>
                <w:lang w:val="en-US" w:eastAsia="zh-TW"/>
              </w:rPr>
              <w:t>、</w:t>
            </w:r>
            <w:r>
              <w:rPr>
                <w:rFonts w:hint="eastAsia" w:ascii="宋体" w:hAnsi="宋体" w:eastAsia="宋体" w:cs="宋体"/>
                <w:color w:val="auto"/>
                <w:sz w:val="21"/>
                <w:szCs w:val="21"/>
                <w:lang w:val="en-US" w:eastAsia="zh-CN"/>
              </w:rPr>
              <w:t>电器缺陷</w:t>
            </w:r>
            <w:r>
              <w:rPr>
                <w:rFonts w:hint="eastAsia" w:ascii="宋体" w:hAnsi="宋体" w:eastAsia="宋体" w:cs="宋体"/>
                <w:color w:val="auto"/>
                <w:sz w:val="21"/>
                <w:szCs w:val="21"/>
                <w:lang w:val="en-US" w:eastAsia="zh-TW"/>
              </w:rPr>
              <w:t>火灾</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违规操作</w:t>
            </w:r>
            <w:r>
              <w:rPr>
                <w:rFonts w:hint="eastAsia" w:ascii="宋体" w:hAnsi="宋体" w:eastAsia="宋体" w:cs="宋体"/>
                <w:color w:val="auto"/>
                <w:sz w:val="21"/>
                <w:szCs w:val="21"/>
                <w:lang w:val="en-US" w:eastAsia="zh-TW"/>
              </w:rPr>
              <w:t>可能导致的</w:t>
            </w:r>
            <w:r>
              <w:rPr>
                <w:rFonts w:hint="eastAsia" w:ascii="宋体" w:hAnsi="宋体" w:eastAsia="宋体" w:cs="宋体"/>
                <w:color w:val="auto"/>
                <w:sz w:val="21"/>
                <w:szCs w:val="21"/>
                <w:lang w:val="en-US" w:eastAsia="zh-CN"/>
              </w:rPr>
              <w:t>人身伤害</w:t>
            </w:r>
            <w:r>
              <w:rPr>
                <w:rFonts w:hint="eastAsia" w:ascii="宋体" w:hAnsi="宋体" w:eastAsia="宋体" w:cs="宋体"/>
                <w:color w:val="auto"/>
                <w:sz w:val="21"/>
                <w:szCs w:val="21"/>
                <w:lang w:val="en-US" w:eastAsia="zh-TW"/>
              </w:rPr>
              <w:t>等危险源</w:t>
            </w:r>
            <w:r>
              <w:rPr>
                <w:rFonts w:hint="eastAsia" w:ascii="宋体" w:hAnsi="宋体" w:eastAsia="宋体" w:cs="宋体"/>
                <w:color w:val="auto"/>
                <w:sz w:val="21"/>
                <w:szCs w:val="21"/>
                <w:lang w:val="en-US" w:eastAsia="zh-CN"/>
              </w:rPr>
              <w:t>。</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查到：《不可接受风险清单》，</w:t>
            </w:r>
            <w:r>
              <w:rPr>
                <w:rFonts w:hint="eastAsia" w:ascii="宋体" w:hAnsi="宋体" w:eastAsia="宋体" w:cs="宋体"/>
                <w:color w:val="auto"/>
                <w:sz w:val="21"/>
                <w:szCs w:val="21"/>
                <w:lang w:val="en-US" w:eastAsia="zh-TW"/>
              </w:rPr>
              <w:t>公司涉及重大危险源：</w:t>
            </w:r>
            <w:r>
              <w:rPr>
                <w:rFonts w:hint="eastAsia" w:ascii="宋体" w:hAnsi="宋体" w:eastAsia="宋体" w:cs="宋体"/>
                <w:color w:val="auto"/>
                <w:sz w:val="21"/>
                <w:szCs w:val="21"/>
                <w:lang w:val="en-US" w:eastAsia="zh-CN"/>
              </w:rPr>
              <w:t>触电、火灾爆炸</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机械伤害、高空坠落、运输伤亡、职业病。</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TW"/>
              </w:rPr>
              <w:t>对于</w:t>
            </w:r>
            <w:r>
              <w:rPr>
                <w:rFonts w:hint="eastAsia" w:ascii="宋体" w:hAnsi="宋体" w:eastAsia="宋体" w:cs="宋体"/>
                <w:sz w:val="21"/>
                <w:szCs w:val="21"/>
                <w:lang w:val="en-US" w:eastAsia="zh-CN"/>
              </w:rPr>
              <w:t>环境因素、重要环境因素及危险源、不可接受风险等通过运行控制、管理方案、应急准备与响应进行控制。</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TW"/>
              </w:rPr>
              <w:t>行政人资部</w:t>
            </w:r>
            <w:r>
              <w:rPr>
                <w:rFonts w:hint="eastAsia" w:ascii="宋体" w:hAnsi="宋体" w:eastAsia="宋体" w:cs="宋体"/>
                <w:sz w:val="21"/>
                <w:szCs w:val="21"/>
                <w:lang w:val="en-US" w:eastAsia="zh-CN"/>
              </w:rPr>
              <w:t>环境因素、危险源的识别、评价基本符合标准要求。</w:t>
            </w:r>
          </w:p>
        </w:tc>
        <w:tc>
          <w:tcPr>
            <w:tcW w:w="895"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2160"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法律法规</w:t>
            </w:r>
            <w:r>
              <w:rPr>
                <w:rFonts w:hint="eastAsia" w:ascii="宋体" w:hAnsi="宋体" w:eastAsia="宋体" w:cs="宋体"/>
                <w:sz w:val="21"/>
                <w:szCs w:val="21"/>
                <w:lang w:val="en-US" w:eastAsia="zh-CN"/>
              </w:rPr>
              <w:t>要求和其他要求的确定</w:t>
            </w:r>
            <w:r>
              <w:rPr>
                <w:rFonts w:hint="eastAsia" w:ascii="宋体" w:hAnsi="宋体" w:eastAsia="宋体" w:cs="宋体"/>
                <w:sz w:val="21"/>
                <w:szCs w:val="21"/>
              </w:rPr>
              <w:t>、合规义务</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合规性评价</w:t>
            </w:r>
          </w:p>
        </w:tc>
        <w:tc>
          <w:tcPr>
            <w:tcW w:w="1058"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EO6.1.3</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EO9.1.2</w:t>
            </w:r>
          </w:p>
        </w:tc>
        <w:tc>
          <w:tcPr>
            <w:tcW w:w="10596"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建立实施了《法律与其它要求控制程序》、《合规性评价控制程序》。</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查《法律法规及其他要求清单》，识别了相关环境、职业健康安全合规义务。</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中包括：《中华人民共和国环境保护法》、《中华人民共和国固体废物污染环境防治法》、《中华人民共和国水污染防治法》、《中华人民共和国传染病防治法》、《特种设备安全监察管理条例》、《环境行政处罚办法》、《中华人民共和国安全生产法》、《中华人民共和国职业病防治法》、《湖北省环境保护条例》、《湖北省消防条例》等。已识别法律法规及其它要求的适用条款，能与环境因素、危险源相对应。</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行政人资部根据需要随时网上获取、识别更新，并通过培训、宣传、会议等形式传达给员工和相关方，各部门如有需要随时到行政人资部查阅。</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2022年5月23日《合规性评价报告》，对公司适用环境、职业健康安全的法律法规和其他要求进行了评价，全部符合要求。评价结果：我公司没有违法国家法律、法规及相关标准，严格遵守国家有关环境方面的规定，密切关注法律法规的变化，并适时调整，严格按体系标准执行。</w:t>
            </w:r>
          </w:p>
        </w:tc>
        <w:tc>
          <w:tcPr>
            <w:tcW w:w="895"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60" w:type="dxa"/>
            <w:vAlign w:val="top"/>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措施的策划</w:t>
            </w:r>
          </w:p>
          <w:p>
            <w:pPr>
              <w:spacing w:line="360" w:lineRule="auto"/>
              <w:rPr>
                <w:rFonts w:hint="eastAsia" w:ascii="宋体" w:hAnsi="宋体" w:eastAsia="宋体" w:cs="宋体"/>
                <w:kern w:val="2"/>
                <w:sz w:val="21"/>
                <w:szCs w:val="21"/>
                <w:lang w:val="en-US" w:eastAsia="zh-CN" w:bidi="ar-SA"/>
              </w:rPr>
            </w:pPr>
          </w:p>
        </w:tc>
        <w:tc>
          <w:tcPr>
            <w:tcW w:w="1058"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EO</w:t>
            </w:r>
            <w:r>
              <w:rPr>
                <w:rFonts w:hint="eastAsia" w:ascii="宋体" w:hAnsi="宋体" w:eastAsia="宋体" w:cs="宋体"/>
                <w:sz w:val="21"/>
                <w:szCs w:val="21"/>
              </w:rPr>
              <w:t>6.1.4</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p>
        </w:tc>
        <w:tc>
          <w:tcPr>
            <w:tcW w:w="105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企业识别了如下分析：</w:t>
            </w:r>
          </w:p>
          <w:p>
            <w:pPr>
              <w:numPr>
                <w:ilvl w:val="0"/>
                <w:numId w:val="1"/>
              </w:num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法律、法规内容的变化：风险：公司是是否充分及时收集评估，并转化为公司制度执行，符合新法规要求。 机遇：公司产品机构调整，给公司带来潜在的客户 </w:t>
            </w:r>
            <w:r>
              <w:rPr>
                <w:rFonts w:hint="eastAsia" w:ascii="宋体" w:hAnsi="宋体" w:eastAsia="宋体" w:cs="宋体"/>
                <w:sz w:val="21"/>
                <w:szCs w:val="21"/>
                <w:lang w:eastAsia="zh-CN"/>
              </w:rPr>
              <w:t>。</w:t>
            </w:r>
          </w:p>
          <w:p>
            <w:pPr>
              <w:numPr>
                <w:ilvl w:val="0"/>
                <w:numId w:val="1"/>
              </w:num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技术风险</w:t>
            </w:r>
            <w:r>
              <w:rPr>
                <w:rFonts w:hint="eastAsia" w:ascii="宋体" w:hAnsi="宋体" w:eastAsia="宋体" w:cs="宋体"/>
                <w:sz w:val="21"/>
                <w:szCs w:val="21"/>
                <w:lang w:val="en-US" w:eastAsia="zh-CN"/>
              </w:rPr>
              <w:t>---</w:t>
            </w:r>
            <w:r>
              <w:rPr>
                <w:rFonts w:hint="eastAsia" w:ascii="宋体" w:hAnsi="宋体" w:eastAsia="宋体" w:cs="宋体"/>
                <w:sz w:val="21"/>
                <w:szCs w:val="21"/>
              </w:rPr>
              <w:t>新领域、新设备、新工艺风险：公司现有的工艺、设备如果比较落后，造成产品的成本较高，不符合环保要求材料无法取代，缺少市场竞争力。机遇：通过引进新的设备、工艺，提高公司的工艺水平，降低产品成本，提高公司的市场竞争力。</w:t>
            </w:r>
          </w:p>
          <w:p>
            <w:pPr>
              <w:numPr>
                <w:ilvl w:val="0"/>
                <w:numId w:val="1"/>
              </w:num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管理风险：管理一个企业主要是建立一个团队，要有健全的规章制度，让每一个员工都在可控的状态下工作，给每个员工创造发展的空间，让每个职责部门的领导对自己所领导的部门承担全部权利和义务，公司</w:t>
            </w:r>
            <w:r>
              <w:rPr>
                <w:rFonts w:hint="eastAsia" w:ascii="宋体" w:hAnsi="宋体" w:eastAsia="宋体" w:cs="宋体"/>
                <w:sz w:val="21"/>
                <w:szCs w:val="21"/>
                <w:lang w:eastAsia="zh-CN"/>
              </w:rPr>
              <w:t>综合办</w:t>
            </w:r>
            <w:r>
              <w:rPr>
                <w:rFonts w:hint="eastAsia" w:ascii="宋体" w:hAnsi="宋体" w:eastAsia="宋体" w:cs="宋体"/>
                <w:sz w:val="21"/>
                <w:szCs w:val="21"/>
              </w:rPr>
              <w:t>负责管理人员的登记造册、技能培训、人员招聘等，并加大培训力度多方储备人才，防止因人员的流失而造成工作的停滞，造成损失。</w:t>
            </w:r>
          </w:p>
          <w:p>
            <w:pPr>
              <w:numPr>
                <w:ilvl w:val="0"/>
                <w:numId w:val="1"/>
              </w:numPr>
              <w:spacing w:line="360" w:lineRule="auto"/>
              <w:ind w:left="0" w:leftChars="0"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来自市场的风险</w:t>
            </w:r>
            <w:r>
              <w:rPr>
                <w:rFonts w:hint="eastAsia" w:ascii="宋体" w:hAnsi="宋体" w:eastAsia="宋体" w:cs="宋体"/>
                <w:sz w:val="21"/>
                <w:szCs w:val="21"/>
                <w:lang w:eastAsia="zh-CN"/>
              </w:rPr>
              <w:t>：</w:t>
            </w:r>
            <w:r>
              <w:rPr>
                <w:rFonts w:hint="eastAsia" w:ascii="宋体" w:hAnsi="宋体" w:eastAsia="宋体" w:cs="宋体"/>
                <w:sz w:val="21"/>
                <w:szCs w:val="21"/>
              </w:rPr>
              <w:t>市场容量竞争力 价格风险</w:t>
            </w:r>
            <w:r>
              <w:rPr>
                <w:rFonts w:hint="eastAsia" w:ascii="宋体" w:hAnsi="宋体" w:eastAsia="宋体" w:cs="宋体"/>
                <w:sz w:val="21"/>
                <w:szCs w:val="21"/>
                <w:lang w:eastAsia="zh-CN"/>
              </w:rPr>
              <w:t>：风险：公司目前产品市场容量毕竟有限，同时加上竞争对手的营销策略，对公司产品的竞争力和价格都产生比较大的压力，市场风险比较大。机遇：通过梳理公司产品，需找好的新的项目，同时促进公司内部的管理水平，保持质量领先，提高公司的竞争优势。</w:t>
            </w:r>
          </w:p>
          <w:p>
            <w:pPr>
              <w:pStyle w:val="18"/>
              <w:spacing w:line="360" w:lineRule="auto"/>
              <w:rPr>
                <w:rFonts w:hint="eastAsia" w:ascii="宋体" w:hAnsi="宋体" w:eastAsia="宋体" w:cs="宋体"/>
                <w:sz w:val="21"/>
                <w:szCs w:val="21"/>
              </w:rPr>
            </w:pPr>
            <w:r>
              <w:rPr>
                <w:rFonts w:hint="eastAsia" w:ascii="宋体" w:hAnsi="宋体" w:eastAsia="宋体" w:cs="宋体"/>
                <w:sz w:val="21"/>
                <w:szCs w:val="21"/>
              </w:rPr>
              <w:t>风险评估结论：对于以上涉及到的主要风险，一旦发生，均可能对公司的发展造成巨大损失，所以我们应时刻监视并评价相关环境因素，尽可能的规避风险或降低发生概率。</w:t>
            </w:r>
          </w:p>
          <w:p>
            <w:pPr>
              <w:pStyle w:val="18"/>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企业制定了如下措施：</w:t>
            </w:r>
          </w:p>
          <w:p>
            <w:pPr>
              <w:numPr>
                <w:ilvl w:val="0"/>
                <w:numId w:val="2"/>
              </w:numPr>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针</w:t>
            </w:r>
            <w:r>
              <w:rPr>
                <w:rFonts w:hint="eastAsia" w:ascii="宋体" w:hAnsi="宋体" w:eastAsia="宋体" w:cs="宋体"/>
                <w:color w:val="auto"/>
                <w:sz w:val="21"/>
                <w:szCs w:val="21"/>
                <w:lang w:val="en-US" w:eastAsia="zh-CN"/>
              </w:rPr>
              <w:t>对</w:t>
            </w:r>
            <w:r>
              <w:rPr>
                <w:rFonts w:hint="eastAsia" w:ascii="宋体" w:hAnsi="宋体" w:eastAsia="宋体" w:cs="宋体"/>
                <w:color w:val="auto"/>
                <w:sz w:val="21"/>
                <w:szCs w:val="21"/>
              </w:rPr>
              <w:t>法律、法规内容的变化风险，主要职能部门按照要求定期收集评法律法规 。</w:t>
            </w:r>
          </w:p>
          <w:p>
            <w:pPr>
              <w:numPr>
                <w:ilvl w:val="0"/>
                <w:numId w:val="2"/>
              </w:numPr>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技术风险的应对，公司根据目前的技术水平，制定的技术攻关和设备改造计划，有关职能部门予以有效落实。</w:t>
            </w:r>
          </w:p>
          <w:p>
            <w:pPr>
              <w:numPr>
                <w:ilvl w:val="0"/>
                <w:numId w:val="2"/>
              </w:numPr>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管理风险的应对，加强公司团队的建设，争取公司的竞争力度，积极开拓市场业务，必要时增加公司的资质，例如进行管理体系的认证。</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rPr>
              <w:t>市场风险的应对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1）完善公司内部管理制度，加强部门的考核，提高公司管理水平，提高公司产品质量，保持竞争的优势； 2）积极开拓新产品市场，储备新的产品，提高市场容量。</w:t>
            </w:r>
          </w:p>
        </w:tc>
        <w:tc>
          <w:tcPr>
            <w:tcW w:w="895"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60"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管理目标及其实现的策划</w:t>
            </w:r>
          </w:p>
          <w:p>
            <w:pPr>
              <w:spacing w:line="360" w:lineRule="auto"/>
              <w:rPr>
                <w:rFonts w:hint="eastAsia" w:ascii="宋体" w:hAnsi="宋体" w:eastAsia="宋体" w:cs="宋体"/>
                <w:kern w:val="2"/>
                <w:sz w:val="21"/>
                <w:szCs w:val="21"/>
                <w:lang w:val="en-US" w:eastAsia="zh-CN" w:bidi="ar-SA"/>
              </w:rPr>
            </w:pPr>
          </w:p>
        </w:tc>
        <w:tc>
          <w:tcPr>
            <w:tcW w:w="1058"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Q</w:t>
            </w:r>
            <w:r>
              <w:rPr>
                <w:rFonts w:hint="eastAsia" w:ascii="宋体" w:hAnsi="宋体" w:eastAsia="宋体" w:cs="宋体"/>
                <w:sz w:val="21"/>
                <w:szCs w:val="21"/>
                <w:lang w:val="en-US" w:eastAsia="zh-CN"/>
              </w:rPr>
              <w:t>E</w:t>
            </w:r>
            <w:r>
              <w:rPr>
                <w:rFonts w:hint="eastAsia" w:ascii="宋体" w:hAnsi="宋体" w:eastAsia="宋体" w:cs="宋体"/>
                <w:sz w:val="21"/>
                <w:szCs w:val="21"/>
              </w:rPr>
              <w:t>O6.2</w:t>
            </w:r>
          </w:p>
          <w:p>
            <w:pPr>
              <w:spacing w:line="360" w:lineRule="auto"/>
              <w:rPr>
                <w:rFonts w:hint="eastAsia" w:ascii="宋体" w:hAnsi="宋体" w:eastAsia="宋体" w:cs="宋体"/>
                <w:kern w:val="2"/>
                <w:sz w:val="21"/>
                <w:szCs w:val="21"/>
                <w:lang w:val="en-US" w:eastAsia="zh-CN" w:bidi="ar-SA"/>
              </w:rPr>
            </w:pPr>
          </w:p>
        </w:tc>
        <w:tc>
          <w:tcPr>
            <w:tcW w:w="10596"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公司对管理体系所需的相关职能、层次和过程设定管理目标。</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公司管理目标是：</w:t>
            </w:r>
          </w:p>
          <w:tbl>
            <w:tblPr>
              <w:tblStyle w:val="15"/>
              <w:tblW w:w="9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6"/>
              <w:gridCol w:w="3100"/>
              <w:gridCol w:w="1396"/>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236" w:type="dxa"/>
                  <w:noWrap w:val="0"/>
                  <w:vAlign w:val="top"/>
                </w:tcPr>
                <w:p>
                  <w:pPr>
                    <w:rPr>
                      <w:rFonts w:hint="eastAsia" w:ascii="宋体" w:hAnsi="宋体" w:eastAsia="宋体" w:cs="宋体"/>
                      <w:sz w:val="21"/>
                      <w:szCs w:val="21"/>
                    </w:rPr>
                  </w:pPr>
                  <w:r>
                    <w:rPr>
                      <w:rFonts w:hint="eastAsia" w:ascii="宋体" w:hAnsi="宋体"/>
                      <w:color w:val="000000"/>
                      <w:sz w:val="21"/>
                      <w:szCs w:val="21"/>
                    </w:rPr>
                    <w:t>1、顾客满意度≥95%以上</w:t>
                  </w:r>
                </w:p>
              </w:tc>
              <w:tc>
                <w:tcPr>
                  <w:tcW w:w="3100" w:type="dxa"/>
                  <w:noWrap w:val="0"/>
                  <w:vAlign w:val="center"/>
                </w:tcPr>
                <w:p>
                  <w:pPr>
                    <w:jc w:val="center"/>
                    <w:rPr>
                      <w:rFonts w:hint="eastAsia" w:ascii="宋体" w:hAnsi="宋体" w:eastAsia="宋体" w:cs="宋体"/>
                      <w:sz w:val="21"/>
                      <w:szCs w:val="21"/>
                    </w:rPr>
                  </w:pPr>
                  <w:r>
                    <w:rPr>
                      <w:rFonts w:hint="eastAsia" w:ascii="宋体" w:hAnsi="宋体"/>
                      <w:sz w:val="21"/>
                      <w:szCs w:val="21"/>
                      <w:lang w:val="en-US" w:eastAsia="zh-CN"/>
                    </w:rPr>
                    <w:t>96</w:t>
                  </w:r>
                  <w:r>
                    <w:rPr>
                      <w:rFonts w:hint="eastAsia" w:ascii="宋体" w:hAnsi="宋体"/>
                      <w:sz w:val="21"/>
                      <w:szCs w:val="21"/>
                    </w:rPr>
                    <w:t>%</w:t>
                  </w:r>
                </w:p>
              </w:tc>
              <w:tc>
                <w:tcPr>
                  <w:tcW w:w="1396" w:type="dxa"/>
                  <w:noWrap w:val="0"/>
                  <w:vAlign w:val="center"/>
                </w:tcPr>
                <w:p>
                  <w:pPr>
                    <w:jc w:val="center"/>
                    <w:rPr>
                      <w:rFonts w:hint="eastAsia" w:ascii="宋体" w:hAnsi="宋体" w:eastAsia="宋体" w:cs="宋体"/>
                      <w:sz w:val="21"/>
                      <w:szCs w:val="21"/>
                      <w:lang w:eastAsia="zh-CN"/>
                    </w:rPr>
                  </w:pPr>
                  <w:r>
                    <w:rPr>
                      <w:rFonts w:hint="eastAsia" w:ascii="宋体" w:hAnsi="宋体"/>
                      <w:color w:val="000000"/>
                      <w:sz w:val="21"/>
                      <w:szCs w:val="21"/>
                      <w:lang w:eastAsia="zh-CN"/>
                    </w:rPr>
                    <w:t>202</w:t>
                  </w:r>
                  <w:r>
                    <w:rPr>
                      <w:rFonts w:hint="eastAsia" w:ascii="宋体" w:hAnsi="宋体"/>
                      <w:color w:val="000000"/>
                      <w:sz w:val="21"/>
                      <w:szCs w:val="21"/>
                      <w:lang w:val="en-US" w:eastAsia="zh-CN"/>
                    </w:rPr>
                    <w:t>2</w:t>
                  </w:r>
                  <w:r>
                    <w:rPr>
                      <w:rFonts w:hint="eastAsia" w:ascii="宋体" w:hAnsi="宋体"/>
                      <w:color w:val="000000"/>
                      <w:sz w:val="21"/>
                      <w:szCs w:val="21"/>
                      <w:lang w:eastAsia="zh-CN"/>
                    </w:rPr>
                    <w:t>.</w:t>
                  </w:r>
                  <w:r>
                    <w:rPr>
                      <w:rFonts w:hint="eastAsia" w:ascii="宋体" w:hAnsi="宋体"/>
                      <w:color w:val="000000"/>
                      <w:sz w:val="21"/>
                      <w:szCs w:val="21"/>
                      <w:lang w:val="en-US" w:eastAsia="zh-CN"/>
                    </w:rPr>
                    <w:t>6</w:t>
                  </w:r>
                  <w:r>
                    <w:rPr>
                      <w:rFonts w:hint="eastAsia" w:ascii="宋体" w:hAnsi="宋体"/>
                      <w:color w:val="000000"/>
                      <w:sz w:val="21"/>
                      <w:szCs w:val="21"/>
                      <w:lang w:eastAsia="zh-CN"/>
                    </w:rPr>
                    <w:t>.30</w:t>
                  </w:r>
                </w:p>
              </w:tc>
              <w:tc>
                <w:tcPr>
                  <w:tcW w:w="1062" w:type="dxa"/>
                  <w:noWrap w:val="0"/>
                  <w:vAlign w:val="center"/>
                </w:tcPr>
                <w:p>
                  <w:pPr>
                    <w:rPr>
                      <w:rFonts w:hint="eastAsia" w:ascii="宋体" w:hAnsi="宋体" w:eastAsia="宋体" w:cs="宋体"/>
                      <w:sz w:val="21"/>
                      <w:szCs w:val="21"/>
                    </w:rPr>
                  </w:pPr>
                  <w:r>
                    <w:rPr>
                      <w:rFonts w:hint="eastAsia" w:ascii="宋体" w:hAnsi="宋体"/>
                      <w:color w:val="000000"/>
                      <w:sz w:val="21"/>
                      <w:szCs w:val="21"/>
                      <w:lang w:val="en-US" w:eastAsia="zh-CN"/>
                    </w:rPr>
                    <w:t>张亚丽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236" w:type="dxa"/>
                  <w:noWrap w:val="0"/>
                  <w:vAlign w:val="top"/>
                </w:tcPr>
                <w:p>
                  <w:pPr>
                    <w:rPr>
                      <w:rFonts w:hint="eastAsia" w:ascii="宋体" w:hAnsi="宋体" w:eastAsia="宋体" w:cs="宋体"/>
                      <w:sz w:val="21"/>
                      <w:szCs w:val="21"/>
                    </w:rPr>
                  </w:pPr>
                  <w:r>
                    <w:rPr>
                      <w:rFonts w:hint="eastAsia" w:ascii="宋体" w:hAnsi="宋体"/>
                      <w:color w:val="000000"/>
                      <w:sz w:val="21"/>
                      <w:szCs w:val="21"/>
                    </w:rPr>
                    <w:t>2、产品一次交验合格率 ≥100%</w:t>
                  </w:r>
                </w:p>
              </w:tc>
              <w:tc>
                <w:tcPr>
                  <w:tcW w:w="3100" w:type="dxa"/>
                  <w:noWrap w:val="0"/>
                  <w:vAlign w:val="center"/>
                </w:tcPr>
                <w:p>
                  <w:pPr>
                    <w:jc w:val="center"/>
                    <w:rPr>
                      <w:rFonts w:hint="eastAsia" w:ascii="宋体" w:hAnsi="宋体" w:eastAsia="宋体" w:cs="宋体"/>
                      <w:sz w:val="21"/>
                      <w:szCs w:val="21"/>
                    </w:rPr>
                  </w:pPr>
                  <w:r>
                    <w:rPr>
                      <w:rFonts w:hint="eastAsia" w:ascii="宋体" w:hAnsi="宋体"/>
                      <w:color w:val="000000"/>
                      <w:sz w:val="21"/>
                      <w:szCs w:val="21"/>
                    </w:rPr>
                    <w:t>100%</w:t>
                  </w:r>
                </w:p>
              </w:tc>
              <w:tc>
                <w:tcPr>
                  <w:tcW w:w="1396" w:type="dxa"/>
                  <w:noWrap w:val="0"/>
                  <w:vAlign w:val="center"/>
                </w:tcPr>
                <w:p>
                  <w:pPr>
                    <w:jc w:val="center"/>
                    <w:rPr>
                      <w:rFonts w:hint="eastAsia" w:ascii="宋体" w:hAnsi="宋体" w:eastAsia="宋体" w:cs="宋体"/>
                      <w:sz w:val="21"/>
                      <w:szCs w:val="21"/>
                      <w:lang w:eastAsia="zh-CN"/>
                    </w:rPr>
                  </w:pPr>
                  <w:r>
                    <w:rPr>
                      <w:rFonts w:hint="eastAsia" w:ascii="宋体" w:hAnsi="宋体"/>
                      <w:color w:val="000000"/>
                      <w:sz w:val="21"/>
                      <w:szCs w:val="21"/>
                      <w:lang w:eastAsia="zh-CN"/>
                    </w:rPr>
                    <w:t>202</w:t>
                  </w:r>
                  <w:r>
                    <w:rPr>
                      <w:rFonts w:hint="eastAsia" w:ascii="宋体" w:hAnsi="宋体"/>
                      <w:color w:val="000000"/>
                      <w:sz w:val="21"/>
                      <w:szCs w:val="21"/>
                      <w:lang w:val="en-US" w:eastAsia="zh-CN"/>
                    </w:rPr>
                    <w:t>2</w:t>
                  </w:r>
                  <w:r>
                    <w:rPr>
                      <w:rFonts w:hint="eastAsia" w:ascii="宋体" w:hAnsi="宋体"/>
                      <w:color w:val="000000"/>
                      <w:sz w:val="21"/>
                      <w:szCs w:val="21"/>
                      <w:lang w:eastAsia="zh-CN"/>
                    </w:rPr>
                    <w:t>.</w:t>
                  </w:r>
                  <w:r>
                    <w:rPr>
                      <w:rFonts w:hint="eastAsia" w:ascii="宋体" w:hAnsi="宋体"/>
                      <w:color w:val="000000"/>
                      <w:sz w:val="21"/>
                      <w:szCs w:val="21"/>
                      <w:lang w:val="en-US" w:eastAsia="zh-CN"/>
                    </w:rPr>
                    <w:t>6</w:t>
                  </w:r>
                  <w:r>
                    <w:rPr>
                      <w:rFonts w:hint="eastAsia" w:ascii="宋体" w:hAnsi="宋体"/>
                      <w:color w:val="000000"/>
                      <w:sz w:val="21"/>
                      <w:szCs w:val="21"/>
                      <w:lang w:eastAsia="zh-CN"/>
                    </w:rPr>
                    <w:t>.30</w:t>
                  </w:r>
                </w:p>
              </w:tc>
              <w:tc>
                <w:tcPr>
                  <w:tcW w:w="1062" w:type="dxa"/>
                  <w:noWrap w:val="0"/>
                  <w:vAlign w:val="center"/>
                </w:tcPr>
                <w:p>
                  <w:pPr>
                    <w:rPr>
                      <w:rFonts w:hint="eastAsia" w:ascii="宋体" w:hAnsi="宋体" w:eastAsia="宋体" w:cs="宋体"/>
                      <w:sz w:val="21"/>
                      <w:szCs w:val="21"/>
                    </w:rPr>
                  </w:pPr>
                  <w:r>
                    <w:rPr>
                      <w:rFonts w:hint="eastAsia" w:ascii="宋体" w:hAnsi="宋体"/>
                      <w:color w:val="000000"/>
                      <w:sz w:val="21"/>
                      <w:szCs w:val="21"/>
                      <w:lang w:val="en-US" w:eastAsia="zh-CN"/>
                    </w:rPr>
                    <w:t>张亚丽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236" w:type="dxa"/>
                  <w:noWrap w:val="0"/>
                  <w:vAlign w:val="top"/>
                </w:tcPr>
                <w:p>
                  <w:pPr>
                    <w:rPr>
                      <w:rFonts w:hint="eastAsia" w:ascii="宋体" w:hAnsi="宋体" w:eastAsia="宋体" w:cs="宋体"/>
                      <w:sz w:val="21"/>
                      <w:szCs w:val="21"/>
                    </w:rPr>
                  </w:pPr>
                  <w:r>
                    <w:rPr>
                      <w:rFonts w:hint="eastAsia" w:ascii="宋体" w:hAnsi="宋体"/>
                      <w:color w:val="000000"/>
                      <w:sz w:val="21"/>
                      <w:szCs w:val="21"/>
                    </w:rPr>
                    <w:t>3、产品质量合格率≥100%</w:t>
                  </w:r>
                </w:p>
              </w:tc>
              <w:tc>
                <w:tcPr>
                  <w:tcW w:w="3100" w:type="dxa"/>
                  <w:noWrap w:val="0"/>
                  <w:vAlign w:val="center"/>
                </w:tcPr>
                <w:p>
                  <w:pPr>
                    <w:jc w:val="center"/>
                    <w:rPr>
                      <w:rFonts w:hint="eastAsia" w:ascii="宋体" w:hAnsi="宋体" w:eastAsia="宋体" w:cs="宋体"/>
                      <w:sz w:val="21"/>
                      <w:szCs w:val="21"/>
                    </w:rPr>
                  </w:pPr>
                  <w:r>
                    <w:rPr>
                      <w:rFonts w:hint="eastAsia" w:ascii="宋体" w:hAnsi="宋体"/>
                      <w:color w:val="000000"/>
                      <w:sz w:val="21"/>
                      <w:szCs w:val="21"/>
                    </w:rPr>
                    <w:t>100%</w:t>
                  </w:r>
                </w:p>
              </w:tc>
              <w:tc>
                <w:tcPr>
                  <w:tcW w:w="1396" w:type="dxa"/>
                  <w:noWrap w:val="0"/>
                  <w:vAlign w:val="center"/>
                </w:tcPr>
                <w:p>
                  <w:pPr>
                    <w:jc w:val="center"/>
                    <w:rPr>
                      <w:rFonts w:hint="eastAsia" w:ascii="宋体" w:hAnsi="宋体" w:eastAsia="宋体" w:cs="宋体"/>
                      <w:sz w:val="21"/>
                      <w:szCs w:val="21"/>
                      <w:lang w:eastAsia="zh-CN"/>
                    </w:rPr>
                  </w:pPr>
                  <w:r>
                    <w:rPr>
                      <w:rFonts w:hint="eastAsia" w:ascii="宋体" w:hAnsi="宋体"/>
                      <w:color w:val="000000"/>
                      <w:sz w:val="21"/>
                      <w:szCs w:val="21"/>
                      <w:lang w:eastAsia="zh-CN"/>
                    </w:rPr>
                    <w:t>202</w:t>
                  </w:r>
                  <w:r>
                    <w:rPr>
                      <w:rFonts w:hint="eastAsia" w:ascii="宋体" w:hAnsi="宋体"/>
                      <w:color w:val="000000"/>
                      <w:sz w:val="21"/>
                      <w:szCs w:val="21"/>
                      <w:lang w:val="en-US" w:eastAsia="zh-CN"/>
                    </w:rPr>
                    <w:t>2</w:t>
                  </w:r>
                  <w:r>
                    <w:rPr>
                      <w:rFonts w:hint="eastAsia" w:ascii="宋体" w:hAnsi="宋体"/>
                      <w:color w:val="000000"/>
                      <w:sz w:val="21"/>
                      <w:szCs w:val="21"/>
                      <w:lang w:eastAsia="zh-CN"/>
                    </w:rPr>
                    <w:t>.</w:t>
                  </w:r>
                  <w:r>
                    <w:rPr>
                      <w:rFonts w:hint="eastAsia" w:ascii="宋体" w:hAnsi="宋体"/>
                      <w:color w:val="000000"/>
                      <w:sz w:val="21"/>
                      <w:szCs w:val="21"/>
                      <w:lang w:val="en-US" w:eastAsia="zh-CN"/>
                    </w:rPr>
                    <w:t>6</w:t>
                  </w:r>
                  <w:r>
                    <w:rPr>
                      <w:rFonts w:hint="eastAsia" w:ascii="宋体" w:hAnsi="宋体"/>
                      <w:color w:val="000000"/>
                      <w:sz w:val="21"/>
                      <w:szCs w:val="21"/>
                      <w:lang w:eastAsia="zh-CN"/>
                    </w:rPr>
                    <w:t>.30</w:t>
                  </w:r>
                </w:p>
              </w:tc>
              <w:tc>
                <w:tcPr>
                  <w:tcW w:w="1062" w:type="dxa"/>
                  <w:noWrap w:val="0"/>
                  <w:vAlign w:val="center"/>
                </w:tcPr>
                <w:p>
                  <w:pPr>
                    <w:rPr>
                      <w:rFonts w:hint="eastAsia" w:ascii="宋体" w:hAnsi="宋体" w:eastAsia="宋体" w:cs="宋体"/>
                      <w:sz w:val="21"/>
                      <w:szCs w:val="21"/>
                    </w:rPr>
                  </w:pPr>
                  <w:r>
                    <w:rPr>
                      <w:rFonts w:hint="eastAsia" w:ascii="宋体" w:hAnsi="宋体"/>
                      <w:color w:val="000000"/>
                      <w:sz w:val="21"/>
                      <w:szCs w:val="21"/>
                      <w:lang w:val="en-US" w:eastAsia="zh-CN"/>
                    </w:rPr>
                    <w:t>张亚丽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236" w:type="dxa"/>
                  <w:noWrap w:val="0"/>
                  <w:vAlign w:val="top"/>
                </w:tcPr>
                <w:p>
                  <w:pPr>
                    <w:rPr>
                      <w:rFonts w:hint="eastAsia" w:ascii="宋体" w:hAnsi="宋体" w:eastAsia="宋体" w:cs="宋体"/>
                      <w:sz w:val="21"/>
                      <w:szCs w:val="21"/>
                    </w:rPr>
                  </w:pPr>
                  <w:r>
                    <w:rPr>
                      <w:rFonts w:hint="eastAsia" w:ascii="宋体" w:hAnsi="宋体"/>
                      <w:color w:val="000000"/>
                      <w:sz w:val="21"/>
                      <w:szCs w:val="21"/>
                    </w:rPr>
                    <w:t>4、合同履约率≥100%</w:t>
                  </w:r>
                </w:p>
              </w:tc>
              <w:tc>
                <w:tcPr>
                  <w:tcW w:w="3100" w:type="dxa"/>
                  <w:noWrap w:val="0"/>
                  <w:vAlign w:val="center"/>
                </w:tcPr>
                <w:p>
                  <w:pPr>
                    <w:jc w:val="center"/>
                    <w:rPr>
                      <w:rFonts w:hint="eastAsia" w:ascii="宋体" w:hAnsi="宋体" w:eastAsia="宋体" w:cs="宋体"/>
                      <w:sz w:val="21"/>
                      <w:szCs w:val="21"/>
                    </w:rPr>
                  </w:pPr>
                  <w:r>
                    <w:rPr>
                      <w:rFonts w:hint="eastAsia" w:ascii="宋体" w:hAnsi="宋体"/>
                      <w:color w:val="000000"/>
                      <w:sz w:val="21"/>
                      <w:szCs w:val="21"/>
                    </w:rPr>
                    <w:t>100%</w:t>
                  </w:r>
                </w:p>
              </w:tc>
              <w:tc>
                <w:tcPr>
                  <w:tcW w:w="1396" w:type="dxa"/>
                  <w:noWrap w:val="0"/>
                  <w:vAlign w:val="center"/>
                </w:tcPr>
                <w:p>
                  <w:pPr>
                    <w:jc w:val="center"/>
                    <w:rPr>
                      <w:rFonts w:hint="eastAsia" w:ascii="宋体" w:hAnsi="宋体" w:eastAsia="宋体" w:cs="宋体"/>
                      <w:sz w:val="21"/>
                      <w:szCs w:val="21"/>
                      <w:lang w:eastAsia="zh-CN"/>
                    </w:rPr>
                  </w:pPr>
                  <w:r>
                    <w:rPr>
                      <w:rFonts w:hint="eastAsia" w:ascii="宋体" w:hAnsi="宋体"/>
                      <w:color w:val="000000"/>
                      <w:sz w:val="21"/>
                      <w:szCs w:val="21"/>
                      <w:lang w:eastAsia="zh-CN"/>
                    </w:rPr>
                    <w:t>202</w:t>
                  </w:r>
                  <w:r>
                    <w:rPr>
                      <w:rFonts w:hint="eastAsia" w:ascii="宋体" w:hAnsi="宋体"/>
                      <w:color w:val="000000"/>
                      <w:sz w:val="21"/>
                      <w:szCs w:val="21"/>
                      <w:lang w:val="en-US" w:eastAsia="zh-CN"/>
                    </w:rPr>
                    <w:t>2</w:t>
                  </w:r>
                  <w:r>
                    <w:rPr>
                      <w:rFonts w:hint="eastAsia" w:ascii="宋体" w:hAnsi="宋体"/>
                      <w:color w:val="000000"/>
                      <w:sz w:val="21"/>
                      <w:szCs w:val="21"/>
                      <w:lang w:eastAsia="zh-CN"/>
                    </w:rPr>
                    <w:t>.</w:t>
                  </w:r>
                  <w:r>
                    <w:rPr>
                      <w:rFonts w:hint="eastAsia" w:ascii="宋体" w:hAnsi="宋体"/>
                      <w:color w:val="000000"/>
                      <w:sz w:val="21"/>
                      <w:szCs w:val="21"/>
                      <w:lang w:val="en-US" w:eastAsia="zh-CN"/>
                    </w:rPr>
                    <w:t>6</w:t>
                  </w:r>
                  <w:r>
                    <w:rPr>
                      <w:rFonts w:hint="eastAsia" w:ascii="宋体" w:hAnsi="宋体"/>
                      <w:color w:val="000000"/>
                      <w:sz w:val="21"/>
                      <w:szCs w:val="21"/>
                      <w:lang w:eastAsia="zh-CN"/>
                    </w:rPr>
                    <w:t>.30</w:t>
                  </w:r>
                </w:p>
              </w:tc>
              <w:tc>
                <w:tcPr>
                  <w:tcW w:w="1062" w:type="dxa"/>
                  <w:noWrap w:val="0"/>
                  <w:vAlign w:val="center"/>
                </w:tcPr>
                <w:p>
                  <w:pPr>
                    <w:rPr>
                      <w:rFonts w:hint="eastAsia" w:ascii="宋体" w:hAnsi="宋体" w:eastAsia="宋体" w:cs="宋体"/>
                      <w:sz w:val="21"/>
                      <w:szCs w:val="21"/>
                    </w:rPr>
                  </w:pPr>
                  <w:r>
                    <w:rPr>
                      <w:rFonts w:hint="eastAsia" w:ascii="宋体" w:hAnsi="宋体"/>
                      <w:color w:val="000000"/>
                      <w:sz w:val="21"/>
                      <w:szCs w:val="21"/>
                      <w:lang w:val="en-US" w:eastAsia="zh-CN"/>
                    </w:rPr>
                    <w:t>张亚丽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236" w:type="dxa"/>
                  <w:noWrap w:val="0"/>
                  <w:vAlign w:val="top"/>
                </w:tcPr>
                <w:p>
                  <w:pPr>
                    <w:rPr>
                      <w:rFonts w:hint="eastAsia" w:ascii="宋体" w:hAnsi="宋体" w:eastAsia="宋体" w:cs="宋体"/>
                      <w:sz w:val="21"/>
                      <w:szCs w:val="21"/>
                    </w:rPr>
                  </w:pPr>
                  <w:r>
                    <w:rPr>
                      <w:rFonts w:hint="eastAsia" w:ascii="宋体" w:hAnsi="宋体"/>
                      <w:color w:val="000000"/>
                      <w:sz w:val="21"/>
                      <w:szCs w:val="21"/>
                    </w:rPr>
                    <w:t>5、设备完好率95%</w:t>
                  </w:r>
                </w:p>
              </w:tc>
              <w:tc>
                <w:tcPr>
                  <w:tcW w:w="3100" w:type="dxa"/>
                  <w:noWrap w:val="0"/>
                  <w:vAlign w:val="center"/>
                </w:tcPr>
                <w:p>
                  <w:pPr>
                    <w:jc w:val="center"/>
                    <w:rPr>
                      <w:rFonts w:hint="eastAsia" w:ascii="宋体" w:hAnsi="宋体" w:eastAsia="宋体" w:cs="宋体"/>
                      <w:sz w:val="21"/>
                      <w:szCs w:val="21"/>
                    </w:rPr>
                  </w:pPr>
                  <w:r>
                    <w:rPr>
                      <w:rFonts w:hint="eastAsia" w:ascii="宋体" w:hAnsi="宋体"/>
                      <w:color w:val="000000"/>
                      <w:sz w:val="21"/>
                      <w:szCs w:val="21"/>
                      <w:lang w:val="en-US" w:eastAsia="zh-CN"/>
                    </w:rPr>
                    <w:t>96</w:t>
                  </w:r>
                  <w:r>
                    <w:rPr>
                      <w:rFonts w:hint="eastAsia" w:ascii="宋体" w:hAnsi="宋体"/>
                      <w:color w:val="000000"/>
                      <w:sz w:val="21"/>
                      <w:szCs w:val="21"/>
                    </w:rPr>
                    <w:t>%</w:t>
                  </w:r>
                </w:p>
              </w:tc>
              <w:tc>
                <w:tcPr>
                  <w:tcW w:w="1396" w:type="dxa"/>
                  <w:noWrap w:val="0"/>
                  <w:vAlign w:val="center"/>
                </w:tcPr>
                <w:p>
                  <w:pPr>
                    <w:jc w:val="center"/>
                    <w:rPr>
                      <w:rFonts w:hint="eastAsia" w:ascii="宋体" w:hAnsi="宋体" w:eastAsia="宋体" w:cs="宋体"/>
                      <w:sz w:val="21"/>
                      <w:szCs w:val="21"/>
                      <w:lang w:eastAsia="zh-CN"/>
                    </w:rPr>
                  </w:pPr>
                  <w:r>
                    <w:rPr>
                      <w:rFonts w:hint="eastAsia" w:ascii="宋体" w:hAnsi="宋体"/>
                      <w:color w:val="000000"/>
                      <w:sz w:val="21"/>
                      <w:szCs w:val="21"/>
                      <w:lang w:eastAsia="zh-CN"/>
                    </w:rPr>
                    <w:t>202</w:t>
                  </w:r>
                  <w:r>
                    <w:rPr>
                      <w:rFonts w:hint="eastAsia" w:ascii="宋体" w:hAnsi="宋体"/>
                      <w:color w:val="000000"/>
                      <w:sz w:val="21"/>
                      <w:szCs w:val="21"/>
                      <w:lang w:val="en-US" w:eastAsia="zh-CN"/>
                    </w:rPr>
                    <w:t>2</w:t>
                  </w:r>
                  <w:r>
                    <w:rPr>
                      <w:rFonts w:hint="eastAsia" w:ascii="宋体" w:hAnsi="宋体"/>
                      <w:color w:val="000000"/>
                      <w:sz w:val="21"/>
                      <w:szCs w:val="21"/>
                      <w:lang w:eastAsia="zh-CN"/>
                    </w:rPr>
                    <w:t>.</w:t>
                  </w:r>
                  <w:r>
                    <w:rPr>
                      <w:rFonts w:hint="eastAsia" w:ascii="宋体" w:hAnsi="宋体"/>
                      <w:color w:val="000000"/>
                      <w:sz w:val="21"/>
                      <w:szCs w:val="21"/>
                      <w:lang w:val="en-US" w:eastAsia="zh-CN"/>
                    </w:rPr>
                    <w:t>6</w:t>
                  </w:r>
                  <w:r>
                    <w:rPr>
                      <w:rFonts w:hint="eastAsia" w:ascii="宋体" w:hAnsi="宋体"/>
                      <w:color w:val="000000"/>
                      <w:sz w:val="21"/>
                      <w:szCs w:val="21"/>
                      <w:lang w:eastAsia="zh-CN"/>
                    </w:rPr>
                    <w:t>.30</w:t>
                  </w:r>
                </w:p>
              </w:tc>
              <w:tc>
                <w:tcPr>
                  <w:tcW w:w="1062" w:type="dxa"/>
                  <w:noWrap w:val="0"/>
                  <w:vAlign w:val="center"/>
                </w:tcPr>
                <w:p>
                  <w:pPr>
                    <w:rPr>
                      <w:rFonts w:hint="eastAsia" w:ascii="宋体" w:hAnsi="宋体" w:eastAsia="宋体" w:cs="宋体"/>
                      <w:sz w:val="21"/>
                      <w:szCs w:val="21"/>
                    </w:rPr>
                  </w:pPr>
                  <w:r>
                    <w:rPr>
                      <w:rFonts w:hint="eastAsia" w:ascii="宋体" w:hAnsi="宋体"/>
                      <w:color w:val="000000"/>
                      <w:sz w:val="21"/>
                      <w:szCs w:val="21"/>
                      <w:lang w:val="en-US" w:eastAsia="zh-CN"/>
                    </w:rPr>
                    <w:t>张亚丽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236" w:type="dxa"/>
                  <w:noWrap w:val="0"/>
                  <w:vAlign w:val="top"/>
                </w:tcPr>
                <w:p>
                  <w:pPr>
                    <w:rPr>
                      <w:rFonts w:hint="eastAsia" w:ascii="宋体" w:hAnsi="宋体"/>
                      <w:color w:val="000000"/>
                      <w:sz w:val="21"/>
                      <w:szCs w:val="21"/>
                    </w:rPr>
                  </w:pPr>
                  <w:r>
                    <w:rPr>
                      <w:rFonts w:hint="eastAsia" w:ascii="宋体" w:hAnsi="宋体"/>
                      <w:color w:val="000000"/>
                      <w:sz w:val="21"/>
                      <w:szCs w:val="21"/>
                    </w:rPr>
                    <w:t>5、噪声、粉尘零排放</w:t>
                  </w:r>
                </w:p>
              </w:tc>
              <w:tc>
                <w:tcPr>
                  <w:tcW w:w="3100" w:type="dxa"/>
                  <w:noWrap w:val="0"/>
                  <w:vAlign w:val="center"/>
                </w:tcPr>
                <w:p>
                  <w:pPr>
                    <w:jc w:val="center"/>
                    <w:rPr>
                      <w:rFonts w:hint="eastAsia" w:ascii="宋体" w:hAnsi="宋体"/>
                      <w:color w:val="000000"/>
                      <w:sz w:val="21"/>
                      <w:szCs w:val="21"/>
                    </w:rPr>
                  </w:pPr>
                  <w:r>
                    <w:rPr>
                      <w:rFonts w:hint="eastAsia" w:ascii="宋体" w:hAnsi="宋体"/>
                      <w:color w:val="000000"/>
                      <w:sz w:val="21"/>
                      <w:szCs w:val="21"/>
                      <w:lang w:eastAsia="zh-CN"/>
                    </w:rPr>
                    <w:t>达标</w:t>
                  </w:r>
                  <w:r>
                    <w:rPr>
                      <w:rFonts w:hint="eastAsia" w:ascii="宋体" w:hAnsi="宋体"/>
                      <w:color w:val="000000"/>
                      <w:sz w:val="21"/>
                      <w:szCs w:val="21"/>
                    </w:rPr>
                    <w:t>排放</w:t>
                  </w:r>
                </w:p>
              </w:tc>
              <w:tc>
                <w:tcPr>
                  <w:tcW w:w="1396" w:type="dxa"/>
                  <w:noWrap w:val="0"/>
                  <w:vAlign w:val="center"/>
                </w:tcPr>
                <w:p>
                  <w:pPr>
                    <w:jc w:val="center"/>
                    <w:rPr>
                      <w:rFonts w:hint="eastAsia" w:ascii="宋体" w:hAnsi="宋体"/>
                      <w:color w:val="000000"/>
                      <w:sz w:val="21"/>
                      <w:szCs w:val="21"/>
                      <w:lang w:eastAsia="zh-CN"/>
                    </w:rPr>
                  </w:pPr>
                  <w:r>
                    <w:rPr>
                      <w:rFonts w:hint="eastAsia" w:ascii="宋体" w:hAnsi="宋体"/>
                      <w:color w:val="000000"/>
                      <w:sz w:val="21"/>
                      <w:szCs w:val="21"/>
                      <w:lang w:eastAsia="zh-CN"/>
                    </w:rPr>
                    <w:t>202</w:t>
                  </w:r>
                  <w:r>
                    <w:rPr>
                      <w:rFonts w:hint="eastAsia" w:ascii="宋体" w:hAnsi="宋体"/>
                      <w:color w:val="000000"/>
                      <w:sz w:val="21"/>
                      <w:szCs w:val="21"/>
                      <w:lang w:val="en-US" w:eastAsia="zh-CN"/>
                    </w:rPr>
                    <w:t>2</w:t>
                  </w:r>
                  <w:r>
                    <w:rPr>
                      <w:rFonts w:hint="eastAsia" w:ascii="宋体" w:hAnsi="宋体"/>
                      <w:color w:val="000000"/>
                      <w:sz w:val="21"/>
                      <w:szCs w:val="21"/>
                      <w:lang w:eastAsia="zh-CN"/>
                    </w:rPr>
                    <w:t>.</w:t>
                  </w:r>
                  <w:r>
                    <w:rPr>
                      <w:rFonts w:hint="eastAsia" w:ascii="宋体" w:hAnsi="宋体"/>
                      <w:color w:val="000000"/>
                      <w:sz w:val="21"/>
                      <w:szCs w:val="21"/>
                      <w:lang w:val="en-US" w:eastAsia="zh-CN"/>
                    </w:rPr>
                    <w:t>6</w:t>
                  </w:r>
                  <w:r>
                    <w:rPr>
                      <w:rFonts w:hint="eastAsia" w:ascii="宋体" w:hAnsi="宋体"/>
                      <w:color w:val="000000"/>
                      <w:sz w:val="21"/>
                      <w:szCs w:val="21"/>
                      <w:lang w:eastAsia="zh-CN"/>
                    </w:rPr>
                    <w:t>.30</w:t>
                  </w:r>
                </w:p>
              </w:tc>
              <w:tc>
                <w:tcPr>
                  <w:tcW w:w="1062" w:type="dxa"/>
                  <w:noWrap w:val="0"/>
                  <w:vAlign w:val="center"/>
                </w:tcPr>
                <w:p>
                  <w:pPr>
                    <w:rPr>
                      <w:rFonts w:hint="eastAsia" w:ascii="宋体" w:hAnsi="宋体"/>
                      <w:color w:val="000000"/>
                      <w:sz w:val="21"/>
                      <w:szCs w:val="21"/>
                      <w:lang w:val="en-US" w:eastAsia="zh-CN"/>
                    </w:rPr>
                  </w:pPr>
                  <w:r>
                    <w:rPr>
                      <w:rFonts w:hint="eastAsia" w:ascii="宋体" w:hAnsi="宋体"/>
                      <w:color w:val="000000"/>
                      <w:sz w:val="21"/>
                      <w:szCs w:val="21"/>
                      <w:lang w:val="en-US" w:eastAsia="zh-CN"/>
                    </w:rPr>
                    <w:t>张亚丽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236" w:type="dxa"/>
                  <w:noWrap w:val="0"/>
                  <w:vAlign w:val="top"/>
                </w:tcPr>
                <w:p>
                  <w:pPr>
                    <w:rPr>
                      <w:rFonts w:hint="eastAsia" w:ascii="宋体" w:hAnsi="宋体"/>
                      <w:color w:val="000000"/>
                      <w:sz w:val="21"/>
                      <w:szCs w:val="21"/>
                    </w:rPr>
                  </w:pPr>
                  <w:r>
                    <w:rPr>
                      <w:rFonts w:hint="eastAsia" w:ascii="宋体" w:hAnsi="宋体"/>
                      <w:color w:val="000000"/>
                      <w:sz w:val="21"/>
                      <w:szCs w:val="21"/>
                    </w:rPr>
                    <w:t>6、劳保防护用品发放率100%</w:t>
                  </w:r>
                </w:p>
              </w:tc>
              <w:tc>
                <w:tcPr>
                  <w:tcW w:w="3100" w:type="dxa"/>
                  <w:noWrap w:val="0"/>
                  <w:vAlign w:val="center"/>
                </w:tcPr>
                <w:p>
                  <w:pPr>
                    <w:jc w:val="center"/>
                    <w:rPr>
                      <w:rFonts w:hint="eastAsia" w:ascii="宋体" w:hAnsi="宋体"/>
                      <w:color w:val="000000"/>
                      <w:sz w:val="21"/>
                      <w:szCs w:val="21"/>
                    </w:rPr>
                  </w:pPr>
                  <w:r>
                    <w:rPr>
                      <w:rFonts w:hint="eastAsia" w:ascii="宋体" w:hAnsi="宋体"/>
                      <w:color w:val="000000"/>
                      <w:sz w:val="21"/>
                      <w:szCs w:val="21"/>
                    </w:rPr>
                    <w:t>100%</w:t>
                  </w:r>
                  <w:r>
                    <w:rPr>
                      <w:rFonts w:ascii="宋体" w:hAnsi="宋体"/>
                      <w:color w:val="000000"/>
                      <w:sz w:val="21"/>
                      <w:szCs w:val="21"/>
                    </w:rPr>
                    <w:t xml:space="preserve"> </w:t>
                  </w:r>
                </w:p>
              </w:tc>
              <w:tc>
                <w:tcPr>
                  <w:tcW w:w="1396" w:type="dxa"/>
                  <w:noWrap w:val="0"/>
                  <w:vAlign w:val="center"/>
                </w:tcPr>
                <w:p>
                  <w:pPr>
                    <w:jc w:val="center"/>
                    <w:rPr>
                      <w:rFonts w:hint="eastAsia" w:ascii="宋体" w:hAnsi="宋体"/>
                      <w:color w:val="000000"/>
                      <w:sz w:val="21"/>
                      <w:szCs w:val="21"/>
                      <w:lang w:eastAsia="zh-CN"/>
                    </w:rPr>
                  </w:pPr>
                  <w:r>
                    <w:rPr>
                      <w:rFonts w:hint="eastAsia" w:ascii="宋体" w:hAnsi="宋体"/>
                      <w:color w:val="000000"/>
                      <w:sz w:val="21"/>
                      <w:szCs w:val="21"/>
                      <w:lang w:eastAsia="zh-CN"/>
                    </w:rPr>
                    <w:t>202</w:t>
                  </w:r>
                  <w:r>
                    <w:rPr>
                      <w:rFonts w:hint="eastAsia" w:ascii="宋体" w:hAnsi="宋体"/>
                      <w:color w:val="000000"/>
                      <w:sz w:val="21"/>
                      <w:szCs w:val="21"/>
                      <w:lang w:val="en-US" w:eastAsia="zh-CN"/>
                    </w:rPr>
                    <w:t>2</w:t>
                  </w:r>
                  <w:r>
                    <w:rPr>
                      <w:rFonts w:hint="eastAsia" w:ascii="宋体" w:hAnsi="宋体"/>
                      <w:color w:val="000000"/>
                      <w:sz w:val="21"/>
                      <w:szCs w:val="21"/>
                      <w:lang w:eastAsia="zh-CN"/>
                    </w:rPr>
                    <w:t>.</w:t>
                  </w:r>
                  <w:r>
                    <w:rPr>
                      <w:rFonts w:hint="eastAsia" w:ascii="宋体" w:hAnsi="宋体"/>
                      <w:color w:val="000000"/>
                      <w:sz w:val="21"/>
                      <w:szCs w:val="21"/>
                      <w:lang w:val="en-US" w:eastAsia="zh-CN"/>
                    </w:rPr>
                    <w:t>6</w:t>
                  </w:r>
                  <w:r>
                    <w:rPr>
                      <w:rFonts w:hint="eastAsia" w:ascii="宋体" w:hAnsi="宋体"/>
                      <w:color w:val="000000"/>
                      <w:sz w:val="21"/>
                      <w:szCs w:val="21"/>
                      <w:lang w:eastAsia="zh-CN"/>
                    </w:rPr>
                    <w:t>.30</w:t>
                  </w:r>
                </w:p>
              </w:tc>
              <w:tc>
                <w:tcPr>
                  <w:tcW w:w="1062" w:type="dxa"/>
                  <w:noWrap w:val="0"/>
                  <w:vAlign w:val="center"/>
                </w:tcPr>
                <w:p>
                  <w:pPr>
                    <w:rPr>
                      <w:rFonts w:hint="eastAsia" w:ascii="宋体" w:hAnsi="宋体"/>
                      <w:color w:val="000000"/>
                      <w:sz w:val="21"/>
                      <w:szCs w:val="21"/>
                      <w:lang w:val="en-US" w:eastAsia="zh-CN"/>
                    </w:rPr>
                  </w:pPr>
                  <w:r>
                    <w:rPr>
                      <w:rFonts w:hint="eastAsia" w:ascii="宋体" w:hAnsi="宋体"/>
                      <w:color w:val="000000"/>
                      <w:sz w:val="21"/>
                      <w:szCs w:val="21"/>
                      <w:lang w:val="en-US" w:eastAsia="zh-CN"/>
                    </w:rPr>
                    <w:t>张亚丽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236" w:type="dxa"/>
                  <w:noWrap w:val="0"/>
                  <w:vAlign w:val="top"/>
                </w:tcPr>
                <w:p>
                  <w:pPr>
                    <w:rPr>
                      <w:rFonts w:hint="eastAsia" w:ascii="宋体" w:hAnsi="宋体"/>
                      <w:color w:val="000000"/>
                      <w:sz w:val="21"/>
                      <w:szCs w:val="21"/>
                    </w:rPr>
                  </w:pPr>
                  <w:r>
                    <w:rPr>
                      <w:rFonts w:hint="eastAsia" w:ascii="宋体" w:hAnsi="宋体"/>
                      <w:color w:val="000000"/>
                      <w:sz w:val="21"/>
                      <w:szCs w:val="21"/>
                    </w:rPr>
                    <w:t>7、职业病发生率控制在零</w:t>
                  </w:r>
                </w:p>
              </w:tc>
              <w:tc>
                <w:tcPr>
                  <w:tcW w:w="3100" w:type="dxa"/>
                  <w:noWrap w:val="0"/>
                  <w:vAlign w:val="center"/>
                </w:tcPr>
                <w:p>
                  <w:pPr>
                    <w:jc w:val="center"/>
                    <w:rPr>
                      <w:rFonts w:hint="eastAsia" w:ascii="宋体" w:hAnsi="宋体"/>
                      <w:color w:val="000000"/>
                      <w:sz w:val="21"/>
                      <w:szCs w:val="21"/>
                    </w:rPr>
                  </w:pPr>
                  <w:r>
                    <w:rPr>
                      <w:rFonts w:hint="eastAsia" w:ascii="宋体" w:hAnsi="宋体"/>
                      <w:color w:val="000000"/>
                      <w:sz w:val="21"/>
                      <w:szCs w:val="21"/>
                    </w:rPr>
                    <w:t>0</w:t>
                  </w:r>
                </w:p>
              </w:tc>
              <w:tc>
                <w:tcPr>
                  <w:tcW w:w="1396" w:type="dxa"/>
                  <w:noWrap w:val="0"/>
                  <w:vAlign w:val="center"/>
                </w:tcPr>
                <w:p>
                  <w:pPr>
                    <w:jc w:val="center"/>
                    <w:rPr>
                      <w:rFonts w:hint="eastAsia" w:ascii="宋体" w:hAnsi="宋体"/>
                      <w:color w:val="000000"/>
                      <w:sz w:val="21"/>
                      <w:szCs w:val="21"/>
                      <w:lang w:eastAsia="zh-CN"/>
                    </w:rPr>
                  </w:pPr>
                  <w:r>
                    <w:rPr>
                      <w:rFonts w:hint="eastAsia" w:ascii="宋体" w:hAnsi="宋体"/>
                      <w:color w:val="000000"/>
                      <w:sz w:val="21"/>
                      <w:szCs w:val="21"/>
                      <w:lang w:eastAsia="zh-CN"/>
                    </w:rPr>
                    <w:t>202</w:t>
                  </w:r>
                  <w:r>
                    <w:rPr>
                      <w:rFonts w:hint="eastAsia" w:ascii="宋体" w:hAnsi="宋体"/>
                      <w:color w:val="000000"/>
                      <w:sz w:val="21"/>
                      <w:szCs w:val="21"/>
                      <w:lang w:val="en-US" w:eastAsia="zh-CN"/>
                    </w:rPr>
                    <w:t>2</w:t>
                  </w:r>
                  <w:r>
                    <w:rPr>
                      <w:rFonts w:hint="eastAsia" w:ascii="宋体" w:hAnsi="宋体"/>
                      <w:color w:val="000000"/>
                      <w:sz w:val="21"/>
                      <w:szCs w:val="21"/>
                      <w:lang w:eastAsia="zh-CN"/>
                    </w:rPr>
                    <w:t>.</w:t>
                  </w:r>
                  <w:r>
                    <w:rPr>
                      <w:rFonts w:hint="eastAsia" w:ascii="宋体" w:hAnsi="宋体"/>
                      <w:color w:val="000000"/>
                      <w:sz w:val="21"/>
                      <w:szCs w:val="21"/>
                      <w:lang w:val="en-US" w:eastAsia="zh-CN"/>
                    </w:rPr>
                    <w:t>6</w:t>
                  </w:r>
                  <w:r>
                    <w:rPr>
                      <w:rFonts w:hint="eastAsia" w:ascii="宋体" w:hAnsi="宋体"/>
                      <w:color w:val="000000"/>
                      <w:sz w:val="21"/>
                      <w:szCs w:val="21"/>
                      <w:lang w:eastAsia="zh-CN"/>
                    </w:rPr>
                    <w:t>.30</w:t>
                  </w:r>
                </w:p>
              </w:tc>
              <w:tc>
                <w:tcPr>
                  <w:tcW w:w="1062" w:type="dxa"/>
                  <w:noWrap w:val="0"/>
                  <w:vAlign w:val="center"/>
                </w:tcPr>
                <w:p>
                  <w:pPr>
                    <w:rPr>
                      <w:rFonts w:hint="eastAsia" w:ascii="宋体" w:hAnsi="宋体"/>
                      <w:color w:val="000000"/>
                      <w:sz w:val="21"/>
                      <w:szCs w:val="21"/>
                      <w:lang w:val="en-US" w:eastAsia="zh-CN"/>
                    </w:rPr>
                  </w:pPr>
                  <w:r>
                    <w:rPr>
                      <w:rFonts w:hint="eastAsia" w:ascii="宋体" w:hAnsi="宋体"/>
                      <w:color w:val="000000"/>
                      <w:sz w:val="21"/>
                      <w:szCs w:val="21"/>
                      <w:lang w:val="en-US" w:eastAsia="zh-CN"/>
                    </w:rPr>
                    <w:t>张亚丽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236" w:type="dxa"/>
                  <w:noWrap w:val="0"/>
                  <w:vAlign w:val="top"/>
                </w:tcPr>
                <w:p>
                  <w:pPr>
                    <w:rPr>
                      <w:rFonts w:hint="eastAsia" w:ascii="宋体" w:hAnsi="宋体"/>
                      <w:color w:val="000000"/>
                      <w:sz w:val="21"/>
                      <w:szCs w:val="21"/>
                    </w:rPr>
                  </w:pPr>
                  <w:r>
                    <w:rPr>
                      <w:rFonts w:hint="eastAsia" w:ascii="宋体" w:hAnsi="宋体"/>
                      <w:color w:val="000000"/>
                      <w:sz w:val="21"/>
                      <w:szCs w:val="21"/>
                    </w:rPr>
                    <w:t>8、重大质量事故和安全事故为零</w:t>
                  </w:r>
                </w:p>
              </w:tc>
              <w:tc>
                <w:tcPr>
                  <w:tcW w:w="3100" w:type="dxa"/>
                  <w:noWrap w:val="0"/>
                  <w:vAlign w:val="center"/>
                </w:tcPr>
                <w:p>
                  <w:pPr>
                    <w:jc w:val="center"/>
                    <w:rPr>
                      <w:rFonts w:hint="eastAsia" w:ascii="宋体" w:hAnsi="宋体"/>
                      <w:color w:val="000000"/>
                      <w:sz w:val="21"/>
                      <w:szCs w:val="21"/>
                    </w:rPr>
                  </w:pPr>
                  <w:r>
                    <w:rPr>
                      <w:rFonts w:hint="eastAsia" w:ascii="宋体" w:hAnsi="宋体"/>
                      <w:color w:val="000000"/>
                      <w:sz w:val="21"/>
                      <w:szCs w:val="21"/>
                    </w:rPr>
                    <w:t>0</w:t>
                  </w:r>
                </w:p>
              </w:tc>
              <w:tc>
                <w:tcPr>
                  <w:tcW w:w="1396" w:type="dxa"/>
                  <w:noWrap w:val="0"/>
                  <w:vAlign w:val="center"/>
                </w:tcPr>
                <w:p>
                  <w:pPr>
                    <w:jc w:val="center"/>
                    <w:rPr>
                      <w:rFonts w:hint="eastAsia" w:ascii="宋体" w:hAnsi="宋体"/>
                      <w:color w:val="000000"/>
                      <w:sz w:val="21"/>
                      <w:szCs w:val="21"/>
                      <w:lang w:eastAsia="zh-CN"/>
                    </w:rPr>
                  </w:pPr>
                  <w:r>
                    <w:rPr>
                      <w:rFonts w:hint="eastAsia" w:ascii="宋体" w:hAnsi="宋体"/>
                      <w:color w:val="000000"/>
                      <w:sz w:val="21"/>
                      <w:szCs w:val="21"/>
                      <w:lang w:eastAsia="zh-CN"/>
                    </w:rPr>
                    <w:t>202</w:t>
                  </w:r>
                  <w:r>
                    <w:rPr>
                      <w:rFonts w:hint="eastAsia" w:ascii="宋体" w:hAnsi="宋体"/>
                      <w:color w:val="000000"/>
                      <w:sz w:val="21"/>
                      <w:szCs w:val="21"/>
                      <w:lang w:val="en-US" w:eastAsia="zh-CN"/>
                    </w:rPr>
                    <w:t>2</w:t>
                  </w:r>
                  <w:r>
                    <w:rPr>
                      <w:rFonts w:hint="eastAsia" w:ascii="宋体" w:hAnsi="宋体"/>
                      <w:color w:val="000000"/>
                      <w:sz w:val="21"/>
                      <w:szCs w:val="21"/>
                      <w:lang w:eastAsia="zh-CN"/>
                    </w:rPr>
                    <w:t>.</w:t>
                  </w:r>
                  <w:r>
                    <w:rPr>
                      <w:rFonts w:hint="eastAsia" w:ascii="宋体" w:hAnsi="宋体"/>
                      <w:color w:val="000000"/>
                      <w:sz w:val="21"/>
                      <w:szCs w:val="21"/>
                      <w:lang w:val="en-US" w:eastAsia="zh-CN"/>
                    </w:rPr>
                    <w:t>6</w:t>
                  </w:r>
                  <w:r>
                    <w:rPr>
                      <w:rFonts w:hint="eastAsia" w:ascii="宋体" w:hAnsi="宋体"/>
                      <w:color w:val="000000"/>
                      <w:sz w:val="21"/>
                      <w:szCs w:val="21"/>
                      <w:lang w:eastAsia="zh-CN"/>
                    </w:rPr>
                    <w:t>.30</w:t>
                  </w:r>
                </w:p>
              </w:tc>
              <w:tc>
                <w:tcPr>
                  <w:tcW w:w="1062" w:type="dxa"/>
                  <w:noWrap w:val="0"/>
                  <w:vAlign w:val="center"/>
                </w:tcPr>
                <w:p>
                  <w:pPr>
                    <w:rPr>
                      <w:rFonts w:hint="eastAsia" w:ascii="宋体" w:hAnsi="宋体"/>
                      <w:color w:val="000000"/>
                      <w:sz w:val="21"/>
                      <w:szCs w:val="21"/>
                      <w:lang w:val="en-US" w:eastAsia="zh-CN"/>
                    </w:rPr>
                  </w:pPr>
                  <w:r>
                    <w:rPr>
                      <w:rFonts w:hint="eastAsia" w:ascii="宋体" w:hAnsi="宋体"/>
                      <w:color w:val="000000"/>
                      <w:sz w:val="21"/>
                      <w:szCs w:val="21"/>
                      <w:lang w:val="en-US" w:eastAsia="zh-CN"/>
                    </w:rPr>
                    <w:t>张亚丽</w:t>
                  </w:r>
                </w:p>
              </w:tc>
            </w:tr>
          </w:tbl>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部门</w:t>
            </w:r>
            <w:r>
              <w:rPr>
                <w:rFonts w:hint="eastAsia" w:ascii="宋体" w:hAnsi="宋体" w:eastAsia="宋体" w:cs="宋体"/>
                <w:sz w:val="21"/>
                <w:szCs w:val="21"/>
              </w:rPr>
              <w:t>管理目标是：</w:t>
            </w:r>
          </w:p>
          <w:tbl>
            <w:tblPr>
              <w:tblStyle w:val="15"/>
              <w:tblW w:w="9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1"/>
              <w:gridCol w:w="1125"/>
              <w:gridCol w:w="1396"/>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211" w:type="dxa"/>
                  <w:noWrap w:val="0"/>
                  <w:vAlign w:val="top"/>
                </w:tcPr>
                <w:p>
                  <w:pPr>
                    <w:rPr>
                      <w:rFonts w:hint="eastAsia" w:ascii="宋体" w:hAnsi="宋体" w:eastAsia="宋体" w:cs="宋体"/>
                      <w:sz w:val="21"/>
                      <w:szCs w:val="21"/>
                    </w:rPr>
                  </w:pPr>
                  <w:r>
                    <w:rPr>
                      <w:rFonts w:hint="eastAsia" w:ascii="宋体" w:hAnsi="宋体"/>
                      <w:color w:val="000000"/>
                      <w:sz w:val="21"/>
                      <w:szCs w:val="21"/>
                    </w:rPr>
                    <w:t>1、文件准确发放率100%（在使用处可获得有效版本）。</w:t>
                  </w:r>
                </w:p>
              </w:tc>
              <w:tc>
                <w:tcPr>
                  <w:tcW w:w="1125" w:type="dxa"/>
                  <w:noWrap w:val="0"/>
                  <w:vAlign w:val="center"/>
                </w:tcPr>
                <w:p>
                  <w:pPr>
                    <w:jc w:val="center"/>
                    <w:rPr>
                      <w:rFonts w:hint="eastAsia" w:ascii="宋体" w:hAnsi="宋体" w:eastAsia="宋体" w:cs="宋体"/>
                      <w:sz w:val="21"/>
                      <w:szCs w:val="21"/>
                    </w:rPr>
                  </w:pPr>
                  <w:r>
                    <w:rPr>
                      <w:rFonts w:hint="eastAsia" w:ascii="宋体" w:hAnsi="宋体"/>
                      <w:color w:val="000000"/>
                      <w:sz w:val="21"/>
                      <w:szCs w:val="21"/>
                    </w:rPr>
                    <w:t>100%</w:t>
                  </w:r>
                </w:p>
              </w:tc>
              <w:tc>
                <w:tcPr>
                  <w:tcW w:w="1396" w:type="dxa"/>
                  <w:noWrap w:val="0"/>
                  <w:vAlign w:val="center"/>
                </w:tcPr>
                <w:p>
                  <w:pPr>
                    <w:jc w:val="center"/>
                    <w:rPr>
                      <w:rFonts w:hint="eastAsia" w:ascii="宋体" w:hAnsi="宋体" w:eastAsia="宋体" w:cs="宋体"/>
                      <w:sz w:val="21"/>
                      <w:szCs w:val="21"/>
                      <w:lang w:eastAsia="zh-CN"/>
                    </w:rPr>
                  </w:pPr>
                  <w:r>
                    <w:rPr>
                      <w:rFonts w:hint="eastAsia" w:ascii="宋体" w:hAnsi="宋体"/>
                      <w:color w:val="000000"/>
                      <w:sz w:val="21"/>
                      <w:szCs w:val="21"/>
                      <w:lang w:eastAsia="zh-CN"/>
                    </w:rPr>
                    <w:t>202</w:t>
                  </w:r>
                  <w:r>
                    <w:rPr>
                      <w:rFonts w:hint="eastAsia" w:ascii="宋体" w:hAnsi="宋体"/>
                      <w:color w:val="000000"/>
                      <w:sz w:val="21"/>
                      <w:szCs w:val="21"/>
                      <w:lang w:val="en-US" w:eastAsia="zh-CN"/>
                    </w:rPr>
                    <w:t>2</w:t>
                  </w:r>
                  <w:r>
                    <w:rPr>
                      <w:rFonts w:hint="eastAsia" w:ascii="宋体" w:hAnsi="宋体"/>
                      <w:color w:val="000000"/>
                      <w:sz w:val="21"/>
                      <w:szCs w:val="21"/>
                      <w:lang w:eastAsia="zh-CN"/>
                    </w:rPr>
                    <w:t>.</w:t>
                  </w:r>
                  <w:r>
                    <w:rPr>
                      <w:rFonts w:hint="eastAsia" w:ascii="宋体" w:hAnsi="宋体"/>
                      <w:color w:val="000000"/>
                      <w:sz w:val="21"/>
                      <w:szCs w:val="21"/>
                      <w:lang w:val="en-US" w:eastAsia="zh-CN"/>
                    </w:rPr>
                    <w:t>6</w:t>
                  </w:r>
                  <w:r>
                    <w:rPr>
                      <w:rFonts w:hint="eastAsia" w:ascii="宋体" w:hAnsi="宋体"/>
                      <w:color w:val="000000"/>
                      <w:sz w:val="21"/>
                      <w:szCs w:val="21"/>
                      <w:lang w:eastAsia="zh-CN"/>
                    </w:rPr>
                    <w:t>.30</w:t>
                  </w:r>
                </w:p>
              </w:tc>
              <w:tc>
                <w:tcPr>
                  <w:tcW w:w="1062" w:type="dxa"/>
                  <w:noWrap w:val="0"/>
                  <w:vAlign w:val="center"/>
                </w:tcPr>
                <w:p>
                  <w:pPr>
                    <w:rPr>
                      <w:rFonts w:hint="eastAsia" w:ascii="宋体" w:hAnsi="宋体" w:eastAsia="宋体" w:cs="宋体"/>
                      <w:sz w:val="21"/>
                      <w:szCs w:val="21"/>
                    </w:rPr>
                  </w:pPr>
                  <w:r>
                    <w:rPr>
                      <w:rFonts w:hint="eastAsia" w:ascii="宋体" w:hAnsi="宋体"/>
                      <w:color w:val="000000"/>
                      <w:sz w:val="21"/>
                      <w:szCs w:val="21"/>
                      <w:lang w:val="en-US" w:eastAsia="zh-CN"/>
                    </w:rPr>
                    <w:t>张亚丽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211" w:type="dxa"/>
                  <w:noWrap w:val="0"/>
                  <w:vAlign w:val="top"/>
                </w:tcPr>
                <w:p>
                  <w:pPr>
                    <w:rPr>
                      <w:rFonts w:hint="eastAsia" w:ascii="宋体" w:hAnsi="宋体" w:eastAsia="宋体" w:cs="宋体"/>
                      <w:sz w:val="21"/>
                      <w:szCs w:val="21"/>
                    </w:rPr>
                  </w:pPr>
                  <w:r>
                    <w:rPr>
                      <w:rFonts w:hint="eastAsia" w:ascii="宋体" w:hAnsi="宋体"/>
                      <w:color w:val="000000"/>
                      <w:sz w:val="21"/>
                      <w:szCs w:val="21"/>
                    </w:rPr>
                    <w:t>2、培训计划实施率100%</w:t>
                  </w:r>
                </w:p>
              </w:tc>
              <w:tc>
                <w:tcPr>
                  <w:tcW w:w="1125" w:type="dxa"/>
                  <w:noWrap w:val="0"/>
                  <w:vAlign w:val="center"/>
                </w:tcPr>
                <w:p>
                  <w:pPr>
                    <w:jc w:val="center"/>
                    <w:rPr>
                      <w:rFonts w:hint="eastAsia" w:ascii="宋体" w:hAnsi="宋体" w:eastAsia="宋体" w:cs="宋体"/>
                      <w:sz w:val="21"/>
                      <w:szCs w:val="21"/>
                    </w:rPr>
                  </w:pPr>
                  <w:r>
                    <w:rPr>
                      <w:rFonts w:hint="eastAsia" w:ascii="宋体" w:hAnsi="宋体"/>
                      <w:color w:val="000000"/>
                      <w:sz w:val="21"/>
                      <w:szCs w:val="21"/>
                    </w:rPr>
                    <w:t>100%</w:t>
                  </w:r>
                </w:p>
              </w:tc>
              <w:tc>
                <w:tcPr>
                  <w:tcW w:w="1396" w:type="dxa"/>
                  <w:noWrap w:val="0"/>
                  <w:vAlign w:val="center"/>
                </w:tcPr>
                <w:p>
                  <w:pPr>
                    <w:jc w:val="center"/>
                    <w:rPr>
                      <w:rFonts w:hint="eastAsia" w:ascii="宋体" w:hAnsi="宋体" w:eastAsia="宋体" w:cs="宋体"/>
                      <w:sz w:val="21"/>
                      <w:szCs w:val="21"/>
                      <w:lang w:eastAsia="zh-CN"/>
                    </w:rPr>
                  </w:pPr>
                  <w:r>
                    <w:rPr>
                      <w:rFonts w:hint="eastAsia" w:ascii="宋体" w:hAnsi="宋体"/>
                      <w:color w:val="000000"/>
                      <w:sz w:val="21"/>
                      <w:szCs w:val="21"/>
                      <w:lang w:eastAsia="zh-CN"/>
                    </w:rPr>
                    <w:t>202</w:t>
                  </w:r>
                  <w:r>
                    <w:rPr>
                      <w:rFonts w:hint="eastAsia" w:ascii="宋体" w:hAnsi="宋体"/>
                      <w:color w:val="000000"/>
                      <w:sz w:val="21"/>
                      <w:szCs w:val="21"/>
                      <w:lang w:val="en-US" w:eastAsia="zh-CN"/>
                    </w:rPr>
                    <w:t>2</w:t>
                  </w:r>
                  <w:r>
                    <w:rPr>
                      <w:rFonts w:hint="eastAsia" w:ascii="宋体" w:hAnsi="宋体"/>
                      <w:color w:val="000000"/>
                      <w:sz w:val="21"/>
                      <w:szCs w:val="21"/>
                      <w:lang w:eastAsia="zh-CN"/>
                    </w:rPr>
                    <w:t>.</w:t>
                  </w:r>
                  <w:r>
                    <w:rPr>
                      <w:rFonts w:hint="eastAsia" w:ascii="宋体" w:hAnsi="宋体"/>
                      <w:color w:val="000000"/>
                      <w:sz w:val="21"/>
                      <w:szCs w:val="21"/>
                      <w:lang w:val="en-US" w:eastAsia="zh-CN"/>
                    </w:rPr>
                    <w:t>6</w:t>
                  </w:r>
                  <w:r>
                    <w:rPr>
                      <w:rFonts w:hint="eastAsia" w:ascii="宋体" w:hAnsi="宋体"/>
                      <w:color w:val="000000"/>
                      <w:sz w:val="21"/>
                      <w:szCs w:val="21"/>
                      <w:lang w:eastAsia="zh-CN"/>
                    </w:rPr>
                    <w:t>.30</w:t>
                  </w:r>
                </w:p>
              </w:tc>
              <w:tc>
                <w:tcPr>
                  <w:tcW w:w="1062" w:type="dxa"/>
                  <w:noWrap w:val="0"/>
                  <w:vAlign w:val="center"/>
                </w:tcPr>
                <w:p>
                  <w:pPr>
                    <w:rPr>
                      <w:rFonts w:hint="eastAsia" w:ascii="宋体" w:hAnsi="宋体" w:eastAsia="宋体" w:cs="宋体"/>
                      <w:sz w:val="21"/>
                      <w:szCs w:val="21"/>
                    </w:rPr>
                  </w:pPr>
                  <w:r>
                    <w:rPr>
                      <w:rFonts w:hint="eastAsia" w:ascii="宋体" w:hAnsi="宋体"/>
                      <w:color w:val="000000"/>
                      <w:sz w:val="21"/>
                      <w:szCs w:val="21"/>
                      <w:lang w:val="en-US" w:eastAsia="zh-CN"/>
                    </w:rPr>
                    <w:t>张亚丽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211" w:type="dxa"/>
                  <w:noWrap w:val="0"/>
                  <w:vAlign w:val="top"/>
                </w:tcPr>
                <w:p>
                  <w:pPr>
                    <w:rPr>
                      <w:rFonts w:hint="eastAsia" w:ascii="宋体" w:hAnsi="宋体" w:eastAsia="宋体" w:cs="宋体"/>
                      <w:sz w:val="21"/>
                      <w:szCs w:val="21"/>
                    </w:rPr>
                  </w:pPr>
                  <w:r>
                    <w:rPr>
                      <w:rFonts w:hint="eastAsia" w:ascii="宋体" w:hAnsi="宋体"/>
                      <w:color w:val="000000"/>
                      <w:sz w:val="21"/>
                      <w:szCs w:val="21"/>
                    </w:rPr>
                    <w:t>3、特殊岗位持证上岗率100%</w:t>
                  </w:r>
                </w:p>
              </w:tc>
              <w:tc>
                <w:tcPr>
                  <w:tcW w:w="1125" w:type="dxa"/>
                  <w:noWrap w:val="0"/>
                  <w:vAlign w:val="center"/>
                </w:tcPr>
                <w:p>
                  <w:pPr>
                    <w:jc w:val="center"/>
                    <w:rPr>
                      <w:rFonts w:hint="eastAsia" w:ascii="宋体" w:hAnsi="宋体" w:eastAsia="宋体" w:cs="宋体"/>
                      <w:sz w:val="21"/>
                      <w:szCs w:val="21"/>
                    </w:rPr>
                  </w:pPr>
                  <w:r>
                    <w:rPr>
                      <w:rFonts w:hint="eastAsia" w:ascii="宋体" w:hAnsi="宋体"/>
                      <w:color w:val="000000"/>
                      <w:sz w:val="21"/>
                      <w:szCs w:val="21"/>
                    </w:rPr>
                    <w:t>100%</w:t>
                  </w:r>
                </w:p>
              </w:tc>
              <w:tc>
                <w:tcPr>
                  <w:tcW w:w="1396" w:type="dxa"/>
                  <w:noWrap w:val="0"/>
                  <w:vAlign w:val="center"/>
                </w:tcPr>
                <w:p>
                  <w:pPr>
                    <w:jc w:val="center"/>
                    <w:rPr>
                      <w:rFonts w:hint="eastAsia" w:ascii="宋体" w:hAnsi="宋体" w:eastAsia="宋体" w:cs="宋体"/>
                      <w:sz w:val="21"/>
                      <w:szCs w:val="21"/>
                      <w:lang w:eastAsia="zh-CN"/>
                    </w:rPr>
                  </w:pPr>
                  <w:r>
                    <w:rPr>
                      <w:rFonts w:hint="eastAsia" w:ascii="宋体" w:hAnsi="宋体"/>
                      <w:color w:val="000000"/>
                      <w:sz w:val="21"/>
                      <w:szCs w:val="21"/>
                      <w:lang w:eastAsia="zh-CN"/>
                    </w:rPr>
                    <w:t>202</w:t>
                  </w:r>
                  <w:r>
                    <w:rPr>
                      <w:rFonts w:hint="eastAsia" w:ascii="宋体" w:hAnsi="宋体"/>
                      <w:color w:val="000000"/>
                      <w:sz w:val="21"/>
                      <w:szCs w:val="21"/>
                      <w:lang w:val="en-US" w:eastAsia="zh-CN"/>
                    </w:rPr>
                    <w:t>2</w:t>
                  </w:r>
                  <w:r>
                    <w:rPr>
                      <w:rFonts w:hint="eastAsia" w:ascii="宋体" w:hAnsi="宋体"/>
                      <w:color w:val="000000"/>
                      <w:sz w:val="21"/>
                      <w:szCs w:val="21"/>
                      <w:lang w:eastAsia="zh-CN"/>
                    </w:rPr>
                    <w:t>.</w:t>
                  </w:r>
                  <w:r>
                    <w:rPr>
                      <w:rFonts w:hint="eastAsia" w:ascii="宋体" w:hAnsi="宋体"/>
                      <w:color w:val="000000"/>
                      <w:sz w:val="21"/>
                      <w:szCs w:val="21"/>
                      <w:lang w:val="en-US" w:eastAsia="zh-CN"/>
                    </w:rPr>
                    <w:t>6</w:t>
                  </w:r>
                  <w:r>
                    <w:rPr>
                      <w:rFonts w:hint="eastAsia" w:ascii="宋体" w:hAnsi="宋体"/>
                      <w:color w:val="000000"/>
                      <w:sz w:val="21"/>
                      <w:szCs w:val="21"/>
                      <w:lang w:eastAsia="zh-CN"/>
                    </w:rPr>
                    <w:t>.30</w:t>
                  </w:r>
                </w:p>
              </w:tc>
              <w:tc>
                <w:tcPr>
                  <w:tcW w:w="1062" w:type="dxa"/>
                  <w:noWrap w:val="0"/>
                  <w:vAlign w:val="center"/>
                </w:tcPr>
                <w:p>
                  <w:pPr>
                    <w:rPr>
                      <w:rFonts w:hint="eastAsia" w:ascii="宋体" w:hAnsi="宋体" w:eastAsia="宋体" w:cs="宋体"/>
                      <w:sz w:val="21"/>
                      <w:szCs w:val="21"/>
                    </w:rPr>
                  </w:pPr>
                  <w:r>
                    <w:rPr>
                      <w:rFonts w:hint="eastAsia" w:ascii="宋体" w:hAnsi="宋体"/>
                      <w:color w:val="000000"/>
                      <w:sz w:val="21"/>
                      <w:szCs w:val="21"/>
                      <w:lang w:val="en-US" w:eastAsia="zh-CN"/>
                    </w:rPr>
                    <w:t>张亚丽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211" w:type="dxa"/>
                  <w:noWrap w:val="0"/>
                  <w:vAlign w:val="top"/>
                </w:tcPr>
                <w:p>
                  <w:pPr>
                    <w:rPr>
                      <w:rFonts w:hint="eastAsia" w:ascii="宋体" w:hAnsi="宋体" w:eastAsia="宋体" w:cs="宋体"/>
                      <w:sz w:val="21"/>
                      <w:szCs w:val="21"/>
                    </w:rPr>
                  </w:pPr>
                  <w:r>
                    <w:rPr>
                      <w:rFonts w:hint="eastAsia" w:ascii="宋体" w:hAnsi="宋体"/>
                      <w:color w:val="000000"/>
                      <w:sz w:val="21"/>
                      <w:szCs w:val="21"/>
                    </w:rPr>
                    <w:t>4、安排人员体检,覆盖率达到100%</w:t>
                  </w:r>
                </w:p>
              </w:tc>
              <w:tc>
                <w:tcPr>
                  <w:tcW w:w="1125" w:type="dxa"/>
                  <w:noWrap w:val="0"/>
                  <w:vAlign w:val="center"/>
                </w:tcPr>
                <w:p>
                  <w:pPr>
                    <w:jc w:val="center"/>
                    <w:rPr>
                      <w:rFonts w:hint="eastAsia" w:ascii="宋体" w:hAnsi="宋体" w:eastAsia="宋体" w:cs="宋体"/>
                      <w:sz w:val="21"/>
                      <w:szCs w:val="21"/>
                    </w:rPr>
                  </w:pPr>
                  <w:r>
                    <w:rPr>
                      <w:rFonts w:hint="eastAsia" w:ascii="宋体" w:hAnsi="宋体"/>
                      <w:color w:val="000000"/>
                      <w:sz w:val="21"/>
                      <w:szCs w:val="21"/>
                    </w:rPr>
                    <w:t>100%</w:t>
                  </w:r>
                </w:p>
              </w:tc>
              <w:tc>
                <w:tcPr>
                  <w:tcW w:w="1396" w:type="dxa"/>
                  <w:noWrap w:val="0"/>
                  <w:vAlign w:val="center"/>
                </w:tcPr>
                <w:p>
                  <w:pPr>
                    <w:jc w:val="center"/>
                    <w:rPr>
                      <w:rFonts w:hint="eastAsia" w:ascii="宋体" w:hAnsi="宋体" w:eastAsia="宋体" w:cs="宋体"/>
                      <w:sz w:val="21"/>
                      <w:szCs w:val="21"/>
                      <w:lang w:eastAsia="zh-CN"/>
                    </w:rPr>
                  </w:pPr>
                  <w:r>
                    <w:rPr>
                      <w:rFonts w:hint="eastAsia" w:ascii="宋体" w:hAnsi="宋体"/>
                      <w:color w:val="000000"/>
                      <w:sz w:val="21"/>
                      <w:szCs w:val="21"/>
                      <w:lang w:eastAsia="zh-CN"/>
                    </w:rPr>
                    <w:t>202</w:t>
                  </w:r>
                  <w:r>
                    <w:rPr>
                      <w:rFonts w:hint="eastAsia" w:ascii="宋体" w:hAnsi="宋体"/>
                      <w:color w:val="000000"/>
                      <w:sz w:val="21"/>
                      <w:szCs w:val="21"/>
                      <w:lang w:val="en-US" w:eastAsia="zh-CN"/>
                    </w:rPr>
                    <w:t>2</w:t>
                  </w:r>
                  <w:r>
                    <w:rPr>
                      <w:rFonts w:hint="eastAsia" w:ascii="宋体" w:hAnsi="宋体"/>
                      <w:color w:val="000000"/>
                      <w:sz w:val="21"/>
                      <w:szCs w:val="21"/>
                      <w:lang w:eastAsia="zh-CN"/>
                    </w:rPr>
                    <w:t>.</w:t>
                  </w:r>
                  <w:r>
                    <w:rPr>
                      <w:rFonts w:hint="eastAsia" w:ascii="宋体" w:hAnsi="宋体"/>
                      <w:color w:val="000000"/>
                      <w:sz w:val="21"/>
                      <w:szCs w:val="21"/>
                      <w:lang w:val="en-US" w:eastAsia="zh-CN"/>
                    </w:rPr>
                    <w:t>6</w:t>
                  </w:r>
                  <w:r>
                    <w:rPr>
                      <w:rFonts w:hint="eastAsia" w:ascii="宋体" w:hAnsi="宋体"/>
                      <w:color w:val="000000"/>
                      <w:sz w:val="21"/>
                      <w:szCs w:val="21"/>
                      <w:lang w:eastAsia="zh-CN"/>
                    </w:rPr>
                    <w:t>.30</w:t>
                  </w:r>
                </w:p>
              </w:tc>
              <w:tc>
                <w:tcPr>
                  <w:tcW w:w="1062" w:type="dxa"/>
                  <w:noWrap w:val="0"/>
                  <w:vAlign w:val="center"/>
                </w:tcPr>
                <w:p>
                  <w:pPr>
                    <w:rPr>
                      <w:rFonts w:hint="eastAsia" w:ascii="宋体" w:hAnsi="宋体" w:eastAsia="宋体" w:cs="宋体"/>
                      <w:sz w:val="21"/>
                      <w:szCs w:val="21"/>
                    </w:rPr>
                  </w:pPr>
                  <w:r>
                    <w:rPr>
                      <w:rFonts w:hint="eastAsia" w:ascii="宋体" w:hAnsi="宋体"/>
                      <w:color w:val="000000"/>
                      <w:sz w:val="21"/>
                      <w:szCs w:val="21"/>
                      <w:lang w:val="en-US" w:eastAsia="zh-CN"/>
                    </w:rPr>
                    <w:t>张亚丽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211" w:type="dxa"/>
                  <w:noWrap w:val="0"/>
                  <w:vAlign w:val="top"/>
                </w:tcPr>
                <w:p>
                  <w:pPr>
                    <w:rPr>
                      <w:rFonts w:hint="eastAsia" w:ascii="宋体" w:hAnsi="宋体" w:eastAsia="宋体" w:cs="宋体"/>
                      <w:sz w:val="21"/>
                      <w:szCs w:val="21"/>
                    </w:rPr>
                  </w:pPr>
                  <w:r>
                    <w:rPr>
                      <w:rFonts w:hint="eastAsia" w:ascii="宋体" w:hAnsi="宋体"/>
                      <w:color w:val="000000"/>
                      <w:sz w:val="21"/>
                      <w:szCs w:val="21"/>
                    </w:rPr>
                    <w:t>5、按规定处置固体废弃物——固体废弃物违规处置率为0</w:t>
                  </w:r>
                </w:p>
              </w:tc>
              <w:tc>
                <w:tcPr>
                  <w:tcW w:w="1125" w:type="dxa"/>
                  <w:noWrap w:val="0"/>
                  <w:vAlign w:val="center"/>
                </w:tcPr>
                <w:p>
                  <w:pPr>
                    <w:jc w:val="center"/>
                    <w:rPr>
                      <w:rFonts w:hint="eastAsia" w:ascii="宋体" w:hAnsi="宋体" w:eastAsia="宋体" w:cs="宋体"/>
                      <w:sz w:val="21"/>
                      <w:szCs w:val="21"/>
                    </w:rPr>
                  </w:pPr>
                  <w:r>
                    <w:rPr>
                      <w:rFonts w:hint="eastAsia" w:ascii="宋体" w:hAnsi="宋体"/>
                      <w:color w:val="000000"/>
                      <w:sz w:val="21"/>
                      <w:szCs w:val="21"/>
                    </w:rPr>
                    <w:t>0</w:t>
                  </w:r>
                </w:p>
              </w:tc>
              <w:tc>
                <w:tcPr>
                  <w:tcW w:w="1396" w:type="dxa"/>
                  <w:noWrap w:val="0"/>
                  <w:vAlign w:val="center"/>
                </w:tcPr>
                <w:p>
                  <w:pPr>
                    <w:jc w:val="center"/>
                    <w:rPr>
                      <w:rFonts w:hint="eastAsia" w:ascii="宋体" w:hAnsi="宋体" w:eastAsia="宋体" w:cs="宋体"/>
                      <w:sz w:val="21"/>
                      <w:szCs w:val="21"/>
                      <w:lang w:eastAsia="zh-CN"/>
                    </w:rPr>
                  </w:pPr>
                  <w:r>
                    <w:rPr>
                      <w:rFonts w:hint="eastAsia" w:ascii="宋体" w:hAnsi="宋体"/>
                      <w:color w:val="000000"/>
                      <w:sz w:val="21"/>
                      <w:szCs w:val="21"/>
                      <w:lang w:eastAsia="zh-CN"/>
                    </w:rPr>
                    <w:t>202</w:t>
                  </w:r>
                  <w:r>
                    <w:rPr>
                      <w:rFonts w:hint="eastAsia" w:ascii="宋体" w:hAnsi="宋体"/>
                      <w:color w:val="000000"/>
                      <w:sz w:val="21"/>
                      <w:szCs w:val="21"/>
                      <w:lang w:val="en-US" w:eastAsia="zh-CN"/>
                    </w:rPr>
                    <w:t>2</w:t>
                  </w:r>
                  <w:r>
                    <w:rPr>
                      <w:rFonts w:hint="eastAsia" w:ascii="宋体" w:hAnsi="宋体"/>
                      <w:color w:val="000000"/>
                      <w:sz w:val="21"/>
                      <w:szCs w:val="21"/>
                      <w:lang w:eastAsia="zh-CN"/>
                    </w:rPr>
                    <w:t>.</w:t>
                  </w:r>
                  <w:r>
                    <w:rPr>
                      <w:rFonts w:hint="eastAsia" w:ascii="宋体" w:hAnsi="宋体"/>
                      <w:color w:val="000000"/>
                      <w:sz w:val="21"/>
                      <w:szCs w:val="21"/>
                      <w:lang w:val="en-US" w:eastAsia="zh-CN"/>
                    </w:rPr>
                    <w:t>6</w:t>
                  </w:r>
                  <w:r>
                    <w:rPr>
                      <w:rFonts w:hint="eastAsia" w:ascii="宋体" w:hAnsi="宋体"/>
                      <w:color w:val="000000"/>
                      <w:sz w:val="21"/>
                      <w:szCs w:val="21"/>
                      <w:lang w:eastAsia="zh-CN"/>
                    </w:rPr>
                    <w:t>.30</w:t>
                  </w:r>
                </w:p>
              </w:tc>
              <w:tc>
                <w:tcPr>
                  <w:tcW w:w="1062" w:type="dxa"/>
                  <w:noWrap w:val="0"/>
                  <w:vAlign w:val="center"/>
                </w:tcPr>
                <w:p>
                  <w:pPr>
                    <w:rPr>
                      <w:rFonts w:hint="eastAsia" w:ascii="宋体" w:hAnsi="宋体" w:eastAsia="宋体" w:cs="宋体"/>
                      <w:sz w:val="21"/>
                      <w:szCs w:val="21"/>
                    </w:rPr>
                  </w:pPr>
                  <w:r>
                    <w:rPr>
                      <w:rFonts w:hint="eastAsia" w:ascii="宋体" w:hAnsi="宋体"/>
                      <w:color w:val="000000"/>
                      <w:sz w:val="21"/>
                      <w:szCs w:val="21"/>
                      <w:lang w:val="en-US" w:eastAsia="zh-CN"/>
                    </w:rPr>
                    <w:t>张亚丽</w:t>
                  </w:r>
                </w:p>
              </w:tc>
            </w:tr>
          </w:tbl>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目标可测量，与公司管理方针一致。</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每年由</w:t>
            </w:r>
            <w:r>
              <w:rPr>
                <w:rFonts w:hint="eastAsia" w:ascii="宋体" w:hAnsi="宋体" w:eastAsia="宋体" w:cs="宋体"/>
                <w:sz w:val="21"/>
                <w:szCs w:val="21"/>
                <w:lang w:eastAsia="zh-CN"/>
              </w:rPr>
              <w:t>综合办</w:t>
            </w:r>
            <w:r>
              <w:rPr>
                <w:rFonts w:hint="eastAsia" w:ascii="宋体" w:hAnsi="宋体" w:eastAsia="宋体" w:cs="宋体"/>
                <w:sz w:val="21"/>
                <w:szCs w:val="21"/>
              </w:rPr>
              <w:t>按公司管理目标考核要求统计考核公司管理目标完成情况，提交管理评审会议。</w:t>
            </w:r>
          </w:p>
          <w:p>
            <w:pPr>
              <w:spacing w:line="240" w:lineRule="auto"/>
              <w:ind w:firstLine="420" w:firstLineChars="200"/>
              <w:rPr>
                <w:rFonts w:hint="eastAsia" w:ascii="宋体" w:hAnsi="宋体" w:eastAsia="宋体" w:cs="宋体"/>
                <w:bCs/>
                <w:spacing w:val="10"/>
                <w:kern w:val="2"/>
                <w:sz w:val="21"/>
                <w:szCs w:val="21"/>
                <w:lang w:val="en-US" w:eastAsia="zh-CN" w:bidi="ar-SA"/>
              </w:rPr>
            </w:pPr>
            <w:r>
              <w:rPr>
                <w:rFonts w:hint="eastAsia" w:ascii="宋体" w:hAnsi="宋体" w:eastAsia="宋体" w:cs="宋体"/>
                <w:sz w:val="21"/>
                <w:szCs w:val="21"/>
              </w:rPr>
              <w:t>针对重要环境因素、不可接受风险制订了管理方案并予以实施，基本有效。</w:t>
            </w:r>
          </w:p>
        </w:tc>
        <w:tc>
          <w:tcPr>
            <w:tcW w:w="895"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0" w:type="dxa"/>
            <w:vAlign w:val="center"/>
          </w:tcPr>
          <w:p>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组织的知识</w:t>
            </w:r>
          </w:p>
        </w:tc>
        <w:tc>
          <w:tcPr>
            <w:tcW w:w="1058" w:type="dxa"/>
            <w:vAlign w:val="center"/>
          </w:tcPr>
          <w:p>
            <w:pPr>
              <w:pStyle w:val="18"/>
              <w:spacing w:line="360" w:lineRule="auto"/>
              <w:rPr>
                <w:rFonts w:hint="eastAsia" w:ascii="宋体" w:hAnsi="宋体" w:eastAsia="宋体" w:cs="宋体"/>
                <w:sz w:val="21"/>
                <w:szCs w:val="21"/>
              </w:rPr>
            </w:pPr>
            <w:r>
              <w:rPr>
                <w:rFonts w:hint="eastAsia" w:ascii="宋体" w:hAnsi="宋体" w:eastAsia="宋体" w:cs="宋体"/>
                <w:sz w:val="21"/>
                <w:szCs w:val="21"/>
              </w:rPr>
              <w:t>Q7.1.6</w:t>
            </w:r>
          </w:p>
          <w:p>
            <w:pPr>
              <w:pStyle w:val="18"/>
              <w:spacing w:line="360" w:lineRule="auto"/>
              <w:rPr>
                <w:rFonts w:hint="eastAsia" w:ascii="宋体" w:hAnsi="宋体" w:eastAsia="宋体" w:cs="宋体"/>
                <w:bCs/>
                <w:spacing w:val="10"/>
                <w:kern w:val="2"/>
                <w:sz w:val="21"/>
                <w:szCs w:val="21"/>
                <w:lang w:val="en-US" w:eastAsia="zh-CN" w:bidi="ar-SA"/>
              </w:rPr>
            </w:pPr>
          </w:p>
        </w:tc>
        <w:tc>
          <w:tcPr>
            <w:tcW w:w="10596" w:type="dxa"/>
            <w:vAlign w:val="center"/>
          </w:tcPr>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查提供《组织知识清单》，并就知识来源、应用场所、适用性评估、沟通方式、更新情况进行了管理。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查到公司建立、运行质量/环境/职业健康安全管理体系过程中涉及到的所有信息均为组织知识，公司的组织知识以纸质文件、电子文档方式保存，各部门负责本部门职能范围内知识的管理，</w:t>
            </w:r>
            <w:r>
              <w:rPr>
                <w:rFonts w:hint="eastAsia" w:ascii="宋体" w:hAnsi="宋体" w:eastAsia="宋体" w:cs="宋体"/>
                <w:sz w:val="21"/>
                <w:szCs w:val="21"/>
                <w:lang w:eastAsia="zh-CN"/>
              </w:rPr>
              <w:t>综合办</w:t>
            </w:r>
            <w:r>
              <w:rPr>
                <w:rFonts w:hint="eastAsia" w:ascii="宋体" w:hAnsi="宋体" w:eastAsia="宋体" w:cs="宋体"/>
                <w:sz w:val="21"/>
                <w:szCs w:val="21"/>
              </w:rPr>
              <w:t>负责其余知识的管理控制。</w:t>
            </w:r>
            <w:r>
              <w:rPr>
                <w:rFonts w:hint="eastAsia" w:ascii="宋体" w:hAnsi="宋体" w:eastAsia="宋体" w:cs="宋体"/>
                <w:sz w:val="21"/>
                <w:szCs w:val="21"/>
                <w:lang w:eastAsia="zh-CN"/>
              </w:rPr>
              <w:t>综合办</w:t>
            </w:r>
            <w:r>
              <w:rPr>
                <w:rFonts w:hint="eastAsia" w:ascii="宋体" w:hAnsi="宋体" w:eastAsia="宋体" w:cs="宋体"/>
                <w:sz w:val="21"/>
                <w:szCs w:val="21"/>
              </w:rPr>
              <w:t>负责在公司内部建立QQ工作群、微信工作组、公司网页以及实行培训、教育等活动以实现知识共享、传递的目的。</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公司知识管理和文件化信息管理基本有效。</w:t>
            </w:r>
          </w:p>
        </w:tc>
        <w:tc>
          <w:tcPr>
            <w:tcW w:w="895"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人员、能力、培训</w:t>
            </w:r>
          </w:p>
        </w:tc>
        <w:tc>
          <w:tcPr>
            <w:tcW w:w="1058"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QEO7.2</w:t>
            </w:r>
          </w:p>
          <w:p>
            <w:pPr>
              <w:pStyle w:val="18"/>
              <w:spacing w:line="360" w:lineRule="auto"/>
              <w:rPr>
                <w:rFonts w:hint="eastAsia" w:ascii="宋体" w:hAnsi="宋体" w:eastAsia="宋体" w:cs="宋体"/>
                <w:sz w:val="21"/>
                <w:szCs w:val="21"/>
              </w:rPr>
            </w:pPr>
          </w:p>
        </w:tc>
        <w:tc>
          <w:tcPr>
            <w:tcW w:w="10596" w:type="dxa"/>
            <w:vAlign w:val="center"/>
          </w:tcPr>
          <w:p>
            <w:pPr>
              <w:pStyle w:val="9"/>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w:t>
            </w:r>
            <w:r>
              <w:rPr>
                <w:rFonts w:hint="eastAsia" w:ascii="宋体" w:hAnsi="宋体" w:eastAsia="宋体" w:cs="宋体"/>
                <w:sz w:val="21"/>
                <w:szCs w:val="21"/>
                <w:lang w:val="zh-CN"/>
              </w:rPr>
              <w:t>培训过程控制程序</w:t>
            </w:r>
            <w:r>
              <w:rPr>
                <w:rFonts w:hint="eastAsia" w:ascii="宋体" w:hAnsi="宋体" w:eastAsia="宋体" w:cs="宋体"/>
                <w:sz w:val="21"/>
                <w:szCs w:val="21"/>
              </w:rPr>
              <w:t>》，规定了控制要求。对企业的人力资源的培养和发展等作出规定，招聘、培训、试用与转正等人力资源作出了规划。</w:t>
            </w:r>
          </w:p>
          <w:p>
            <w:pPr>
              <w:pStyle w:val="9"/>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企业提供了《岗位资格任职要求》，对各岗位的任职条件做了规定。</w:t>
            </w:r>
          </w:p>
          <w:p>
            <w:pPr>
              <w:pStyle w:val="9"/>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企业目前在职员工包括管理人员、业务人员、生产人员等，</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均实践经验丰富</w:t>
            </w:r>
            <w:r>
              <w:rPr>
                <w:rFonts w:hint="eastAsia" w:ascii="宋体" w:hAnsi="宋体" w:eastAsia="宋体" w:cs="宋体"/>
                <w:sz w:val="21"/>
                <w:szCs w:val="21"/>
                <w:lang w:eastAsia="zh-CN"/>
              </w:rPr>
              <w:t>；</w:t>
            </w:r>
            <w:r>
              <w:rPr>
                <w:rFonts w:hint="eastAsia" w:ascii="宋体" w:hAnsi="宋体" w:eastAsia="宋体" w:cs="宋体"/>
                <w:sz w:val="21"/>
                <w:szCs w:val="21"/>
              </w:rPr>
              <w:t>目前公司人员比较稳定，自体系运行以来人员没有变化，没有新员工，人力资源控制基本满足要求。</w:t>
            </w:r>
          </w:p>
          <w:p>
            <w:pPr>
              <w:pStyle w:val="9"/>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根据企业发展规划、现状及各部门意见，人力资源部制定年度培训计划，提供《202</w:t>
            </w:r>
            <w:r>
              <w:rPr>
                <w:rFonts w:hint="eastAsia" w:ascii="宋体" w:hAnsi="宋体" w:eastAsia="宋体" w:cs="宋体"/>
                <w:sz w:val="21"/>
                <w:szCs w:val="21"/>
                <w:lang w:val="en-US" w:eastAsia="zh-CN"/>
              </w:rPr>
              <w:t>2</w:t>
            </w:r>
            <w:r>
              <w:rPr>
                <w:rFonts w:hint="eastAsia" w:ascii="宋体" w:hAnsi="宋体" w:eastAsia="宋体" w:cs="宋体"/>
                <w:sz w:val="21"/>
                <w:szCs w:val="21"/>
              </w:rPr>
              <w:t>年培训计划》，</w:t>
            </w:r>
          </w:p>
          <w:p>
            <w:pPr>
              <w:pStyle w:val="9"/>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w:t>
            </w:r>
          </w:p>
          <w:p>
            <w:pPr>
              <w:spacing w:line="360" w:lineRule="auto"/>
              <w:rPr>
                <w:rFonts w:hint="eastAsia" w:ascii="宋体" w:hAnsi="宋体" w:eastAsia="宋体" w:cs="宋体"/>
                <w:sz w:val="21"/>
                <w:szCs w:val="21"/>
              </w:rPr>
            </w:pPr>
            <w:r>
              <w:rPr>
                <w:rFonts w:hint="eastAsia" w:ascii="宋体" w:hAnsi="宋体" w:eastAsia="宋体" w:cs="宋体"/>
                <w:sz w:val="21"/>
                <w:szCs w:val="21"/>
              </w:rPr>
              <w:t>抽查1：培训实施记录</w:t>
            </w:r>
          </w:p>
          <w:p>
            <w:pPr>
              <w:spacing w:line="360" w:lineRule="auto"/>
              <w:rPr>
                <w:rFonts w:hint="eastAsia" w:ascii="宋体" w:hAnsi="宋体" w:eastAsia="宋体" w:cs="宋体"/>
                <w:sz w:val="21"/>
                <w:szCs w:val="21"/>
              </w:rPr>
            </w:pPr>
            <w:r>
              <w:rPr>
                <w:rFonts w:hint="eastAsia" w:ascii="宋体" w:hAnsi="宋体" w:eastAsia="宋体" w:cs="宋体"/>
                <w:sz w:val="21"/>
                <w:szCs w:val="21"/>
              </w:rPr>
              <w:t>时间：2022.3.8</w:t>
            </w:r>
            <w:r>
              <w:rPr>
                <w:rFonts w:hint="eastAsia" w:ascii="宋体" w:hAnsi="宋体" w:eastAsia="宋体" w:cs="宋体"/>
                <w:sz w:val="21"/>
                <w:szCs w:val="21"/>
              </w:rPr>
              <w:tab/>
            </w:r>
            <w:r>
              <w:rPr>
                <w:rFonts w:hint="eastAsia" w:ascii="宋体" w:hAnsi="宋体" w:eastAsia="宋体" w:cs="宋体"/>
                <w:sz w:val="21"/>
                <w:szCs w:val="21"/>
              </w:rPr>
              <w:t>培训内容：国内外环境形势·质量/环境保护/职业健康安全的重要性·</w:t>
            </w:r>
            <w:r>
              <w:rPr>
                <w:rFonts w:hint="eastAsia" w:ascii="宋体" w:hAnsi="宋体" w:eastAsia="宋体" w:cs="宋体"/>
                <w:sz w:val="21"/>
                <w:szCs w:val="21"/>
                <w:lang w:val="en-US" w:eastAsia="zh-CN"/>
              </w:rPr>
              <w:t>GB/T1</w:t>
            </w:r>
            <w:r>
              <w:rPr>
                <w:rFonts w:hint="eastAsia" w:ascii="宋体" w:hAnsi="宋体" w:eastAsia="宋体" w:cs="宋体"/>
                <w:sz w:val="21"/>
                <w:szCs w:val="21"/>
              </w:rPr>
              <w:t>9001、</w:t>
            </w:r>
            <w:r>
              <w:rPr>
                <w:rFonts w:hint="eastAsia" w:ascii="宋体" w:hAnsi="宋体" w:eastAsia="宋体" w:cs="宋体"/>
                <w:sz w:val="21"/>
                <w:szCs w:val="21"/>
                <w:lang w:val="en-US" w:eastAsia="zh-CN"/>
              </w:rPr>
              <w:t>GB/T</w:t>
            </w:r>
            <w:r>
              <w:rPr>
                <w:rFonts w:hint="eastAsia" w:ascii="宋体" w:hAnsi="宋体" w:eastAsia="宋体" w:cs="宋体"/>
                <w:sz w:val="21"/>
                <w:szCs w:val="21"/>
              </w:rPr>
              <w:t>14001 和</w:t>
            </w:r>
            <w:r>
              <w:rPr>
                <w:rFonts w:hint="eastAsia" w:ascii="宋体" w:hAnsi="宋体" w:eastAsia="宋体" w:cs="宋体"/>
                <w:sz w:val="21"/>
                <w:szCs w:val="21"/>
                <w:lang w:val="en-US" w:eastAsia="zh-CN"/>
              </w:rPr>
              <w:t>GB/T45</w:t>
            </w:r>
            <w:r>
              <w:rPr>
                <w:rFonts w:hint="eastAsia" w:ascii="宋体" w:hAnsi="宋体" w:eastAsia="宋体" w:cs="宋体"/>
                <w:sz w:val="21"/>
                <w:szCs w:val="21"/>
              </w:rPr>
              <w:t>001-20</w:t>
            </w:r>
            <w:r>
              <w:rPr>
                <w:rFonts w:hint="eastAsia" w:ascii="宋体" w:hAnsi="宋体" w:eastAsia="宋体" w:cs="宋体"/>
                <w:sz w:val="21"/>
                <w:szCs w:val="21"/>
                <w:lang w:val="en-US" w:eastAsia="zh-CN"/>
              </w:rPr>
              <w:t>20</w:t>
            </w:r>
            <w:r>
              <w:rPr>
                <w:rFonts w:hint="eastAsia" w:ascii="宋体" w:hAnsi="宋体" w:eastAsia="宋体" w:cs="宋体"/>
                <w:sz w:val="21"/>
                <w:szCs w:val="21"/>
              </w:rPr>
              <w:t>标准条款介绍·实施质量、环境和职业健康安全管理体系的意义</w:t>
            </w:r>
          </w:p>
          <w:p>
            <w:pPr>
              <w:spacing w:line="360" w:lineRule="auto"/>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培训教师：</w:t>
            </w:r>
            <w:r>
              <w:rPr>
                <w:rFonts w:hint="eastAsia" w:ascii="宋体" w:hAnsi="宋体" w:eastAsia="宋体" w:cs="宋体"/>
                <w:sz w:val="21"/>
                <w:szCs w:val="21"/>
                <w:lang w:eastAsia="zh-CN"/>
              </w:rPr>
              <w:t>潘老师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地点：会议室</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培训方式：面授</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参加培训人员：</w:t>
            </w:r>
            <w:r>
              <w:rPr>
                <w:rFonts w:hint="eastAsia" w:ascii="宋体" w:hAnsi="宋体" w:eastAsia="宋体" w:cs="宋体"/>
                <w:sz w:val="21"/>
                <w:szCs w:val="21"/>
                <w:lang w:val="en-US" w:eastAsia="zh-CN"/>
              </w:rPr>
              <w:t>李昌阳 张丽亚 谭康 官敏 向锋 王昌华 刘刚 何德迁</w:t>
            </w:r>
          </w:p>
          <w:p>
            <w:pPr>
              <w:spacing w:line="360" w:lineRule="auto"/>
              <w:rPr>
                <w:rFonts w:hint="eastAsia" w:ascii="宋体" w:hAnsi="宋体" w:eastAsia="宋体" w:cs="宋体"/>
                <w:sz w:val="21"/>
                <w:szCs w:val="21"/>
              </w:rPr>
            </w:pPr>
            <w:r>
              <w:rPr>
                <w:rFonts w:hint="eastAsia" w:ascii="宋体" w:hAnsi="宋体" w:eastAsia="宋体" w:cs="宋体"/>
                <w:sz w:val="21"/>
                <w:szCs w:val="21"/>
              </w:rPr>
              <w:t>考核方式及成绩：现场提问，全部取得优良成绩。</w:t>
            </w:r>
          </w:p>
          <w:p>
            <w:pPr>
              <w:spacing w:line="360" w:lineRule="auto"/>
              <w:rPr>
                <w:rFonts w:hint="eastAsia" w:ascii="宋体" w:hAnsi="宋体" w:eastAsia="宋体" w:cs="宋体"/>
                <w:sz w:val="21"/>
                <w:szCs w:val="21"/>
              </w:rPr>
            </w:pPr>
            <w:r>
              <w:rPr>
                <w:rFonts w:hint="eastAsia" w:ascii="宋体" w:hAnsi="宋体" w:eastAsia="宋体" w:cs="宋体"/>
                <w:sz w:val="21"/>
                <w:szCs w:val="21"/>
              </w:rPr>
              <w:t>培训效果评价：</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公司全体人员对质量、环境、职业健康安全标准有了深刻的认识，结合本公司的实际情况，认识到质量、环境、职业健康安全的重要性，认识到保证顾客满意是公司发展的保证，使公司全体人员的质量、环境、职业健康安全意识有了很大的提高。                                                                   </w:t>
            </w:r>
          </w:p>
          <w:p>
            <w:pPr>
              <w:spacing w:line="360" w:lineRule="auto"/>
              <w:rPr>
                <w:rFonts w:hint="eastAsia" w:ascii="宋体" w:hAnsi="宋体" w:eastAsia="宋体" w:cs="宋体"/>
                <w:sz w:val="21"/>
                <w:szCs w:val="21"/>
              </w:rPr>
            </w:pPr>
            <w:r>
              <w:rPr>
                <w:rFonts w:hint="eastAsia" w:ascii="宋体" w:hAnsi="宋体" w:eastAsia="宋体" w:cs="宋体"/>
                <w:sz w:val="21"/>
                <w:szCs w:val="21"/>
              </w:rPr>
              <w:t>抽查2：培训实施记录</w:t>
            </w:r>
          </w:p>
          <w:p>
            <w:pPr>
              <w:spacing w:line="360" w:lineRule="auto"/>
              <w:rPr>
                <w:rFonts w:hint="eastAsia" w:ascii="宋体" w:hAnsi="宋体" w:eastAsia="宋体" w:cs="宋体"/>
                <w:sz w:val="21"/>
                <w:szCs w:val="21"/>
              </w:rPr>
            </w:pPr>
            <w:r>
              <w:rPr>
                <w:rFonts w:hint="eastAsia" w:ascii="宋体" w:hAnsi="宋体" w:eastAsia="宋体" w:cs="宋体"/>
                <w:sz w:val="21"/>
                <w:szCs w:val="21"/>
              </w:rPr>
              <w:t>时间：2022.3.16</w:t>
            </w:r>
            <w:r>
              <w:rPr>
                <w:rFonts w:hint="eastAsia" w:ascii="宋体" w:hAnsi="宋体" w:eastAsia="宋体" w:cs="宋体"/>
                <w:sz w:val="21"/>
                <w:szCs w:val="21"/>
              </w:rPr>
              <w:tab/>
            </w:r>
            <w:r>
              <w:rPr>
                <w:rFonts w:hint="eastAsia" w:ascii="宋体" w:hAnsi="宋体" w:eastAsia="宋体" w:cs="宋体"/>
                <w:sz w:val="21"/>
                <w:szCs w:val="21"/>
              </w:rPr>
              <w:t>培训题目：质量、环境和安全意识</w:t>
            </w:r>
          </w:p>
          <w:p>
            <w:pPr>
              <w:spacing w:line="360" w:lineRule="auto"/>
              <w:rPr>
                <w:rFonts w:hint="eastAsia" w:ascii="宋体" w:hAnsi="宋体" w:eastAsia="宋体" w:cs="宋体"/>
                <w:sz w:val="21"/>
                <w:szCs w:val="21"/>
              </w:rPr>
            </w:pPr>
            <w:r>
              <w:rPr>
                <w:rFonts w:hint="eastAsia" w:ascii="宋体" w:hAnsi="宋体" w:eastAsia="宋体" w:cs="宋体"/>
                <w:sz w:val="21"/>
                <w:szCs w:val="21"/>
              </w:rPr>
              <w:t>·质量、环境和职业健康安全管理体系运行模式及重要术语的理解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培训教师：咨询师 </w:t>
            </w:r>
          </w:p>
          <w:p>
            <w:pPr>
              <w:spacing w:line="360" w:lineRule="auto"/>
              <w:rPr>
                <w:rFonts w:hint="eastAsia" w:ascii="宋体" w:hAnsi="宋体" w:eastAsia="宋体" w:cs="宋体"/>
                <w:sz w:val="21"/>
                <w:szCs w:val="21"/>
              </w:rPr>
            </w:pPr>
            <w:r>
              <w:rPr>
                <w:rFonts w:hint="eastAsia" w:ascii="宋体" w:hAnsi="宋体" w:eastAsia="宋体" w:cs="宋体"/>
                <w:sz w:val="21"/>
                <w:szCs w:val="21"/>
              </w:rPr>
              <w:t>地点：会议室</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培训方式：面授</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参加培训人员：</w:t>
            </w:r>
            <w:r>
              <w:rPr>
                <w:rFonts w:hint="eastAsia" w:ascii="宋体" w:hAnsi="宋体" w:eastAsia="宋体" w:cs="宋体"/>
                <w:sz w:val="21"/>
                <w:szCs w:val="21"/>
                <w:lang w:val="en-US" w:eastAsia="zh-CN"/>
              </w:rPr>
              <w:t>李昌阳 张丽亚 谭康 官敏 向锋 王昌华 刘刚 何德迁</w:t>
            </w:r>
          </w:p>
          <w:p>
            <w:pPr>
              <w:spacing w:line="360" w:lineRule="auto"/>
              <w:rPr>
                <w:rFonts w:hint="eastAsia" w:ascii="宋体" w:hAnsi="宋体" w:eastAsia="宋体" w:cs="宋体"/>
                <w:sz w:val="21"/>
                <w:szCs w:val="21"/>
              </w:rPr>
            </w:pPr>
            <w:r>
              <w:rPr>
                <w:rFonts w:hint="eastAsia" w:ascii="宋体" w:hAnsi="宋体" w:eastAsia="宋体" w:cs="宋体"/>
                <w:sz w:val="21"/>
                <w:szCs w:val="21"/>
              </w:rPr>
              <w:t>考核方式及成绩：</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回答提问，能够流利正确回答。</w:t>
            </w:r>
          </w:p>
          <w:p>
            <w:pPr>
              <w:spacing w:line="360" w:lineRule="auto"/>
              <w:rPr>
                <w:rFonts w:hint="eastAsia" w:ascii="宋体" w:hAnsi="宋体" w:eastAsia="宋体" w:cs="宋体"/>
                <w:sz w:val="21"/>
                <w:szCs w:val="21"/>
              </w:rPr>
            </w:pPr>
            <w:r>
              <w:rPr>
                <w:rFonts w:hint="eastAsia" w:ascii="宋体" w:hAnsi="宋体" w:eastAsia="宋体" w:cs="宋体"/>
                <w:sz w:val="21"/>
                <w:szCs w:val="21"/>
              </w:rPr>
              <w:t>培训效果评价：</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公司全体人员在依据质量、环境、职业健康安全标准下建立的管理体系有了全面的认识，更深层次结合本公司的实际情况，对QES管理体系的运行打下了良好的基础，对日后的管理提供了保障。</w:t>
            </w:r>
          </w:p>
          <w:p>
            <w:pPr>
              <w:spacing w:line="36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查提供《三级安全教育资料及记录》，培训资料及记录均符合要求。</w:t>
            </w:r>
            <w:r>
              <w:rPr>
                <w:rFonts w:hint="eastAsia" w:ascii="宋体" w:hAnsi="宋体" w:eastAsia="宋体" w:cs="宋体"/>
                <w:sz w:val="21"/>
                <w:szCs w:val="21"/>
              </w:rPr>
              <w:t xml:space="preserve">                                                               </w:t>
            </w:r>
          </w:p>
          <w:p>
            <w:pPr>
              <w:pStyle w:val="18"/>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抽查人员资质</w:t>
            </w:r>
            <w:r>
              <w:rPr>
                <w:rFonts w:hint="eastAsia" w:ascii="宋体" w:hAnsi="宋体" w:eastAsia="宋体" w:cs="宋体"/>
                <w:sz w:val="21"/>
                <w:szCs w:val="21"/>
                <w:highlight w:val="none"/>
                <w:lang w:val="en-US" w:eastAsia="zh-CN"/>
              </w:rPr>
              <w:t>证书</w:t>
            </w:r>
            <w:r>
              <w:rPr>
                <w:rFonts w:hint="eastAsia" w:ascii="宋体" w:hAnsi="宋体" w:eastAsia="宋体" w:cs="宋体"/>
                <w:sz w:val="21"/>
                <w:szCs w:val="21"/>
                <w:highlight w:val="none"/>
              </w:rPr>
              <w:t>：</w:t>
            </w:r>
          </w:p>
          <w:p>
            <w:pPr>
              <w:pStyle w:val="18"/>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罗金伟，证书编号：T420583199109111036，有效期：2027年7月18日，从业类型：低压电工</w:t>
            </w:r>
          </w:p>
          <w:p>
            <w:pPr>
              <w:pStyle w:val="18"/>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昊大，证书编号：T43235197801190594，有效期：2027年9月20日，从业类型：焊接与热切割作业</w:t>
            </w:r>
          </w:p>
          <w:p>
            <w:pPr>
              <w:pStyle w:val="18"/>
              <w:spacing w:line="360" w:lineRule="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李肖耀，证书编号：鄂建安C1（2021）0001570，有效期：202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月2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日，</w:t>
            </w:r>
            <w:r>
              <w:rPr>
                <w:rFonts w:hint="eastAsia" w:ascii="宋体" w:hAnsi="宋体" w:cs="宋体"/>
                <w:color w:val="auto"/>
                <w:sz w:val="21"/>
                <w:szCs w:val="21"/>
                <w:highlight w:val="none"/>
                <w:lang w:val="en-US" w:eastAsia="zh-CN"/>
              </w:rPr>
              <w:t>职务</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安全员</w:t>
            </w:r>
          </w:p>
          <w:p>
            <w:pPr>
              <w:pStyle w:val="18"/>
              <w:spacing w:line="360" w:lineRule="auto"/>
              <w:rPr>
                <w:rFonts w:hint="eastAsia"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望啸</w:t>
            </w:r>
            <w:r>
              <w:rPr>
                <w:rFonts w:hint="eastAsia" w:ascii="宋体" w:hAnsi="宋体" w:cs="宋体"/>
                <w:color w:val="auto"/>
                <w:sz w:val="21"/>
                <w:szCs w:val="21"/>
                <w:highlight w:val="none"/>
                <w:lang w:val="en-US" w:eastAsia="zh-CN"/>
              </w:rPr>
              <w:t>，证书编号：420521199102271214，证书有效期：2024-06，证书类型：场(厂)内专用机动车辆作业，持证项目：</w:t>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N1叉车司机</w:t>
            </w:r>
          </w:p>
          <w:p>
            <w:pPr>
              <w:pStyle w:val="18"/>
              <w:spacing w:line="360" w:lineRule="auto"/>
              <w:rPr>
                <w:rFonts w:hint="eastAsia"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drawing>
                <wp:anchor distT="0" distB="0" distL="114300" distR="114300" simplePos="0" relativeHeight="251661312" behindDoc="0" locked="0" layoutInCell="1" allowOverlap="1">
                  <wp:simplePos x="0" y="0"/>
                  <wp:positionH relativeFrom="column">
                    <wp:posOffset>3206750</wp:posOffset>
                  </wp:positionH>
                  <wp:positionV relativeFrom="paragraph">
                    <wp:posOffset>296545</wp:posOffset>
                  </wp:positionV>
                  <wp:extent cx="1328420" cy="1236980"/>
                  <wp:effectExtent l="0" t="0" r="5080" b="7620"/>
                  <wp:wrapNone/>
                  <wp:docPr id="3" name="图片 3" descr="166045203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60452031190"/>
                          <pic:cNvPicPr>
                            <a:picLocks noChangeAspect="1"/>
                          </pic:cNvPicPr>
                        </pic:nvPicPr>
                        <pic:blipFill>
                          <a:blip r:embed="rId6"/>
                          <a:stretch>
                            <a:fillRect/>
                          </a:stretch>
                        </pic:blipFill>
                        <pic:spPr>
                          <a:xfrm>
                            <a:off x="0" y="0"/>
                            <a:ext cx="1328420" cy="1236980"/>
                          </a:xfrm>
                          <a:prstGeom prst="rect">
                            <a:avLst/>
                          </a:prstGeom>
                        </pic:spPr>
                      </pic:pic>
                    </a:graphicData>
                  </a:graphic>
                </wp:anchor>
              </w:drawing>
            </w:r>
            <w:r>
              <w:rPr>
                <w:rFonts w:hint="eastAsia" w:ascii="宋体" w:hAnsi="宋体" w:cs="宋体"/>
                <w:color w:val="auto"/>
                <w:sz w:val="21"/>
                <w:szCs w:val="21"/>
                <w:highlight w:val="none"/>
                <w:lang w:val="en-US" w:eastAsia="zh-CN"/>
              </w:rPr>
              <w:drawing>
                <wp:anchor distT="0" distB="0" distL="114300" distR="114300" simplePos="0" relativeHeight="251662336" behindDoc="0" locked="0" layoutInCell="1" allowOverlap="1">
                  <wp:simplePos x="0" y="0"/>
                  <wp:positionH relativeFrom="column">
                    <wp:posOffset>5213350</wp:posOffset>
                  </wp:positionH>
                  <wp:positionV relativeFrom="paragraph">
                    <wp:posOffset>277495</wp:posOffset>
                  </wp:positionV>
                  <wp:extent cx="1296035" cy="1215390"/>
                  <wp:effectExtent l="0" t="0" r="12065" b="3810"/>
                  <wp:wrapNone/>
                  <wp:docPr id="4" name="图片 4" descr="1660453159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60453159370"/>
                          <pic:cNvPicPr>
                            <a:picLocks noChangeAspect="1"/>
                          </pic:cNvPicPr>
                        </pic:nvPicPr>
                        <pic:blipFill>
                          <a:blip r:embed="rId7"/>
                          <a:stretch>
                            <a:fillRect/>
                          </a:stretch>
                        </pic:blipFill>
                        <pic:spPr>
                          <a:xfrm>
                            <a:off x="0" y="0"/>
                            <a:ext cx="1296035" cy="1215390"/>
                          </a:xfrm>
                          <a:prstGeom prst="rect">
                            <a:avLst/>
                          </a:prstGeom>
                        </pic:spPr>
                      </pic:pic>
                    </a:graphicData>
                  </a:graphic>
                </wp:anchor>
              </w:drawing>
            </w:r>
            <w:r>
              <w:rPr>
                <w:rFonts w:hint="default" w:ascii="宋体" w:hAnsi="宋体" w:cs="宋体"/>
                <w:color w:val="auto"/>
                <w:sz w:val="21"/>
                <w:szCs w:val="21"/>
                <w:highlight w:val="none"/>
                <w:lang w:val="en-US" w:eastAsia="zh-CN"/>
              </w:rPr>
              <w:t>邹未龙</w:t>
            </w:r>
            <w:r>
              <w:rPr>
                <w:rFonts w:hint="eastAsia" w:ascii="宋体" w:hAnsi="宋体" w:cs="宋体"/>
                <w:color w:val="auto"/>
                <w:sz w:val="21"/>
                <w:szCs w:val="21"/>
                <w:highlight w:val="none"/>
                <w:lang w:val="en-US" w:eastAsia="zh-CN"/>
              </w:rPr>
              <w:t>，证书编号：420581198910122235，证书有效期：2025-12，证书类型：</w:t>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起重机作业</w:t>
            </w:r>
            <w:r>
              <w:rPr>
                <w:rFonts w:hint="eastAsia" w:ascii="宋体" w:hAnsi="宋体" w:cs="宋体"/>
                <w:color w:val="auto"/>
                <w:sz w:val="21"/>
                <w:szCs w:val="21"/>
                <w:highlight w:val="none"/>
                <w:lang w:val="en-US" w:eastAsia="zh-CN"/>
              </w:rPr>
              <w:tab/>
            </w:r>
            <w:r>
              <w:rPr>
                <w:rFonts w:hint="eastAsia" w:ascii="宋体" w:hAnsi="宋体" w:cs="宋体"/>
                <w:color w:val="auto"/>
                <w:sz w:val="21"/>
                <w:szCs w:val="21"/>
                <w:highlight w:val="none"/>
                <w:lang w:val="en-US" w:eastAsia="zh-CN"/>
              </w:rPr>
              <w:t>持证项目：Q2起重机司机(限桥式起重机)</w:t>
            </w:r>
          </w:p>
          <w:p>
            <w:pPr>
              <w:pStyle w:val="18"/>
              <w:spacing w:line="360" w:lineRule="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抽查食堂人员健康证，均在有效期内。</w:t>
            </w:r>
          </w:p>
          <w:p>
            <w:pPr>
              <w:pStyle w:val="18"/>
              <w:spacing w:line="360" w:lineRule="auto"/>
              <w:rPr>
                <w:rFonts w:hint="eastAsia" w:ascii="宋体" w:hAnsi="宋体" w:cs="宋体"/>
                <w:color w:val="auto"/>
                <w:sz w:val="21"/>
                <w:szCs w:val="21"/>
                <w:highlight w:val="none"/>
                <w:lang w:val="en-US" w:eastAsia="zh-CN"/>
              </w:rPr>
            </w:pPr>
          </w:p>
          <w:p>
            <w:pPr>
              <w:pStyle w:val="18"/>
              <w:spacing w:line="360" w:lineRule="auto"/>
              <w:rPr>
                <w:rFonts w:hint="eastAsia" w:ascii="宋体" w:hAnsi="宋体" w:cs="宋体"/>
                <w:color w:val="auto"/>
                <w:sz w:val="21"/>
                <w:szCs w:val="21"/>
                <w:highlight w:val="none"/>
                <w:lang w:val="en-US" w:eastAsia="zh-CN"/>
              </w:rPr>
            </w:pPr>
          </w:p>
          <w:p>
            <w:pPr>
              <w:pStyle w:val="18"/>
              <w:spacing w:line="360" w:lineRule="auto"/>
              <w:rPr>
                <w:rFonts w:hint="eastAsia" w:ascii="宋体" w:hAnsi="宋体" w:eastAsia="宋体" w:cs="宋体"/>
                <w:sz w:val="21"/>
                <w:szCs w:val="21"/>
              </w:rPr>
            </w:pPr>
            <w:r>
              <w:rPr>
                <w:rFonts w:hint="eastAsia" w:ascii="宋体" w:hAnsi="宋体" w:eastAsia="宋体" w:cs="宋体"/>
                <w:sz w:val="21"/>
                <w:szCs w:val="21"/>
              </w:rPr>
              <w:t>询问</w:t>
            </w:r>
            <w:r>
              <w:rPr>
                <w:rFonts w:hint="eastAsia" w:ascii="宋体" w:hAnsi="宋体" w:eastAsia="宋体" w:cs="宋体"/>
                <w:sz w:val="21"/>
                <w:szCs w:val="21"/>
                <w:lang w:eastAsia="zh-CN"/>
              </w:rPr>
              <w:t>综合办</w:t>
            </w:r>
            <w:r>
              <w:rPr>
                <w:rFonts w:hint="eastAsia" w:ascii="宋体" w:hAnsi="宋体" w:eastAsia="宋体" w:cs="宋体"/>
                <w:sz w:val="21"/>
                <w:szCs w:val="21"/>
              </w:rPr>
              <w:t>人员，清楚与其相关的质量、重要环境因素与职业健康安全风险。</w:t>
            </w:r>
          </w:p>
          <w:p>
            <w:pPr>
              <w:pStyle w:val="18"/>
              <w:spacing w:line="360" w:lineRule="auto"/>
              <w:rPr>
                <w:rFonts w:hint="eastAsia" w:ascii="宋体" w:hAnsi="宋体" w:eastAsia="宋体" w:cs="宋体"/>
                <w:bCs w:val="0"/>
                <w:color w:val="333333"/>
                <w:spacing w:val="0"/>
                <w:sz w:val="21"/>
                <w:szCs w:val="21"/>
                <w:shd w:val="clear" w:color="auto" w:fill="FFFFFF"/>
              </w:rPr>
            </w:pPr>
            <w:r>
              <w:rPr>
                <w:rFonts w:hint="eastAsia" w:ascii="宋体" w:hAnsi="宋体" w:eastAsia="宋体" w:cs="宋体"/>
                <w:sz w:val="21"/>
                <w:szCs w:val="21"/>
              </w:rPr>
              <w:t>人力资源控制基本满足要求。</w:t>
            </w:r>
          </w:p>
        </w:tc>
        <w:tc>
          <w:tcPr>
            <w:tcW w:w="895"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0"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运行</w:t>
            </w:r>
            <w:r>
              <w:rPr>
                <w:rFonts w:hint="eastAsia" w:ascii="宋体" w:hAnsi="宋体" w:eastAsia="宋体" w:cs="宋体"/>
                <w:sz w:val="21"/>
                <w:szCs w:val="21"/>
                <w:lang w:val="en-US" w:eastAsia="zh-CN"/>
              </w:rPr>
              <w:t>策划和</w:t>
            </w:r>
            <w:r>
              <w:rPr>
                <w:rFonts w:hint="eastAsia" w:ascii="宋体" w:hAnsi="宋体" w:eastAsia="宋体" w:cs="宋体"/>
                <w:sz w:val="21"/>
                <w:szCs w:val="21"/>
              </w:rPr>
              <w:t>控制</w:t>
            </w:r>
          </w:p>
        </w:tc>
        <w:tc>
          <w:tcPr>
            <w:tcW w:w="1058"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E</w:t>
            </w:r>
            <w:r>
              <w:rPr>
                <w:rFonts w:hint="eastAsia" w:ascii="宋体" w:hAnsi="宋体" w:eastAsia="宋体" w:cs="宋体"/>
                <w:sz w:val="21"/>
                <w:szCs w:val="21"/>
                <w:lang w:val="en-US" w:eastAsia="zh-CN"/>
              </w:rPr>
              <w:t>O</w:t>
            </w:r>
            <w:r>
              <w:rPr>
                <w:rFonts w:hint="eastAsia" w:ascii="宋体" w:hAnsi="宋体" w:eastAsia="宋体" w:cs="宋体"/>
                <w:sz w:val="21"/>
                <w:szCs w:val="21"/>
              </w:rPr>
              <w:t>8.1</w:t>
            </w:r>
          </w:p>
        </w:tc>
        <w:tc>
          <w:tcPr>
            <w:tcW w:w="10596"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部门执行的运行控制文件包括：废弃物处理管理制度，消防管理制度、</w:t>
            </w:r>
            <w:r>
              <w:rPr>
                <w:rFonts w:hint="eastAsia" w:ascii="宋体" w:hAnsi="宋体" w:eastAsia="宋体" w:cs="宋体"/>
                <w:sz w:val="21"/>
                <w:szCs w:val="21"/>
                <w:lang w:val="zh-CN"/>
              </w:rPr>
              <w:t>生产和服务控制程序</w:t>
            </w:r>
            <w:r>
              <w:rPr>
                <w:rFonts w:hint="eastAsia" w:ascii="宋体" w:hAnsi="宋体" w:eastAsia="宋体" w:cs="宋体"/>
                <w:sz w:val="21"/>
                <w:szCs w:val="21"/>
              </w:rPr>
              <w:t>、</w:t>
            </w:r>
            <w:r>
              <w:rPr>
                <w:rFonts w:hint="eastAsia" w:ascii="宋体" w:hAnsi="宋体" w:eastAsia="宋体" w:cs="宋体"/>
                <w:sz w:val="21"/>
                <w:szCs w:val="21"/>
                <w:lang w:val="zh-CN"/>
              </w:rPr>
              <w:t>法律与其它要求控制程序</w:t>
            </w:r>
            <w:r>
              <w:rPr>
                <w:rFonts w:hint="eastAsia" w:ascii="宋体" w:hAnsi="宋体" w:eastAsia="宋体" w:cs="宋体"/>
                <w:sz w:val="21"/>
                <w:szCs w:val="21"/>
              </w:rPr>
              <w:t>、</w:t>
            </w:r>
            <w:r>
              <w:rPr>
                <w:rFonts w:hint="eastAsia" w:ascii="宋体" w:hAnsi="宋体" w:eastAsia="宋体" w:cs="宋体"/>
                <w:sz w:val="21"/>
                <w:szCs w:val="21"/>
                <w:lang w:val="en-GB"/>
              </w:rPr>
              <w:t>车辆管理规定</w:t>
            </w:r>
            <w:r>
              <w:rPr>
                <w:rFonts w:hint="eastAsia" w:ascii="宋体" w:hAnsi="宋体" w:eastAsia="宋体" w:cs="宋体"/>
                <w:sz w:val="21"/>
                <w:szCs w:val="21"/>
              </w:rPr>
              <w:t>等。</w:t>
            </w:r>
          </w:p>
          <w:p>
            <w:pPr>
              <w:pStyle w:val="18"/>
              <w:spacing w:line="360" w:lineRule="auto"/>
              <w:jc w:val="left"/>
              <w:rPr>
                <w:rFonts w:hint="eastAsia" w:ascii="宋体" w:hAnsi="宋体" w:eastAsia="宋体" w:cs="宋体"/>
                <w:sz w:val="21"/>
                <w:szCs w:val="21"/>
              </w:rPr>
            </w:pPr>
            <w:r>
              <w:rPr>
                <w:rFonts w:hint="eastAsia" w:ascii="宋体" w:hAnsi="宋体" w:eastAsia="宋体" w:cs="宋体"/>
                <w:sz w:val="21"/>
                <w:szCs w:val="21"/>
                <w:lang w:eastAsia="zh-CN"/>
              </w:rPr>
              <w:t>综合办</w:t>
            </w:r>
            <w:r>
              <w:rPr>
                <w:rFonts w:hint="eastAsia" w:ascii="宋体" w:hAnsi="宋体" w:eastAsia="宋体" w:cs="宋体"/>
                <w:sz w:val="21"/>
                <w:szCs w:val="21"/>
              </w:rPr>
              <w:t>定期组织环保和安全知识培训，员工具备了基本的环保和职业健康安全防护意识。</w:t>
            </w:r>
          </w:p>
          <w:p>
            <w:pPr>
              <w:pStyle w:val="18"/>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综合办</w:t>
            </w:r>
            <w:r>
              <w:rPr>
                <w:rFonts w:hint="eastAsia" w:ascii="宋体" w:hAnsi="宋体" w:eastAsia="宋体" w:cs="宋体"/>
                <w:sz w:val="21"/>
                <w:szCs w:val="21"/>
              </w:rPr>
              <w:t>定期发放劳保用品给相关人员，提供了</w:t>
            </w:r>
            <w:r>
              <w:rPr>
                <w:rFonts w:hint="eastAsia" w:ascii="宋体" w:hAnsi="宋体" w:eastAsia="宋体" w:cs="宋体"/>
                <w:sz w:val="21"/>
                <w:szCs w:val="21"/>
                <w:lang w:eastAsia="zh-CN"/>
              </w:rPr>
              <w:t>《</w:t>
            </w:r>
            <w:r>
              <w:rPr>
                <w:rFonts w:hint="eastAsia" w:ascii="宋体" w:hAnsi="宋体" w:eastAsia="宋体" w:cs="宋体"/>
                <w:sz w:val="21"/>
                <w:szCs w:val="21"/>
              </w:rPr>
              <w:t>劳保用品发放记录</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val="en-US" w:eastAsia="zh-CN"/>
              </w:rPr>
              <w:t>查看2022.1.8，刘刚领用工作鞋</w:t>
            </w:r>
          </w:p>
          <w:p>
            <w:pPr>
              <w:pStyle w:val="18"/>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120双、工作帽15个、手套15个、口罩25个、眼镜10个等</w:t>
            </w:r>
          </w:p>
          <w:p>
            <w:pPr>
              <w:pStyle w:val="18"/>
              <w:spacing w:line="360" w:lineRule="auto"/>
              <w:jc w:val="left"/>
              <w:rPr>
                <w:rFonts w:hint="eastAsia" w:ascii="宋体" w:hAnsi="宋体" w:eastAsia="宋体" w:cs="宋体"/>
                <w:sz w:val="21"/>
                <w:szCs w:val="21"/>
              </w:rPr>
            </w:pPr>
            <w:r>
              <w:rPr>
                <w:rFonts w:hint="eastAsia" w:ascii="宋体" w:hAnsi="宋体" w:eastAsia="宋体" w:cs="宋体"/>
                <w:sz w:val="21"/>
                <w:szCs w:val="21"/>
                <w:lang w:eastAsia="zh-CN"/>
              </w:rPr>
              <w:t>综合办</w:t>
            </w:r>
            <w:r>
              <w:rPr>
                <w:rFonts w:hint="eastAsia" w:ascii="宋体" w:hAnsi="宋体" w:eastAsia="宋体" w:cs="宋体"/>
                <w:sz w:val="21"/>
                <w:szCs w:val="21"/>
              </w:rPr>
              <w:t>内主要是电的使用，安装有漏电保护器，现场巡视办公区域电线、电气插座完整，未见隐患。</w:t>
            </w:r>
          </w:p>
          <w:p>
            <w:pPr>
              <w:pStyle w:val="18"/>
              <w:spacing w:line="360" w:lineRule="auto"/>
              <w:jc w:val="left"/>
              <w:rPr>
                <w:rFonts w:hint="eastAsia" w:ascii="宋体" w:hAnsi="宋体" w:eastAsia="宋体" w:cs="宋体"/>
                <w:sz w:val="21"/>
                <w:szCs w:val="21"/>
              </w:rPr>
            </w:pPr>
            <w:r>
              <w:rPr>
                <w:rFonts w:hint="eastAsia" w:ascii="宋体" w:hAnsi="宋体" w:eastAsia="宋体" w:cs="宋体"/>
                <w:sz w:val="21"/>
                <w:szCs w:val="21"/>
              </w:rPr>
              <w:t>办公纸张尽量采取双面打印，人走灯灭，定期检查水管跑冒滴漏。</w:t>
            </w:r>
          </w:p>
          <w:p>
            <w:pPr>
              <w:pStyle w:val="18"/>
              <w:spacing w:line="360" w:lineRule="auto"/>
              <w:jc w:val="left"/>
              <w:rPr>
                <w:rFonts w:hint="eastAsia" w:ascii="宋体" w:hAnsi="宋体" w:eastAsia="宋体" w:cs="宋体"/>
                <w:sz w:val="21"/>
                <w:szCs w:val="21"/>
              </w:rPr>
            </w:pPr>
            <w:r>
              <w:rPr>
                <w:rFonts w:hint="eastAsia" w:ascii="宋体" w:hAnsi="宋体" w:eastAsia="宋体" w:cs="宋体"/>
                <w:sz w:val="21"/>
                <w:szCs w:val="21"/>
                <w:lang w:eastAsia="zh-CN"/>
              </w:rPr>
              <w:t>综合办</w:t>
            </w:r>
            <w:r>
              <w:rPr>
                <w:rFonts w:hint="eastAsia" w:ascii="宋体" w:hAnsi="宋体" w:eastAsia="宋体" w:cs="宋体"/>
                <w:sz w:val="21"/>
                <w:szCs w:val="21"/>
              </w:rPr>
              <w:t>垃圾主要包含生活垃圾、硒鼓、废纸。配置了垃圾</w:t>
            </w:r>
            <w:r>
              <w:rPr>
                <w:rFonts w:hint="eastAsia" w:ascii="宋体" w:hAnsi="宋体" w:eastAsia="宋体" w:cs="宋体"/>
                <w:sz w:val="21"/>
                <w:szCs w:val="21"/>
                <w:lang w:val="en-US" w:eastAsia="zh-CN"/>
              </w:rPr>
              <w:t>桶</w:t>
            </w:r>
            <w:r>
              <w:rPr>
                <w:rFonts w:hint="eastAsia" w:ascii="宋体" w:hAnsi="宋体" w:eastAsia="宋体" w:cs="宋体"/>
                <w:sz w:val="21"/>
                <w:szCs w:val="21"/>
              </w:rPr>
              <w:t>，</w:t>
            </w:r>
            <w:r>
              <w:rPr>
                <w:rFonts w:hint="eastAsia" w:ascii="宋体" w:hAnsi="宋体" w:eastAsia="宋体" w:cs="宋体"/>
                <w:sz w:val="21"/>
                <w:szCs w:val="21"/>
                <w:lang w:eastAsia="zh-CN"/>
              </w:rPr>
              <w:t>综合办</w:t>
            </w:r>
            <w:r>
              <w:rPr>
                <w:rFonts w:hint="eastAsia" w:ascii="宋体" w:hAnsi="宋体" w:eastAsia="宋体" w:cs="宋体"/>
                <w:sz w:val="21"/>
                <w:szCs w:val="21"/>
              </w:rPr>
              <w:t>统一处理。硒鼓、墨盒等危废交供货商回收处理，生活垃圾和废纸等集中倒入垃圾桶，由当地环卫部门统一清运。</w:t>
            </w:r>
          </w:p>
          <w:p>
            <w:pPr>
              <w:spacing w:line="360" w:lineRule="auto"/>
              <w:jc w:val="left"/>
              <w:rPr>
                <w:rFonts w:hint="default" w:ascii="宋体" w:hAnsi="宋体" w:eastAsia="宋体" w:cs="宋体"/>
                <w:sz w:val="21"/>
                <w:szCs w:val="21"/>
                <w:lang w:val="en-US" w:eastAsia="zh-CN"/>
              </w:rPr>
            </w:pPr>
            <w:r>
              <w:rPr>
                <w:rFonts w:hint="eastAsia" w:ascii="宋体" w:hAnsi="宋体" w:eastAsia="宋体" w:cs="宋体"/>
                <w:sz w:val="21"/>
                <w:szCs w:val="21"/>
              </w:rPr>
              <w:t>火灾：现场配备了消防栓、灭火器，经查均在有效压力范围内。每月对消防器材进行一次全面检查--提供消防器材检查记录</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提供</w:t>
            </w:r>
          </w:p>
          <w:p>
            <w:pPr>
              <w:spacing w:line="360" w:lineRule="auto"/>
              <w:rPr>
                <w:rFonts w:hint="eastAsia" w:ascii="宋体" w:hAnsi="宋体" w:eastAsia="宋体" w:cs="宋体"/>
                <w:sz w:val="21"/>
                <w:szCs w:val="21"/>
              </w:rPr>
            </w:pPr>
            <w:r>
              <w:rPr>
                <w:rFonts w:hint="eastAsia" w:ascii="宋体" w:hAnsi="宋体" w:eastAsia="宋体" w:cs="宋体"/>
                <w:sz w:val="21"/>
                <w:szCs w:val="21"/>
              </w:rPr>
              <w:t>触电：办公区均使用安全电器，灯具离地距离符合要求，每季度一次检查线路、灯具、电器等的安全性能，经常</w:t>
            </w:r>
          </w:p>
          <w:p>
            <w:pPr>
              <w:spacing w:line="360" w:lineRule="auto"/>
              <w:rPr>
                <w:rFonts w:hint="eastAsia" w:ascii="宋体" w:hAnsi="宋体" w:eastAsia="宋体" w:cs="宋体"/>
                <w:sz w:val="21"/>
                <w:szCs w:val="21"/>
              </w:rPr>
            </w:pPr>
            <w:r>
              <w:rPr>
                <w:rFonts w:hint="eastAsia" w:ascii="宋体" w:hAnsi="宋体" w:eastAsia="宋体" w:cs="宋体"/>
                <w:sz w:val="21"/>
                <w:szCs w:val="21"/>
              </w:rPr>
              <w:t>办公过程注意节约用电，做到人走灯灭，电脑长时间不用时关机，下班前要关闭电源；</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drawing>
                <wp:anchor distT="0" distB="0" distL="114300" distR="114300" simplePos="0" relativeHeight="251663360" behindDoc="0" locked="0" layoutInCell="1" allowOverlap="1">
                  <wp:simplePos x="0" y="0"/>
                  <wp:positionH relativeFrom="column">
                    <wp:posOffset>3086100</wp:posOffset>
                  </wp:positionH>
                  <wp:positionV relativeFrom="paragraph">
                    <wp:posOffset>212725</wp:posOffset>
                  </wp:positionV>
                  <wp:extent cx="968375" cy="1133475"/>
                  <wp:effectExtent l="0" t="0" r="9525" b="9525"/>
                  <wp:wrapNone/>
                  <wp:docPr id="5" name="图片 5" descr="1660454021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60454021275"/>
                          <pic:cNvPicPr>
                            <a:picLocks noChangeAspect="1"/>
                          </pic:cNvPicPr>
                        </pic:nvPicPr>
                        <pic:blipFill>
                          <a:blip r:embed="rId8"/>
                          <a:stretch>
                            <a:fillRect/>
                          </a:stretch>
                        </pic:blipFill>
                        <pic:spPr>
                          <a:xfrm>
                            <a:off x="0" y="0"/>
                            <a:ext cx="968375" cy="1133475"/>
                          </a:xfrm>
                          <a:prstGeom prst="rect">
                            <a:avLst/>
                          </a:prstGeom>
                        </pic:spPr>
                      </pic:pic>
                    </a:graphicData>
                  </a:graphic>
                </wp:anchor>
              </w:drawing>
            </w:r>
            <w:r>
              <w:rPr>
                <w:rFonts w:hint="eastAsia" w:ascii="宋体" w:hAnsi="宋体" w:eastAsia="宋体" w:cs="宋体"/>
                <w:sz w:val="21"/>
                <w:szCs w:val="21"/>
              </w:rPr>
              <w:t>办公过程产生的固废按</w:t>
            </w:r>
            <w:r>
              <w:rPr>
                <w:rFonts w:hint="eastAsia" w:ascii="宋体" w:hAnsi="宋体" w:eastAsia="宋体" w:cs="宋体"/>
                <w:sz w:val="21"/>
                <w:szCs w:val="21"/>
                <w:lang w:eastAsia="zh-CN"/>
              </w:rPr>
              <w:t>综合办</w:t>
            </w:r>
            <w:r>
              <w:rPr>
                <w:rFonts w:hint="eastAsia" w:ascii="宋体" w:hAnsi="宋体" w:eastAsia="宋体" w:cs="宋体"/>
                <w:sz w:val="21"/>
                <w:szCs w:val="21"/>
              </w:rPr>
              <w:t>要求放到指定地点，现场无混放现象；办公用品按要求由</w:t>
            </w:r>
            <w:r>
              <w:rPr>
                <w:rFonts w:hint="eastAsia" w:ascii="宋体" w:hAnsi="宋体" w:eastAsia="宋体" w:cs="宋体"/>
                <w:sz w:val="21"/>
                <w:szCs w:val="21"/>
                <w:lang w:eastAsia="zh-CN"/>
              </w:rPr>
              <w:t>综合办</w:t>
            </w:r>
            <w:r>
              <w:rPr>
                <w:rFonts w:hint="eastAsia" w:ascii="宋体" w:hAnsi="宋体" w:eastAsia="宋体" w:cs="宋体"/>
                <w:sz w:val="21"/>
                <w:szCs w:val="21"/>
              </w:rPr>
              <w:t xml:space="preserve">负责发放，作好记录； </w:t>
            </w:r>
          </w:p>
          <w:p>
            <w:pPr>
              <w:spacing w:line="360" w:lineRule="auto"/>
              <w:rPr>
                <w:rFonts w:hint="eastAsia" w:ascii="宋体" w:hAnsi="宋体" w:eastAsia="宋体" w:cs="宋体"/>
                <w:sz w:val="21"/>
                <w:szCs w:val="21"/>
              </w:rPr>
            </w:pPr>
            <w:r>
              <w:rPr>
                <w:rFonts w:hint="eastAsia" w:ascii="宋体" w:hAnsi="宋体" w:eastAsia="宋体" w:cs="宋体"/>
                <w:sz w:val="21"/>
                <w:szCs w:val="21"/>
              </w:rPr>
              <w:t>生活污水</w:t>
            </w:r>
            <w:r>
              <w:rPr>
                <w:rFonts w:hint="eastAsia" w:ascii="宋体" w:hAnsi="宋体" w:eastAsia="宋体" w:cs="宋体"/>
                <w:sz w:val="21"/>
                <w:szCs w:val="21"/>
                <w:lang w:val="en-US" w:eastAsia="zh-CN"/>
              </w:rPr>
              <w:t>排入污水管道</w:t>
            </w:r>
            <w:r>
              <w:rPr>
                <w:rFonts w:hint="eastAsia" w:ascii="宋体" w:hAnsi="宋体" w:eastAsia="宋体" w:cs="宋体"/>
                <w:sz w:val="21"/>
                <w:szCs w:val="21"/>
              </w:rPr>
              <w:t>、洒水降尘；</w:t>
            </w:r>
          </w:p>
          <w:p>
            <w:pPr>
              <w:pStyle w:val="13"/>
              <w:spacing w:line="360" w:lineRule="auto"/>
              <w:ind w:left="0" w:leftChars="0" w:firstLine="0" w:firstLineChars="0"/>
              <w:rPr>
                <w:rFonts w:hint="eastAsia" w:ascii="宋体" w:hAnsi="宋体" w:eastAsia="宋体" w:cs="宋体"/>
                <w:color w:val="FF0000"/>
                <w:sz w:val="21"/>
                <w:szCs w:val="21"/>
                <w:lang w:val="en-US" w:eastAsia="zh-CN"/>
              </w:rPr>
            </w:pPr>
            <w:r>
              <w:rPr>
                <w:rFonts w:hint="eastAsia" w:ascii="宋体" w:hAnsi="宋体" w:eastAsia="宋体" w:cs="宋体"/>
                <w:sz w:val="21"/>
                <w:szCs w:val="21"/>
                <w:lang w:val="en-US" w:eastAsia="zh-CN"/>
              </w:rPr>
              <w:t>定期给员工缴纳社保，详见社保完税证明</w:t>
            </w:r>
          </w:p>
        </w:tc>
        <w:tc>
          <w:tcPr>
            <w:tcW w:w="895" w:type="dxa"/>
          </w:tcPr>
          <w:p>
            <w:pPr>
              <w:spacing w:line="360" w:lineRule="auto"/>
              <w:rPr>
                <w:rFonts w:hint="eastAsia" w:ascii="宋体" w:hAnsi="宋体" w:eastAsia="宋体" w:cs="宋体"/>
                <w:color w:val="FF0000"/>
                <w:sz w:val="21"/>
                <w:szCs w:val="21"/>
                <w:lang w:val="en-US" w:eastAsia="zh-CN"/>
              </w:rPr>
            </w:pPr>
            <w:r>
              <w:rPr>
                <w:rFonts w:hint="eastAsia" w:ascii="宋体" w:hAnsi="宋体" w:eastAsia="宋体" w:cs="宋体"/>
                <w:sz w:val="21"/>
                <w:szCs w:val="21"/>
                <w:lang w:val="en-US" w:eastAsia="zh-CN"/>
              </w:rPr>
              <w:t>符合</w:t>
            </w:r>
          </w:p>
          <w:p>
            <w:pPr>
              <w:spacing w:line="360" w:lineRule="auto"/>
              <w:rPr>
                <w:rFonts w:hint="eastAsia" w:ascii="宋体" w:hAnsi="宋体" w:eastAsia="宋体" w:cs="宋体"/>
                <w:color w:val="FF0000"/>
                <w:sz w:val="21"/>
                <w:szCs w:val="21"/>
                <w:lang w:val="en-US" w:eastAsia="zh-CN"/>
              </w:rPr>
            </w:pPr>
          </w:p>
          <w:p>
            <w:pPr>
              <w:spacing w:line="360" w:lineRule="auto"/>
              <w:rPr>
                <w:rFonts w:hint="eastAsia" w:ascii="宋体" w:hAnsi="宋体" w:eastAsia="宋体" w:cs="宋体"/>
                <w:color w:val="FF0000"/>
                <w:sz w:val="21"/>
                <w:szCs w:val="21"/>
                <w:lang w:val="en-US" w:eastAsia="zh-CN"/>
              </w:rPr>
            </w:pPr>
          </w:p>
          <w:p>
            <w:pPr>
              <w:spacing w:line="360" w:lineRule="auto"/>
              <w:rPr>
                <w:rFonts w:hint="eastAsia" w:ascii="宋体" w:hAnsi="宋体" w:eastAsia="宋体" w:cs="宋体"/>
                <w:color w:val="FF0000"/>
                <w:sz w:val="21"/>
                <w:szCs w:val="21"/>
                <w:lang w:val="en-US" w:eastAsia="zh-CN"/>
              </w:rPr>
            </w:pPr>
          </w:p>
          <w:p>
            <w:pPr>
              <w:spacing w:line="360" w:lineRule="auto"/>
              <w:rPr>
                <w:rFonts w:hint="eastAsia" w:ascii="宋体" w:hAnsi="宋体" w:eastAsia="宋体" w:cs="宋体"/>
                <w:color w:val="FF0000"/>
                <w:sz w:val="21"/>
                <w:szCs w:val="21"/>
                <w:lang w:val="en-US" w:eastAsia="zh-CN"/>
              </w:rPr>
            </w:pPr>
          </w:p>
          <w:p>
            <w:pPr>
              <w:spacing w:line="360" w:lineRule="auto"/>
              <w:rPr>
                <w:rFonts w:hint="eastAsia" w:ascii="宋体" w:hAnsi="宋体" w:eastAsia="宋体" w:cs="宋体"/>
                <w:color w:val="FF0000"/>
                <w:sz w:val="21"/>
                <w:szCs w:val="21"/>
                <w:lang w:val="en-US" w:eastAsia="zh-CN"/>
              </w:rPr>
            </w:pPr>
          </w:p>
          <w:p>
            <w:pPr>
              <w:spacing w:line="360" w:lineRule="auto"/>
              <w:rPr>
                <w:rFonts w:hint="eastAsia" w:ascii="宋体" w:hAnsi="宋体" w:eastAsia="宋体" w:cs="宋体"/>
                <w:color w:val="FF0000"/>
                <w:sz w:val="21"/>
                <w:szCs w:val="21"/>
                <w:lang w:val="en-US" w:eastAsia="zh-CN"/>
              </w:rPr>
            </w:pPr>
          </w:p>
          <w:p>
            <w:pPr>
              <w:spacing w:line="360" w:lineRule="auto"/>
              <w:rPr>
                <w:rFonts w:hint="eastAsia" w:ascii="宋体" w:hAnsi="宋体" w:eastAsia="宋体" w:cs="宋体"/>
                <w:color w:val="FF0000"/>
                <w:sz w:val="21"/>
                <w:szCs w:val="21"/>
                <w:lang w:val="en-US" w:eastAsia="zh-CN"/>
              </w:rPr>
            </w:pPr>
          </w:p>
          <w:p>
            <w:pPr>
              <w:spacing w:line="360" w:lineRule="auto"/>
              <w:rPr>
                <w:rFonts w:hint="eastAsia" w:ascii="宋体" w:hAnsi="宋体" w:eastAsia="宋体" w:cs="宋体"/>
                <w:color w:val="FF0000"/>
                <w:sz w:val="21"/>
                <w:szCs w:val="21"/>
                <w:lang w:val="en-US" w:eastAsia="zh-CN"/>
              </w:rPr>
            </w:pPr>
          </w:p>
          <w:p>
            <w:pPr>
              <w:spacing w:line="360" w:lineRule="auto"/>
              <w:rPr>
                <w:rFonts w:hint="eastAsia" w:ascii="宋体" w:hAnsi="宋体" w:eastAsia="宋体" w:cs="宋体"/>
                <w:color w:val="FF0000"/>
                <w:sz w:val="21"/>
                <w:szCs w:val="21"/>
                <w:lang w:val="en-US" w:eastAsia="zh-CN"/>
              </w:rPr>
            </w:pPr>
          </w:p>
          <w:p>
            <w:pPr>
              <w:spacing w:line="360" w:lineRule="auto"/>
              <w:rPr>
                <w:rFonts w:hint="eastAsia" w:ascii="宋体" w:hAnsi="宋体" w:eastAsia="宋体" w:cs="宋体"/>
                <w:color w:val="FF0000"/>
                <w:sz w:val="21"/>
                <w:szCs w:val="21"/>
                <w:lang w:val="en-US" w:eastAsia="zh-CN"/>
              </w:rPr>
            </w:pPr>
          </w:p>
          <w:p>
            <w:pPr>
              <w:spacing w:line="360" w:lineRule="auto"/>
              <w:rPr>
                <w:rFonts w:hint="eastAsia" w:ascii="宋体" w:hAnsi="宋体" w:eastAsia="宋体" w:cs="宋体"/>
                <w:color w:val="FF0000"/>
                <w:sz w:val="21"/>
                <w:szCs w:val="21"/>
                <w:lang w:val="en-US" w:eastAsia="zh-CN"/>
              </w:rPr>
            </w:pPr>
          </w:p>
          <w:p>
            <w:pPr>
              <w:spacing w:line="360" w:lineRule="auto"/>
              <w:rPr>
                <w:rFonts w:hint="eastAsia" w:ascii="宋体" w:hAnsi="宋体" w:eastAsia="宋体" w:cs="宋体"/>
                <w:color w:val="FF0000"/>
                <w:sz w:val="21"/>
                <w:szCs w:val="21"/>
                <w:lang w:val="en-US" w:eastAsia="zh-CN"/>
              </w:rPr>
            </w:pPr>
          </w:p>
          <w:p>
            <w:pPr>
              <w:spacing w:line="360" w:lineRule="auto"/>
              <w:rPr>
                <w:rFonts w:hint="eastAsia" w:ascii="宋体" w:hAnsi="宋体" w:eastAsia="宋体" w:cs="宋体"/>
                <w:color w:val="FF0000"/>
                <w:sz w:val="21"/>
                <w:szCs w:val="21"/>
                <w:lang w:val="en-US" w:eastAsia="zh-CN"/>
              </w:rPr>
            </w:pPr>
          </w:p>
          <w:p>
            <w:pPr>
              <w:spacing w:line="360" w:lineRule="auto"/>
              <w:rPr>
                <w:rFonts w:hint="eastAsia" w:ascii="宋体" w:hAnsi="宋体" w:eastAsia="宋体" w:cs="宋体"/>
                <w:color w:val="FF0000"/>
                <w:sz w:val="21"/>
                <w:szCs w:val="21"/>
                <w:lang w:val="en-US" w:eastAsia="zh-CN"/>
              </w:rPr>
            </w:pPr>
          </w:p>
          <w:p>
            <w:pPr>
              <w:spacing w:line="360" w:lineRule="auto"/>
              <w:rPr>
                <w:rFonts w:hint="eastAsia" w:ascii="宋体" w:hAnsi="宋体" w:eastAsia="宋体" w:cs="宋体"/>
                <w:color w:val="FF0000"/>
                <w:sz w:val="21"/>
                <w:szCs w:val="21"/>
                <w:lang w:val="en-US" w:eastAsia="zh-CN"/>
              </w:rPr>
            </w:pPr>
          </w:p>
          <w:p>
            <w:pPr>
              <w:spacing w:line="360" w:lineRule="auto"/>
              <w:rPr>
                <w:rFonts w:hint="eastAsia" w:ascii="宋体" w:hAnsi="宋体" w:eastAsia="宋体" w:cs="宋体"/>
                <w:color w:val="FF0000"/>
                <w:sz w:val="21"/>
                <w:szCs w:val="21"/>
                <w:lang w:val="en-US" w:eastAsia="zh-CN"/>
              </w:rPr>
            </w:pPr>
          </w:p>
          <w:p>
            <w:pPr>
              <w:spacing w:line="360" w:lineRule="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应急准备和响应</w:t>
            </w:r>
          </w:p>
        </w:tc>
        <w:tc>
          <w:tcPr>
            <w:tcW w:w="1058"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EO8.2</w:t>
            </w:r>
          </w:p>
          <w:p>
            <w:pPr>
              <w:spacing w:line="360" w:lineRule="auto"/>
              <w:rPr>
                <w:rFonts w:hint="eastAsia" w:ascii="宋体" w:hAnsi="宋体" w:eastAsia="宋体" w:cs="宋体"/>
                <w:sz w:val="21"/>
                <w:szCs w:val="21"/>
              </w:rPr>
            </w:pPr>
          </w:p>
        </w:tc>
        <w:tc>
          <w:tcPr>
            <w:tcW w:w="10596" w:type="dxa"/>
            <w:vAlign w:val="top"/>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查编制有《应急准备和响应控制程序程序》《火灾应急预案》等，明确了相应的运行准则。</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生产过程中加强用电安全，防止触电事故和火灾事故的发生，安装了漏电保护器。</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现场查看查看车间门口灭火器在有效期内。  </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生产场所有“禁止吸烟”，“小心触电” 等环保、安全警示标识。</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配有急救药箱，箱内有创可贴、消毒酒精、碘伏、棉棒等。</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2022年2月23日组织了火灾预案演练，从整个演练过程看：各参加演练单位比较认真，熟练；主要负责人及安全负责人都积极参与，整个演练按照预定的计划进展，达到预定的演练目的；通过这场演习，增强了员工消防知识，学会了安全逃离火灾现场的方法，对火灾危险也有限更加深刻的认识；同时在活动过程中也增强了员工团防意识。虽然只是一场演习，却可以看得出公司防范于未然的意识，看得出公司对消防工作的重视，对员工人身安全的重视。组织参加演习人员对应急预案和演习情况进行了评审，评审未引起文件的更改。</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评价人员：张亚丽，应急准备和响应实施方案具有可操作性，应急求援人员已基本掌握该方案，能够应付火灾的突发事件，评价日期：2022年2月23日，办公室参加了消防应急演练。</w:t>
            </w:r>
          </w:p>
          <w:p>
            <w:pPr>
              <w:spacing w:line="360" w:lineRule="auto"/>
              <w:rPr>
                <w:rFonts w:hint="eastAsia" w:ascii="宋体" w:hAnsi="宋体" w:eastAsia="宋体" w:cs="宋体"/>
                <w:sz w:val="21"/>
                <w:szCs w:val="21"/>
                <w:highlight w:val="yellow"/>
                <w:lang w:val="en-US" w:eastAsia="zh-CN"/>
              </w:rPr>
            </w:pPr>
            <w:r>
              <w:rPr>
                <w:rFonts w:hint="eastAsia" w:ascii="宋体" w:hAnsi="宋体" w:eastAsia="宋体" w:cs="宋体"/>
                <w:sz w:val="21"/>
                <w:szCs w:val="21"/>
                <w:lang w:val="en-US" w:eastAsia="zh-CN"/>
              </w:rPr>
              <w:t>针对近期出现的新型冠状病毒引发的肺炎疫情，公司制定了疫情防控预案，公司有进行返岗人员健康报备管理、每日人员出入登记/量体温/戴口罩、是否发热、办公区域消毒、分餐制用餐时间管理等，严格按政府和预案的要求执行。</w:t>
            </w:r>
          </w:p>
          <w:p>
            <w:pPr>
              <w:spacing w:line="360" w:lineRule="auto"/>
              <w:rPr>
                <w:rFonts w:hint="eastAsia" w:ascii="宋体" w:hAnsi="宋体" w:eastAsia="宋体" w:cs="宋体"/>
                <w:bCs/>
                <w:sz w:val="21"/>
                <w:szCs w:val="21"/>
              </w:rPr>
            </w:pPr>
            <w:r>
              <w:rPr>
                <w:rFonts w:hint="eastAsia" w:ascii="宋体" w:hAnsi="宋体" w:eastAsia="宋体" w:cs="宋体"/>
                <w:sz w:val="21"/>
                <w:szCs w:val="21"/>
                <w:lang w:val="en-US" w:eastAsia="zh-CN"/>
              </w:rPr>
              <w:t>自体系运行以来未出现应急事故情况。基本符合。</w:t>
            </w:r>
          </w:p>
        </w:tc>
        <w:tc>
          <w:tcPr>
            <w:tcW w:w="895"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符合</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2160" w:type="dxa"/>
            <w:vAlign w:val="center"/>
          </w:tcPr>
          <w:p>
            <w:pPr>
              <w:jc w:val="both"/>
              <w:rPr>
                <w:rFonts w:hint="eastAsia" w:ascii="宋体" w:hAnsi="宋体" w:eastAsia="宋体" w:cs="宋体"/>
                <w:sz w:val="21"/>
                <w:szCs w:val="21"/>
              </w:rPr>
            </w:pPr>
            <w:r>
              <w:rPr>
                <w:rFonts w:hint="eastAsia" w:ascii="宋体" w:hAnsi="宋体" w:eastAsia="宋体" w:cs="宋体"/>
                <w:sz w:val="21"/>
                <w:szCs w:val="21"/>
              </w:rPr>
              <w:t>绩效测量和监视</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分析与评价</w:t>
            </w:r>
          </w:p>
        </w:tc>
        <w:tc>
          <w:tcPr>
            <w:tcW w:w="1058" w:type="dxa"/>
            <w:vAlign w:val="center"/>
          </w:tcPr>
          <w:p>
            <w:pPr>
              <w:rPr>
                <w:rFonts w:hint="eastAsia" w:ascii="宋体" w:hAnsi="宋体" w:eastAsia="宋体" w:cs="宋体"/>
                <w:sz w:val="21"/>
                <w:szCs w:val="21"/>
              </w:rPr>
            </w:pPr>
            <w:r>
              <w:rPr>
                <w:rFonts w:hint="eastAsia" w:ascii="宋体" w:hAnsi="宋体" w:eastAsia="宋体" w:cs="宋体"/>
                <w:sz w:val="21"/>
                <w:szCs w:val="21"/>
              </w:rPr>
              <w:t>EO9.1.1</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Q9.1.3</w:t>
            </w:r>
          </w:p>
        </w:tc>
        <w:tc>
          <w:tcPr>
            <w:tcW w:w="10596"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公司编制了《</w:t>
            </w:r>
            <w:r>
              <w:rPr>
                <w:rFonts w:hint="eastAsia" w:ascii="宋体" w:hAnsi="宋体" w:eastAsia="宋体" w:cs="宋体"/>
                <w:sz w:val="21"/>
                <w:szCs w:val="21"/>
                <w:lang w:val="zh-CN"/>
              </w:rPr>
              <w:t>顾客满意度测量控制程序</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zh-CN" w:eastAsia="zh-CN"/>
              </w:rPr>
              <w:t>产品的监视和测量控制程序</w:t>
            </w:r>
            <w:r>
              <w:rPr>
                <w:rFonts w:hint="eastAsia" w:ascii="宋体" w:hAnsi="宋体" w:eastAsia="宋体" w:cs="宋体"/>
                <w:sz w:val="21"/>
                <w:szCs w:val="21"/>
                <w:lang w:eastAsia="zh-CN"/>
              </w:rPr>
              <w:t>》</w:t>
            </w:r>
            <w:r>
              <w:rPr>
                <w:rFonts w:hint="eastAsia" w:ascii="宋体" w:hAnsi="宋体" w:eastAsia="宋体" w:cs="宋体"/>
                <w:sz w:val="21"/>
                <w:szCs w:val="21"/>
              </w:rPr>
              <w:t>，对产品的质量特性进行监视和测量，以验证其符合要求的程度，确保服务符合要求。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公司制定《</w:t>
            </w:r>
            <w:r>
              <w:rPr>
                <w:rFonts w:hint="eastAsia" w:ascii="宋体" w:hAnsi="宋体" w:eastAsia="宋体" w:cs="宋体"/>
                <w:sz w:val="21"/>
                <w:szCs w:val="21"/>
                <w:lang w:val="zh-CN"/>
              </w:rPr>
              <w:t>内审控制程序</w:t>
            </w:r>
            <w:r>
              <w:rPr>
                <w:rFonts w:hint="eastAsia" w:ascii="宋体" w:hAnsi="宋体" w:eastAsia="宋体" w:cs="宋体"/>
                <w:sz w:val="21"/>
                <w:szCs w:val="21"/>
              </w:rPr>
              <w:t>》 、《</w:t>
            </w:r>
            <w:r>
              <w:rPr>
                <w:rFonts w:hint="eastAsia" w:ascii="宋体" w:hAnsi="宋体" w:eastAsia="宋体" w:cs="宋体"/>
                <w:sz w:val="21"/>
                <w:szCs w:val="21"/>
                <w:lang w:val="zh-CN"/>
              </w:rPr>
              <w:t>管理评审控制程序</w:t>
            </w:r>
            <w:r>
              <w:rPr>
                <w:rFonts w:hint="eastAsia" w:ascii="宋体" w:hAnsi="宋体" w:eastAsia="宋体" w:cs="宋体"/>
                <w:sz w:val="21"/>
                <w:szCs w:val="21"/>
              </w:rPr>
              <w:t>》为保证公司质量管理体系的有效运行，通过对管理绩效的监视与测量，确保体系运行的有效性。</w:t>
            </w:r>
          </w:p>
          <w:p>
            <w:pPr>
              <w:pStyle w:val="18"/>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综合办</w:t>
            </w:r>
            <w:r>
              <w:rPr>
                <w:rFonts w:hint="eastAsia" w:ascii="宋体" w:hAnsi="宋体" w:eastAsia="宋体" w:cs="宋体"/>
                <w:sz w:val="21"/>
                <w:szCs w:val="21"/>
              </w:rPr>
              <w:t>提供了质量目标分解与实施表，规定了分解部门，分解值与采取的措施，考核频次</w:t>
            </w:r>
            <w:r>
              <w:rPr>
                <w:rFonts w:hint="eastAsia" w:ascii="宋体" w:hAnsi="宋体" w:eastAsia="宋体" w:cs="宋体"/>
                <w:sz w:val="21"/>
                <w:szCs w:val="21"/>
                <w:lang w:eastAsia="zh-CN"/>
              </w:rPr>
              <w:t>，</w:t>
            </w:r>
            <w:r>
              <w:rPr>
                <w:rFonts w:hint="eastAsia" w:ascii="宋体" w:hAnsi="宋体" w:eastAsia="宋体" w:cs="宋体"/>
                <w:sz w:val="21"/>
                <w:szCs w:val="21"/>
              </w:rPr>
              <w:t>目标均完成。</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查阅“环境目标、指标和管理方案”和“职业健康安全目标、指标和管理方案”</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抽查环境绩效监测评价报告，评价结论为通过贯彻GB/T24001-2016idtISO14001:2015标准，公司员工的环境保护意识明显加强，公司的环境管理水平有了较大的提高，公司的办公区域及所管辖的公司场地范围内的环境得到了有效的保护，在公司工地树立了良好的社会形象。评价人为公司领导和各部门负责人</w:t>
            </w:r>
            <w:r>
              <w:rPr>
                <w:rFonts w:hint="eastAsia" w:ascii="宋体" w:hAnsi="宋体" w:eastAsia="宋体" w:cs="宋体"/>
                <w:sz w:val="21"/>
                <w:szCs w:val="21"/>
                <w:lang w:eastAsia="zh-CN"/>
              </w:rPr>
              <w:t>。</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 xml:space="preserve"> 抽查安全绩效监测评价报告，评价结论为通过贯彻GB/T45001-2018标准，公司员工的安全意识明显加强，公司的安全管理水平有了较大的提高。公司的办公区域及所管辖的现场范围内的安全工作更加规范，在工作得到了客户的好评。评价人为公司领导和各部门负责人</w:t>
            </w:r>
            <w:r>
              <w:rPr>
                <w:rFonts w:hint="eastAsia" w:ascii="宋体" w:hAnsi="宋体" w:eastAsia="宋体" w:cs="宋体"/>
                <w:sz w:val="21"/>
                <w:szCs w:val="21"/>
                <w:lang w:eastAsia="zh-CN"/>
              </w:rPr>
              <w:t>。</w:t>
            </w:r>
          </w:p>
          <w:p>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查《生产现场环保安全检查记录》2022.1.10</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无异常</w:t>
            </w:r>
          </w:p>
          <w:p>
            <w:pPr>
              <w:pStyle w:val="13"/>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企业提供：环境监测报告，编号：鼎顺检字（2021）第988号，检测日期：2021.09.10～2021.09.11，报告日期：2021年9月14日</w:t>
            </w:r>
          </w:p>
          <w:p>
            <w:pPr>
              <w:pStyle w:val="13"/>
              <w:spacing w:line="360" w:lineRule="auto"/>
              <w:rPr>
                <w:rFonts w:hint="eastAsia" w:ascii="宋体" w:hAnsi="宋体" w:eastAsia="宋体" w:cs="宋体"/>
                <w:color w:val="FF0000"/>
                <w:sz w:val="21"/>
                <w:szCs w:val="21"/>
              </w:rPr>
            </w:pPr>
            <w:r>
              <w:rPr>
                <w:rFonts w:hint="eastAsia" w:ascii="宋体" w:hAnsi="宋体" w:eastAsia="宋体" w:cs="宋体"/>
                <w:sz w:val="21"/>
                <w:szCs w:val="21"/>
                <w:lang w:val="en-US" w:eastAsia="zh-CN"/>
              </w:rPr>
              <w:t xml:space="preserve">  </w:t>
            </w:r>
            <w:r>
              <w:rPr>
                <w:rFonts w:hint="eastAsia" w:ascii="宋体" w:hAnsi="宋体" w:cs="宋体"/>
                <w:color w:val="FF0000"/>
                <w:sz w:val="21"/>
                <w:szCs w:val="21"/>
                <w:lang w:val="en-US" w:eastAsia="zh-CN"/>
              </w:rPr>
              <w:t>查</w:t>
            </w:r>
            <w:r>
              <w:rPr>
                <w:rFonts w:hint="eastAsia" w:ascii="宋体" w:hAnsi="宋体" w:eastAsia="宋体" w:cs="宋体"/>
                <w:color w:val="FF0000"/>
                <w:sz w:val="21"/>
                <w:szCs w:val="21"/>
              </w:rPr>
              <w:t>职业危害因素监测：</w:t>
            </w:r>
          </w:p>
          <w:p>
            <w:pPr>
              <w:spacing w:line="360" w:lineRule="auto"/>
              <w:ind w:firstLine="420" w:firstLineChars="200"/>
              <w:rPr>
                <w:rFonts w:hint="eastAsia" w:ascii="宋体" w:hAnsi="宋体" w:eastAsia="宋体" w:cs="宋体"/>
                <w:color w:val="FF0000"/>
                <w:sz w:val="21"/>
                <w:szCs w:val="21"/>
              </w:rPr>
            </w:pPr>
            <w:r>
              <w:rPr>
                <w:rFonts w:hint="eastAsia" w:ascii="宋体" w:hAnsi="宋体" w:eastAsia="宋体" w:cs="宋体"/>
                <w:color w:val="FF0000"/>
                <w:sz w:val="21"/>
                <w:szCs w:val="21"/>
              </w:rPr>
              <w:t>2022年8月13日现场审核，查提供有“职业病危害项目申报表”及职业病危害项目申报系统——“用人单位职业病危害项目申报回执”，申报登记号：420503202271949，回执内容：职业病危害项目申报内容已审核通过，签发单位：宜昌市伍家岗卫生健康局，日期：2022年7月19日；因卫生健康局指定的监测单位一直未到本单位进行监测，所以未能提供本年度监测报告，建议下年监审时进行跟踪检查。</w:t>
            </w:r>
          </w:p>
          <w:p>
            <w:pPr>
              <w:spacing w:line="360" w:lineRule="auto"/>
              <w:ind w:firstLine="422" w:firstLineChars="200"/>
              <w:rPr>
                <w:rFonts w:hint="eastAsia" w:ascii="宋体" w:hAnsi="宋体" w:eastAsia="宋体" w:cs="宋体"/>
                <w:b/>
                <w:bCs/>
                <w:color w:val="FF0000"/>
                <w:sz w:val="21"/>
                <w:szCs w:val="21"/>
                <w:lang w:eastAsia="zh-CN"/>
              </w:rPr>
            </w:pPr>
            <w:r>
              <w:rPr>
                <w:rFonts w:hint="eastAsia" w:ascii="宋体" w:hAnsi="宋体" w:eastAsia="宋体" w:cs="宋体"/>
                <w:b/>
                <w:bCs/>
                <w:color w:val="FF0000"/>
                <w:sz w:val="21"/>
                <w:szCs w:val="21"/>
                <w:lang w:eastAsia="zh-CN"/>
              </w:rPr>
              <w:drawing>
                <wp:anchor distT="0" distB="0" distL="114300" distR="114300" simplePos="0" relativeHeight="251664384" behindDoc="0" locked="0" layoutInCell="1" allowOverlap="1">
                  <wp:simplePos x="0" y="0"/>
                  <wp:positionH relativeFrom="column">
                    <wp:posOffset>3149600</wp:posOffset>
                  </wp:positionH>
                  <wp:positionV relativeFrom="paragraph">
                    <wp:posOffset>39370</wp:posOffset>
                  </wp:positionV>
                  <wp:extent cx="3101975" cy="1517015"/>
                  <wp:effectExtent l="0" t="0" r="9525" b="6985"/>
                  <wp:wrapNone/>
                  <wp:docPr id="6" name="图片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
                          <pic:cNvPicPr>
                            <a:picLocks noChangeAspect="1"/>
                          </pic:cNvPicPr>
                        </pic:nvPicPr>
                        <pic:blipFill>
                          <a:blip r:embed="rId9"/>
                          <a:stretch>
                            <a:fillRect/>
                          </a:stretch>
                        </pic:blipFill>
                        <pic:spPr>
                          <a:xfrm>
                            <a:off x="0" y="0"/>
                            <a:ext cx="3101975" cy="1517015"/>
                          </a:xfrm>
                          <a:prstGeom prst="rect">
                            <a:avLst/>
                          </a:prstGeom>
                        </pic:spPr>
                      </pic:pic>
                    </a:graphicData>
                  </a:graphic>
                </wp:anchor>
              </w:drawing>
            </w:r>
            <w:r>
              <w:rPr>
                <w:rFonts w:hint="eastAsia" w:ascii="宋体" w:hAnsi="宋体" w:eastAsia="宋体" w:cs="宋体"/>
                <w:b/>
                <w:bCs/>
                <w:color w:val="FF0000"/>
                <w:sz w:val="21"/>
                <w:szCs w:val="21"/>
                <w:lang w:eastAsia="zh-CN"/>
              </w:rPr>
              <w:drawing>
                <wp:anchor distT="0" distB="0" distL="114300" distR="114300" simplePos="0" relativeHeight="251665408" behindDoc="0" locked="0" layoutInCell="1" allowOverlap="1">
                  <wp:simplePos x="0" y="0"/>
                  <wp:positionH relativeFrom="column">
                    <wp:posOffset>63500</wp:posOffset>
                  </wp:positionH>
                  <wp:positionV relativeFrom="paragraph">
                    <wp:posOffset>27940</wp:posOffset>
                  </wp:positionV>
                  <wp:extent cx="2985135" cy="1459865"/>
                  <wp:effectExtent l="0" t="0" r="12065" b="635"/>
                  <wp:wrapNone/>
                  <wp:docPr id="7" name="图片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
                          <pic:cNvPicPr>
                            <a:picLocks noChangeAspect="1"/>
                          </pic:cNvPicPr>
                        </pic:nvPicPr>
                        <pic:blipFill>
                          <a:blip r:embed="rId10"/>
                          <a:stretch>
                            <a:fillRect/>
                          </a:stretch>
                        </pic:blipFill>
                        <pic:spPr>
                          <a:xfrm>
                            <a:off x="0" y="0"/>
                            <a:ext cx="2985135" cy="1459865"/>
                          </a:xfrm>
                          <a:prstGeom prst="rect">
                            <a:avLst/>
                          </a:prstGeom>
                        </pic:spPr>
                      </pic:pic>
                    </a:graphicData>
                  </a:graphic>
                </wp:anchor>
              </w:drawing>
            </w:r>
          </w:p>
          <w:p>
            <w:pPr>
              <w:spacing w:line="360" w:lineRule="auto"/>
              <w:ind w:firstLine="422" w:firstLineChars="200"/>
              <w:rPr>
                <w:rFonts w:hint="eastAsia" w:ascii="宋体" w:hAnsi="宋体" w:eastAsia="宋体" w:cs="宋体"/>
                <w:b/>
                <w:bCs/>
                <w:color w:val="FF0000"/>
                <w:sz w:val="21"/>
                <w:szCs w:val="21"/>
              </w:rPr>
            </w:pPr>
          </w:p>
          <w:p>
            <w:pPr>
              <w:spacing w:line="360" w:lineRule="auto"/>
              <w:ind w:firstLine="422" w:firstLineChars="200"/>
              <w:rPr>
                <w:rFonts w:hint="eastAsia" w:ascii="宋体" w:hAnsi="宋体" w:eastAsia="宋体" w:cs="宋体"/>
                <w:b/>
                <w:bCs/>
                <w:color w:val="FF0000"/>
                <w:sz w:val="21"/>
                <w:szCs w:val="21"/>
              </w:rPr>
            </w:pPr>
          </w:p>
          <w:p>
            <w:pPr>
              <w:spacing w:line="360" w:lineRule="auto"/>
              <w:ind w:firstLine="422" w:firstLineChars="200"/>
              <w:rPr>
                <w:rFonts w:hint="eastAsia" w:ascii="宋体" w:hAnsi="宋体" w:eastAsia="宋体" w:cs="宋体"/>
                <w:b/>
                <w:bCs/>
                <w:color w:val="FF0000"/>
                <w:sz w:val="21"/>
                <w:szCs w:val="21"/>
              </w:rPr>
            </w:pPr>
          </w:p>
          <w:p>
            <w:pPr>
              <w:spacing w:line="360" w:lineRule="auto"/>
              <w:ind w:firstLine="422" w:firstLineChars="200"/>
              <w:rPr>
                <w:rFonts w:hint="eastAsia" w:ascii="宋体" w:hAnsi="宋体" w:eastAsia="宋体" w:cs="宋体"/>
                <w:b/>
                <w:bCs/>
                <w:color w:val="FF0000"/>
                <w:sz w:val="21"/>
                <w:szCs w:val="21"/>
              </w:rPr>
            </w:pPr>
          </w:p>
          <w:p>
            <w:pPr>
              <w:spacing w:line="360" w:lineRule="auto"/>
              <w:ind w:firstLine="422" w:firstLineChars="200"/>
              <w:rPr>
                <w:rFonts w:hint="eastAsia" w:ascii="宋体" w:hAnsi="宋体" w:cs="宋体"/>
                <w:b/>
                <w:bCs/>
                <w:color w:val="FF0000"/>
                <w:sz w:val="21"/>
                <w:szCs w:val="21"/>
                <w:lang w:val="en-US" w:eastAsia="zh-CN"/>
              </w:rPr>
            </w:pPr>
          </w:p>
          <w:p>
            <w:pPr>
              <w:spacing w:line="360" w:lineRule="auto"/>
              <w:ind w:firstLine="422" w:firstLineChars="200"/>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查职业病体检：提供有“职业病检查总结报告”，职健字第2206160001号，体检机构：宜昌市美年大健康管理有限公司华祥综合门诊部，受检72人，均无职业病禁忌症。</w:t>
            </w:r>
          </w:p>
          <w:p>
            <w:pPr>
              <w:spacing w:line="360" w:lineRule="auto"/>
              <w:ind w:firstLine="422" w:firstLineChars="200"/>
              <w:rPr>
                <w:rFonts w:hint="eastAsia" w:ascii="宋体" w:hAnsi="宋体" w:eastAsia="宋体" w:cs="宋体"/>
                <w:b/>
                <w:bCs/>
                <w:color w:val="FF0000"/>
                <w:sz w:val="21"/>
                <w:szCs w:val="21"/>
              </w:rPr>
            </w:pPr>
            <w:r>
              <w:rPr>
                <w:rFonts w:hint="eastAsia" w:ascii="宋体" w:hAnsi="宋体" w:cs="宋体"/>
                <w:b/>
                <w:bCs/>
                <w:color w:val="FF0000"/>
                <w:sz w:val="21"/>
                <w:szCs w:val="21"/>
                <w:lang w:val="en-US" w:eastAsia="zh-CN"/>
              </w:rPr>
              <w:t>查</w:t>
            </w:r>
            <w:r>
              <w:rPr>
                <w:rFonts w:hint="eastAsia" w:ascii="宋体" w:hAnsi="宋体" w:eastAsia="宋体" w:cs="宋体"/>
                <w:b/>
                <w:bCs/>
                <w:color w:val="FF0000"/>
                <w:sz w:val="21"/>
                <w:szCs w:val="21"/>
              </w:rPr>
              <w:t>未能提供2022年度《防雷装置检测报告》，不符合《防雷减灾管理办法》规定。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目前未发现公司出现</w:t>
            </w:r>
            <w:r>
              <w:rPr>
                <w:rFonts w:hint="eastAsia" w:ascii="宋体" w:hAnsi="宋体" w:cs="宋体"/>
                <w:sz w:val="21"/>
                <w:szCs w:val="21"/>
                <w:lang w:val="en-US" w:eastAsia="zh-CN"/>
              </w:rPr>
              <w:t>其它</w:t>
            </w:r>
            <w:r>
              <w:rPr>
                <w:rFonts w:hint="eastAsia" w:ascii="宋体" w:hAnsi="宋体" w:eastAsia="宋体" w:cs="宋体"/>
                <w:sz w:val="21"/>
                <w:szCs w:val="21"/>
              </w:rPr>
              <w:t>违规现象</w:t>
            </w:r>
            <w:r>
              <w:rPr>
                <w:rFonts w:hint="eastAsia" w:ascii="宋体" w:hAnsi="宋体" w:cs="宋体"/>
                <w:sz w:val="21"/>
                <w:szCs w:val="21"/>
                <w:lang w:eastAsia="zh-CN"/>
              </w:rPr>
              <w:t>，</w:t>
            </w:r>
            <w:r>
              <w:rPr>
                <w:rFonts w:hint="eastAsia" w:ascii="宋体" w:hAnsi="宋体" w:eastAsia="宋体" w:cs="宋体"/>
                <w:sz w:val="21"/>
                <w:szCs w:val="21"/>
              </w:rPr>
              <w:t>无被动性绩效的监视和测量。</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公司不需要对环境影响的运行的关键特性和职业健康安全绩效进行监测和测量的设备。</w:t>
            </w:r>
          </w:p>
        </w:tc>
        <w:tc>
          <w:tcPr>
            <w:tcW w:w="895" w:type="dxa"/>
          </w:tcPr>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bidi w:val="0"/>
              <w:rPr>
                <w:rFonts w:hint="eastAsia"/>
                <w:sz w:val="21"/>
                <w:szCs w:val="21"/>
              </w:rPr>
            </w:pPr>
          </w:p>
          <w:p>
            <w:pPr>
              <w:pStyle w:val="12"/>
              <w:bidi w:val="0"/>
              <w:ind w:left="0" w:leftChars="0" w:firstLine="0" w:firstLineChars="0"/>
              <w:jc w:val="left"/>
              <w:rPr>
                <w:rFonts w:hint="eastAsia"/>
                <w:sz w:val="21"/>
                <w:szCs w:val="21"/>
                <w:lang w:val="en-US" w:eastAsia="zh-CN"/>
              </w:rPr>
            </w:pPr>
          </w:p>
          <w:p>
            <w:pPr>
              <w:pStyle w:val="12"/>
              <w:bidi w:val="0"/>
              <w:ind w:left="0" w:leftChars="0" w:firstLine="0" w:firstLineChars="0"/>
              <w:jc w:val="left"/>
              <w:rPr>
                <w:rFonts w:hint="eastAsia"/>
                <w:b/>
                <w:bCs/>
                <w:color w:val="FF0000"/>
                <w:sz w:val="21"/>
                <w:szCs w:val="21"/>
                <w:lang w:val="en-US" w:eastAsia="zh-CN"/>
              </w:rPr>
            </w:pPr>
            <w:r>
              <w:rPr>
                <w:rFonts w:hint="eastAsia"/>
                <w:b/>
                <w:bCs/>
                <w:color w:val="FF0000"/>
                <w:sz w:val="21"/>
                <w:szCs w:val="21"/>
                <w:lang w:val="en-US" w:eastAsia="zh-CN"/>
              </w:rPr>
              <w:t>观察项</w:t>
            </w:r>
          </w:p>
          <w:p>
            <w:pPr>
              <w:pStyle w:val="12"/>
              <w:bidi w:val="0"/>
              <w:ind w:left="0" w:leftChars="0" w:firstLine="0" w:firstLineChars="0"/>
              <w:jc w:val="left"/>
              <w:rPr>
                <w:rFonts w:hint="eastAsia"/>
                <w:b/>
                <w:bCs/>
                <w:color w:val="FF0000"/>
                <w:sz w:val="21"/>
                <w:szCs w:val="21"/>
                <w:lang w:val="en-US" w:eastAsia="zh-CN"/>
              </w:rPr>
            </w:pPr>
          </w:p>
          <w:p>
            <w:pPr>
              <w:pStyle w:val="12"/>
              <w:bidi w:val="0"/>
              <w:ind w:left="0" w:leftChars="0" w:firstLine="0" w:firstLineChars="0"/>
              <w:jc w:val="left"/>
              <w:rPr>
                <w:rFonts w:hint="eastAsia"/>
                <w:b/>
                <w:bCs/>
                <w:color w:val="FF0000"/>
                <w:sz w:val="21"/>
                <w:szCs w:val="21"/>
                <w:lang w:val="en-US" w:eastAsia="zh-CN"/>
              </w:rPr>
            </w:pPr>
          </w:p>
          <w:p>
            <w:pPr>
              <w:pStyle w:val="12"/>
              <w:bidi w:val="0"/>
              <w:ind w:left="0" w:leftChars="0" w:firstLine="0" w:firstLineChars="0"/>
              <w:jc w:val="left"/>
              <w:rPr>
                <w:rFonts w:hint="eastAsia"/>
                <w:b/>
                <w:bCs/>
                <w:color w:val="FF0000"/>
                <w:sz w:val="21"/>
                <w:szCs w:val="21"/>
                <w:lang w:val="en-US" w:eastAsia="zh-CN"/>
              </w:rPr>
            </w:pPr>
          </w:p>
          <w:p>
            <w:pPr>
              <w:pStyle w:val="12"/>
              <w:bidi w:val="0"/>
              <w:ind w:left="0" w:leftChars="0" w:firstLine="0" w:firstLineChars="0"/>
              <w:jc w:val="left"/>
              <w:rPr>
                <w:rFonts w:hint="eastAsia"/>
                <w:b/>
                <w:bCs/>
                <w:color w:val="FF0000"/>
                <w:sz w:val="21"/>
                <w:szCs w:val="21"/>
                <w:lang w:val="en-US" w:eastAsia="zh-CN"/>
              </w:rPr>
            </w:pPr>
          </w:p>
          <w:p>
            <w:pPr>
              <w:pStyle w:val="12"/>
              <w:bidi w:val="0"/>
              <w:ind w:left="0" w:leftChars="0" w:firstLine="0" w:firstLineChars="0"/>
              <w:jc w:val="left"/>
              <w:rPr>
                <w:rFonts w:hint="eastAsia"/>
                <w:b/>
                <w:bCs/>
                <w:color w:val="FF0000"/>
                <w:sz w:val="21"/>
                <w:szCs w:val="21"/>
                <w:lang w:val="en-US" w:eastAsia="zh-CN"/>
              </w:rPr>
            </w:pPr>
          </w:p>
          <w:p>
            <w:pPr>
              <w:pStyle w:val="12"/>
              <w:bidi w:val="0"/>
              <w:ind w:left="0" w:leftChars="0" w:firstLine="0" w:firstLineChars="0"/>
              <w:jc w:val="left"/>
              <w:rPr>
                <w:rFonts w:hint="eastAsia"/>
                <w:b/>
                <w:bCs/>
                <w:color w:val="FF0000"/>
                <w:sz w:val="21"/>
                <w:szCs w:val="21"/>
                <w:lang w:val="en-US" w:eastAsia="zh-CN"/>
              </w:rPr>
            </w:pPr>
          </w:p>
          <w:p>
            <w:pPr>
              <w:pStyle w:val="12"/>
              <w:bidi w:val="0"/>
              <w:ind w:left="0" w:leftChars="0" w:firstLine="0" w:firstLineChars="0"/>
              <w:jc w:val="left"/>
              <w:rPr>
                <w:rFonts w:hint="eastAsia"/>
                <w:b/>
                <w:bCs/>
                <w:color w:val="FF0000"/>
                <w:sz w:val="21"/>
                <w:szCs w:val="21"/>
                <w:lang w:val="en-US" w:eastAsia="zh-CN"/>
              </w:rPr>
            </w:pPr>
          </w:p>
          <w:p>
            <w:pPr>
              <w:pStyle w:val="12"/>
              <w:bidi w:val="0"/>
              <w:ind w:left="0" w:leftChars="0" w:firstLine="0" w:firstLineChars="0"/>
              <w:jc w:val="left"/>
              <w:rPr>
                <w:rFonts w:hint="eastAsia"/>
                <w:b/>
                <w:bCs/>
                <w:color w:val="FF0000"/>
                <w:sz w:val="21"/>
                <w:szCs w:val="21"/>
                <w:lang w:val="en-US" w:eastAsia="zh-CN"/>
              </w:rPr>
            </w:pPr>
          </w:p>
          <w:p>
            <w:pPr>
              <w:pStyle w:val="12"/>
              <w:bidi w:val="0"/>
              <w:ind w:left="0" w:leftChars="0" w:firstLine="0" w:firstLineChars="0"/>
              <w:jc w:val="left"/>
              <w:rPr>
                <w:rFonts w:hint="eastAsia"/>
                <w:b/>
                <w:bCs/>
                <w:color w:val="FF0000"/>
                <w:sz w:val="21"/>
                <w:szCs w:val="21"/>
                <w:lang w:val="en-US" w:eastAsia="zh-CN"/>
              </w:rPr>
            </w:pPr>
          </w:p>
          <w:p>
            <w:pPr>
              <w:pStyle w:val="12"/>
              <w:bidi w:val="0"/>
              <w:ind w:left="0" w:leftChars="0" w:firstLine="0" w:firstLineChars="0"/>
              <w:jc w:val="left"/>
              <w:rPr>
                <w:rFonts w:hint="default"/>
                <w:b/>
                <w:bCs/>
                <w:color w:val="FF0000"/>
                <w:sz w:val="21"/>
                <w:szCs w:val="21"/>
                <w:lang w:val="en-US" w:eastAsia="zh-CN"/>
              </w:rPr>
            </w:pPr>
            <w:r>
              <w:rPr>
                <w:rFonts w:hint="eastAsia"/>
                <w:b/>
                <w:bCs/>
                <w:color w:val="FF0000"/>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内部审核</w:t>
            </w:r>
          </w:p>
        </w:tc>
        <w:tc>
          <w:tcPr>
            <w:tcW w:w="1058"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QEO9.2</w:t>
            </w:r>
          </w:p>
          <w:p>
            <w:pPr>
              <w:spacing w:line="360" w:lineRule="auto"/>
              <w:rPr>
                <w:rFonts w:hint="eastAsia" w:ascii="宋体" w:hAnsi="宋体" w:eastAsia="宋体" w:cs="宋体"/>
                <w:sz w:val="21"/>
                <w:szCs w:val="21"/>
              </w:rPr>
            </w:pPr>
          </w:p>
        </w:tc>
        <w:tc>
          <w:tcPr>
            <w:tcW w:w="10596"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公司制定《内部审核控制程序》，对内部审核方案策划规定：</w:t>
            </w:r>
          </w:p>
          <w:p>
            <w:pPr>
              <w:spacing w:line="360" w:lineRule="auto"/>
              <w:rPr>
                <w:rFonts w:hint="eastAsia" w:ascii="宋体" w:hAnsi="宋体" w:eastAsia="宋体" w:cs="宋体"/>
                <w:sz w:val="21"/>
                <w:szCs w:val="21"/>
              </w:rPr>
            </w:pPr>
            <w:r>
              <w:rPr>
                <w:rFonts w:hint="eastAsia" w:ascii="宋体" w:hAnsi="宋体" w:eastAsia="宋体" w:cs="宋体"/>
                <w:sz w:val="21"/>
                <w:szCs w:val="21"/>
              </w:rPr>
              <w:t>1.频次：内审每年至少进行一次，两次内部审核的时间间隔不超过12个月。</w:t>
            </w:r>
          </w:p>
          <w:p>
            <w:pPr>
              <w:spacing w:line="360" w:lineRule="auto"/>
              <w:rPr>
                <w:rFonts w:hint="eastAsia" w:ascii="宋体" w:hAnsi="宋体" w:eastAsia="宋体" w:cs="宋体"/>
                <w:sz w:val="21"/>
                <w:szCs w:val="21"/>
              </w:rPr>
            </w:pPr>
            <w:r>
              <w:rPr>
                <w:rFonts w:hint="eastAsia" w:ascii="宋体" w:hAnsi="宋体" w:eastAsia="宋体" w:cs="宋体"/>
                <w:sz w:val="21"/>
                <w:szCs w:val="21"/>
              </w:rPr>
              <w:t>2.方法：集中式按部门审核。</w:t>
            </w:r>
          </w:p>
          <w:p>
            <w:pPr>
              <w:spacing w:line="360" w:lineRule="auto"/>
              <w:rPr>
                <w:rFonts w:hint="eastAsia" w:ascii="宋体" w:hAnsi="宋体" w:eastAsia="宋体" w:cs="宋体"/>
                <w:sz w:val="21"/>
                <w:szCs w:val="21"/>
              </w:rPr>
            </w:pPr>
            <w:r>
              <w:rPr>
                <w:rFonts w:hint="eastAsia" w:ascii="宋体" w:hAnsi="宋体" w:eastAsia="宋体" w:cs="宋体"/>
                <w:sz w:val="21"/>
                <w:szCs w:val="21"/>
              </w:rPr>
              <w:t>3.职责：体系负责人组织内部审核活动。</w:t>
            </w:r>
          </w:p>
          <w:p>
            <w:pPr>
              <w:spacing w:line="360" w:lineRule="auto"/>
              <w:rPr>
                <w:rFonts w:hint="eastAsia" w:ascii="宋体" w:hAnsi="宋体" w:eastAsia="宋体" w:cs="宋体"/>
                <w:sz w:val="21"/>
                <w:szCs w:val="21"/>
              </w:rPr>
            </w:pPr>
            <w:r>
              <w:rPr>
                <w:rFonts w:hint="eastAsia" w:ascii="宋体" w:hAnsi="宋体" w:eastAsia="宋体" w:cs="宋体"/>
                <w:sz w:val="21"/>
                <w:szCs w:val="21"/>
              </w:rPr>
              <w:t>4.策划要求：范围、准则、工作分配等。</w:t>
            </w:r>
          </w:p>
          <w:p>
            <w:pPr>
              <w:spacing w:line="360" w:lineRule="auto"/>
              <w:rPr>
                <w:rFonts w:hint="eastAsia" w:ascii="宋体" w:hAnsi="宋体" w:eastAsia="宋体" w:cs="宋体"/>
                <w:sz w:val="21"/>
                <w:szCs w:val="21"/>
              </w:rPr>
            </w:pPr>
            <w:r>
              <w:rPr>
                <w:rFonts w:hint="eastAsia" w:ascii="宋体" w:hAnsi="宋体" w:eastAsia="宋体" w:cs="宋体"/>
                <w:sz w:val="21"/>
                <w:szCs w:val="21"/>
              </w:rPr>
              <w:t>5.报告：体系负责人在内部审核结束及纠正措施完成后应向总经理报告审核结果。</w:t>
            </w:r>
          </w:p>
          <w:p>
            <w:pPr>
              <w:spacing w:line="360" w:lineRule="auto"/>
              <w:rPr>
                <w:rFonts w:hint="eastAsia" w:ascii="宋体" w:hAnsi="宋体" w:eastAsia="宋体" w:cs="宋体"/>
                <w:sz w:val="21"/>
                <w:szCs w:val="21"/>
              </w:rPr>
            </w:pPr>
            <w:r>
              <w:rPr>
                <w:rFonts w:hint="eastAsia" w:ascii="宋体" w:hAnsi="宋体" w:eastAsia="宋体" w:cs="宋体"/>
                <w:sz w:val="21"/>
                <w:szCs w:val="21"/>
              </w:rPr>
              <w:t>6.提供了《年度内审方案》，计划内容有：目的、范围、审核准则，审核时间</w:t>
            </w:r>
            <w:r>
              <w:rPr>
                <w:rFonts w:hint="eastAsia" w:ascii="宋体" w:hAnsi="宋体" w:eastAsia="宋体" w:cs="宋体"/>
                <w:color w:val="000000"/>
                <w:sz w:val="21"/>
                <w:szCs w:val="21"/>
              </w:rPr>
              <w:t>2021年</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月</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查阅内部审核有关记录</w:t>
            </w:r>
          </w:p>
          <w:p>
            <w:pPr>
              <w:numPr>
                <w:ilvl w:val="0"/>
                <w:numId w:val="3"/>
              </w:numPr>
              <w:spacing w:line="360" w:lineRule="auto"/>
              <w:rPr>
                <w:rFonts w:hint="eastAsia" w:ascii="宋体" w:hAnsi="宋体" w:eastAsia="宋体" w:cs="宋体"/>
                <w:bCs/>
                <w:color w:val="000000"/>
                <w:sz w:val="21"/>
                <w:szCs w:val="21"/>
                <w:lang w:val="en-US" w:eastAsia="zh-CN"/>
              </w:rPr>
            </w:pPr>
            <w:r>
              <w:rPr>
                <w:rFonts w:hint="eastAsia" w:ascii="宋体" w:hAnsi="宋体" w:eastAsia="宋体" w:cs="宋体"/>
                <w:sz w:val="21"/>
                <w:szCs w:val="21"/>
              </w:rPr>
              <w:t>提供了审核组名单：</w:t>
            </w:r>
            <w:r>
              <w:rPr>
                <w:rFonts w:hint="eastAsia" w:ascii="宋体" w:hAnsi="宋体" w:eastAsia="宋体" w:cs="宋体"/>
                <w:bCs/>
                <w:color w:val="000000"/>
                <w:sz w:val="21"/>
                <w:szCs w:val="21"/>
              </w:rPr>
              <w:t>组长：</w:t>
            </w:r>
            <w:r>
              <w:rPr>
                <w:rFonts w:hint="eastAsia" w:ascii="宋体" w:hAnsi="宋体" w:eastAsia="宋体" w:cs="宋体"/>
                <w:bCs/>
                <w:color w:val="000000"/>
                <w:sz w:val="21"/>
                <w:szCs w:val="21"/>
                <w:lang w:val="en-US" w:eastAsia="zh-CN"/>
              </w:rPr>
              <w:t>张亚丽</w:t>
            </w:r>
            <w:r>
              <w:rPr>
                <w:rFonts w:hint="eastAsia" w:ascii="宋体" w:hAnsi="宋体" w:eastAsia="宋体" w:cs="宋体"/>
                <w:bCs/>
                <w:color w:val="000000"/>
                <w:sz w:val="21"/>
                <w:szCs w:val="21"/>
              </w:rPr>
              <w:t xml:space="preserve"> 组员：王昌华 刘刚</w:t>
            </w:r>
          </w:p>
          <w:p>
            <w:pPr>
              <w:numPr>
                <w:ilvl w:val="0"/>
                <w:numId w:val="3"/>
              </w:numPr>
              <w:spacing w:line="360" w:lineRule="auto"/>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 xml:space="preserve"> </w:t>
            </w:r>
            <w:r>
              <w:rPr>
                <w:rFonts w:hint="eastAsia" w:ascii="宋体" w:hAnsi="宋体" w:eastAsia="宋体" w:cs="宋体"/>
                <w:sz w:val="21"/>
                <w:szCs w:val="21"/>
              </w:rPr>
              <w:t>审核时间：</w:t>
            </w:r>
            <w:r>
              <w:rPr>
                <w:rFonts w:hint="eastAsia" w:ascii="宋体" w:hAnsi="宋体" w:eastAsia="宋体" w:cs="宋体"/>
                <w:color w:val="000000"/>
                <w:sz w:val="21"/>
                <w:szCs w:val="21"/>
              </w:rPr>
              <w:t>2022年7月7-8日</w:t>
            </w:r>
          </w:p>
          <w:p>
            <w:pPr>
              <w:spacing w:line="360" w:lineRule="auto"/>
              <w:rPr>
                <w:rFonts w:hint="eastAsia" w:ascii="宋体" w:hAnsi="宋体" w:eastAsia="宋体" w:cs="宋体"/>
                <w:color w:val="000000"/>
                <w:sz w:val="21"/>
                <w:szCs w:val="21"/>
              </w:rPr>
            </w:pPr>
            <w:r>
              <w:rPr>
                <w:rFonts w:hint="eastAsia" w:ascii="宋体" w:hAnsi="宋体" w:eastAsia="宋体" w:cs="宋体"/>
                <w:sz w:val="21"/>
                <w:szCs w:val="21"/>
              </w:rPr>
              <w:t>3.审核范围：管理手册覆盖的所有部门及过程；</w:t>
            </w:r>
          </w:p>
          <w:p>
            <w:pPr>
              <w:spacing w:line="360" w:lineRule="auto"/>
              <w:rPr>
                <w:rFonts w:hint="eastAsia" w:ascii="宋体" w:hAnsi="宋体" w:eastAsia="宋体" w:cs="宋体"/>
                <w:sz w:val="21"/>
                <w:szCs w:val="21"/>
              </w:rPr>
            </w:pPr>
            <w:r>
              <w:rPr>
                <w:rFonts w:hint="eastAsia" w:ascii="宋体" w:hAnsi="宋体" w:eastAsia="宋体" w:cs="宋体"/>
                <w:sz w:val="21"/>
                <w:szCs w:val="21"/>
              </w:rPr>
              <w:t>4.审核准则：ISO9001:2015《质量管理体系 要求》、ISO14001：2015《环境管理体系 要求及使用指南》、ISO45001：2018《职业健康安全管理体系 要求》、公司管理体系文件、适用的法律法规、产品标准等。</w:t>
            </w:r>
          </w:p>
          <w:p>
            <w:pPr>
              <w:spacing w:line="360" w:lineRule="auto"/>
              <w:rPr>
                <w:rFonts w:hint="eastAsia" w:ascii="宋体" w:hAnsi="宋体" w:eastAsia="宋体" w:cs="宋体"/>
                <w:sz w:val="21"/>
                <w:szCs w:val="21"/>
              </w:rPr>
            </w:pPr>
            <w:r>
              <w:rPr>
                <w:rFonts w:hint="eastAsia" w:ascii="宋体" w:hAnsi="宋体" w:eastAsia="宋体" w:cs="宋体"/>
                <w:sz w:val="21"/>
                <w:szCs w:val="21"/>
              </w:rPr>
              <w:t>5.提供了《内审首</w:t>
            </w:r>
            <w:r>
              <w:rPr>
                <w:rFonts w:hint="eastAsia" w:ascii="宋体" w:hAnsi="宋体" w:cs="宋体"/>
                <w:sz w:val="21"/>
                <w:szCs w:val="21"/>
                <w:lang w:val="en-US" w:eastAsia="zh-CN"/>
              </w:rPr>
              <w:t>末</w:t>
            </w:r>
            <w:r>
              <w:rPr>
                <w:rFonts w:hint="eastAsia" w:ascii="宋体" w:hAnsi="宋体" w:eastAsia="宋体" w:cs="宋体"/>
                <w:sz w:val="21"/>
                <w:szCs w:val="21"/>
              </w:rPr>
              <w:t>次会议签到表》，参加人有各部门负责人等。</w:t>
            </w:r>
          </w:p>
          <w:p>
            <w:pPr>
              <w:pStyle w:val="12"/>
              <w:bidi w:val="0"/>
              <w:rPr>
                <w:rFonts w:hint="eastAsia" w:eastAsia="宋体"/>
                <w:sz w:val="21"/>
                <w:szCs w:val="21"/>
                <w:lang w:eastAsia="zh-CN"/>
              </w:rPr>
            </w:pPr>
            <w:r>
              <w:rPr>
                <w:rFonts w:hint="eastAsia" w:eastAsia="宋体"/>
                <w:sz w:val="21"/>
                <w:szCs w:val="21"/>
                <w:lang w:eastAsia="zh-CN"/>
              </w:rPr>
              <w:drawing>
                <wp:anchor distT="0" distB="0" distL="114300" distR="114300" simplePos="0" relativeHeight="251666432" behindDoc="0" locked="0" layoutInCell="1" allowOverlap="1">
                  <wp:simplePos x="0" y="0"/>
                  <wp:positionH relativeFrom="column">
                    <wp:posOffset>139700</wp:posOffset>
                  </wp:positionH>
                  <wp:positionV relativeFrom="paragraph">
                    <wp:posOffset>45720</wp:posOffset>
                  </wp:positionV>
                  <wp:extent cx="1533525" cy="2065020"/>
                  <wp:effectExtent l="0" t="0" r="3175" b="5080"/>
                  <wp:wrapNone/>
                  <wp:docPr id="8" name="图片 8" descr="1661390072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61390072149"/>
                          <pic:cNvPicPr>
                            <a:picLocks noChangeAspect="1"/>
                          </pic:cNvPicPr>
                        </pic:nvPicPr>
                        <pic:blipFill>
                          <a:blip r:embed="rId11"/>
                          <a:stretch>
                            <a:fillRect/>
                          </a:stretch>
                        </pic:blipFill>
                        <pic:spPr>
                          <a:xfrm>
                            <a:off x="0" y="0"/>
                            <a:ext cx="1533525" cy="2065020"/>
                          </a:xfrm>
                          <a:prstGeom prst="rect">
                            <a:avLst/>
                          </a:prstGeom>
                        </pic:spPr>
                      </pic:pic>
                    </a:graphicData>
                  </a:graphic>
                </wp:anchor>
              </w:drawing>
            </w:r>
          </w:p>
          <w:p>
            <w:pPr>
              <w:pStyle w:val="12"/>
              <w:bidi w:val="0"/>
              <w:rPr>
                <w:rFonts w:hint="eastAsia"/>
                <w:sz w:val="21"/>
                <w:szCs w:val="21"/>
              </w:rPr>
            </w:pPr>
          </w:p>
          <w:p>
            <w:pPr>
              <w:pStyle w:val="12"/>
              <w:bidi w:val="0"/>
              <w:rPr>
                <w:rFonts w:hint="eastAsia"/>
                <w:sz w:val="21"/>
                <w:szCs w:val="21"/>
              </w:rPr>
            </w:pPr>
          </w:p>
          <w:p>
            <w:pPr>
              <w:pStyle w:val="12"/>
              <w:bidi w:val="0"/>
              <w:rPr>
                <w:rFonts w:hint="eastAsia"/>
                <w:sz w:val="21"/>
                <w:szCs w:val="21"/>
              </w:rPr>
            </w:pPr>
          </w:p>
          <w:p>
            <w:pPr>
              <w:pStyle w:val="12"/>
              <w:bidi w:val="0"/>
              <w:rPr>
                <w:rFonts w:hint="eastAsia"/>
                <w:sz w:val="21"/>
                <w:szCs w:val="21"/>
              </w:rPr>
            </w:pPr>
          </w:p>
          <w:p>
            <w:pPr>
              <w:pStyle w:val="12"/>
              <w:bidi w:val="0"/>
              <w:rPr>
                <w:rFonts w:hint="eastAsia"/>
                <w:sz w:val="21"/>
                <w:szCs w:val="21"/>
              </w:rPr>
            </w:pPr>
          </w:p>
          <w:p>
            <w:pPr>
              <w:pStyle w:val="12"/>
              <w:bidi w:val="0"/>
              <w:rPr>
                <w:rFonts w:hint="eastAsia"/>
                <w:sz w:val="21"/>
                <w:szCs w:val="21"/>
              </w:rPr>
            </w:pPr>
          </w:p>
          <w:p>
            <w:pPr>
              <w:pStyle w:val="12"/>
              <w:bidi w:val="0"/>
              <w:rPr>
                <w:rFonts w:hint="eastAsia"/>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6.提供了《内审检查表》，经查阅对照，受审核部门涉及条款与公司管理体系职责分配相一致。</w:t>
            </w:r>
          </w:p>
          <w:p>
            <w:pPr>
              <w:pStyle w:val="18"/>
              <w:spacing w:line="360" w:lineRule="auto"/>
              <w:ind w:firstLine="210" w:firstLineChars="100"/>
              <w:jc w:val="left"/>
              <w:rPr>
                <w:rFonts w:hint="eastAsia" w:ascii="宋体" w:hAnsi="宋体" w:eastAsia="宋体" w:cs="宋体"/>
                <w:sz w:val="21"/>
                <w:szCs w:val="21"/>
                <w:lang w:val="en-US" w:eastAsia="zh-CN"/>
              </w:rPr>
            </w:pPr>
            <w:r>
              <w:rPr>
                <w:rFonts w:hint="eastAsia" w:ascii="宋体" w:hAnsi="宋体" w:eastAsia="宋体" w:cs="宋体"/>
                <w:bCs w:val="0"/>
                <w:spacing w:val="0"/>
                <w:sz w:val="21"/>
                <w:szCs w:val="21"/>
              </w:rPr>
              <w:t>审核计划安排合理，审核记录基本满足要求。</w:t>
            </w:r>
            <w:r>
              <w:rPr>
                <w:rFonts w:hint="eastAsia" w:ascii="宋体" w:hAnsi="宋体" w:eastAsia="宋体" w:cs="宋体"/>
                <w:sz w:val="21"/>
                <w:szCs w:val="21"/>
              </w:rPr>
              <w:t>提供了《内审不符合报告》</w:t>
            </w:r>
            <w:r>
              <w:rPr>
                <w:rFonts w:hint="eastAsia" w:ascii="宋体" w:hAnsi="宋体" w:eastAsia="宋体" w:cs="宋体"/>
                <w:sz w:val="21"/>
                <w:szCs w:val="21"/>
                <w:lang w:val="en-US" w:eastAsia="zh-CN"/>
              </w:rPr>
              <w:t>6</w:t>
            </w:r>
            <w:r>
              <w:rPr>
                <w:rFonts w:hint="eastAsia" w:ascii="宋体" w:hAnsi="宋体" w:eastAsia="宋体" w:cs="宋体"/>
                <w:sz w:val="21"/>
                <w:szCs w:val="21"/>
              </w:rPr>
              <w:t>份</w:t>
            </w:r>
            <w:r>
              <w:rPr>
                <w:rFonts w:hint="eastAsia" w:ascii="宋体" w:hAnsi="宋体" w:eastAsia="宋体" w:cs="宋体"/>
                <w:sz w:val="21"/>
                <w:szCs w:val="21"/>
                <w:lang w:eastAsia="zh-CN"/>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7.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审核结论：综合来看，这次内审是比较成功的审核，同时也发现我公司的质量/环境/安全管理体系运行基本是正常的、有效的。</w:t>
            </w:r>
          </w:p>
          <w:p>
            <w:pPr>
              <w:spacing w:line="360" w:lineRule="auto"/>
              <w:rPr>
                <w:rFonts w:hint="eastAsia" w:ascii="宋体" w:hAnsi="宋体" w:eastAsia="宋体" w:cs="宋体"/>
                <w:sz w:val="21"/>
                <w:szCs w:val="21"/>
              </w:rPr>
            </w:pPr>
            <w:r>
              <w:rPr>
                <w:rFonts w:hint="eastAsia" w:ascii="宋体" w:hAnsi="宋体" w:eastAsia="宋体" w:cs="宋体"/>
                <w:sz w:val="21"/>
                <w:szCs w:val="21"/>
              </w:rPr>
              <w:t>审核员没有审核自己部门工作，具有独立性。</w:t>
            </w:r>
          </w:p>
        </w:tc>
        <w:tc>
          <w:tcPr>
            <w:tcW w:w="895"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符合</w:t>
            </w:r>
          </w:p>
          <w:p>
            <w:pPr>
              <w:spacing w:line="360" w:lineRule="auto"/>
              <w:rPr>
                <w:rFonts w:hint="eastAsia" w:ascii="宋体" w:hAnsi="宋体" w:eastAsia="宋体" w:cs="宋体"/>
                <w:sz w:val="21"/>
                <w:szCs w:val="21"/>
              </w:rPr>
            </w:pPr>
          </w:p>
        </w:tc>
      </w:tr>
    </w:tbl>
    <w:p>
      <w:r>
        <w:ptab w:relativeTo="margin" w:alignment="center" w:leader="none"/>
      </w:r>
    </w:p>
    <w:p/>
    <w:p/>
    <w:p>
      <w:pPr>
        <w:pStyle w:val="11"/>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2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a:noFill/>
                  <a:ln>
                    <a:noFill/>
                  </a:ln>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a:effectLst/>
                    </wps:spPr>
                    <wps:txbx>
                      <w:txbxContent>
                        <w:p>
                          <w:pPr>
                            <w:rPr>
                              <w:sz w:val="18"/>
                              <w:szCs w:val="18"/>
                            </w:rPr>
                          </w:pPr>
                          <w:r>
                            <w:rPr>
                              <w:rFonts w:hint="eastAsia"/>
                              <w:sz w:val="18"/>
                              <w:szCs w:val="18"/>
                            </w:rPr>
                            <w:t>ISC-B-II-12(05版）</w:t>
                          </w:r>
                        </w:p>
                      </w:txbxContent>
                    </wps:txbx>
                    <wps:bodyPr vert="horz" wrap="square" anchor="t" anchorCtr="0"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kH4RNgAAAAL&#10;AQAADwAAAAAAAAABACAAAAAiAAAAZHJzL2Rvd25yZXYueG1sUEsBAhQAFAAAAAgAh07iQOZzOZbj&#10;AQAAuAMAAA4AAAAAAAAAAQAgAAAAJwEAAGRycy9lMm9Eb2MueG1sUEsFBgAAAAAGAAYAWQEAAHwF&#10;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22"/>
        <w:rFonts w:hint="default"/>
      </w:rPr>
      <w:t>北京国标联合认证有限公司</w:t>
    </w:r>
    <w:r>
      <w:rPr>
        <w:rStyle w:val="22"/>
        <w:rFonts w:hint="default"/>
      </w:rPr>
      <w:tab/>
    </w:r>
    <w:r>
      <w:rPr>
        <w:rStyle w:val="22"/>
        <w:rFonts w:hint="default"/>
      </w:rPr>
      <w:tab/>
    </w:r>
    <w:r>
      <w:rPr>
        <w:rStyle w:val="22"/>
        <w:rFonts w:hint="default"/>
      </w:rPr>
      <w:tab/>
    </w:r>
  </w:p>
  <w:p>
    <w:pPr>
      <w:pStyle w:val="2"/>
      <w:pBdr>
        <w:bottom w:val="none" w:color="auto" w:sz="0" w:space="0"/>
      </w:pBdr>
      <w:spacing w:line="320" w:lineRule="exact"/>
      <w:ind w:firstLine="756" w:firstLineChars="400"/>
      <w:jc w:val="left"/>
    </w:pPr>
    <w:r>
      <w:rPr>
        <w:rStyle w:val="2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E9A1C"/>
    <w:multiLevelType w:val="singleLevel"/>
    <w:tmpl w:val="A79E9A1C"/>
    <w:lvl w:ilvl="0" w:tentative="0">
      <w:start w:val="1"/>
      <w:numFmt w:val="decimal"/>
      <w:suff w:val="nothing"/>
      <w:lvlText w:val="%1．"/>
      <w:lvlJc w:val="left"/>
      <w:pPr>
        <w:ind w:left="0" w:firstLine="400"/>
      </w:pPr>
      <w:rPr>
        <w:rFonts w:hint="default"/>
      </w:rPr>
    </w:lvl>
  </w:abstractNum>
  <w:abstractNum w:abstractNumId="1">
    <w:nsid w:val="C7FAD188"/>
    <w:multiLevelType w:val="singleLevel"/>
    <w:tmpl w:val="C7FAD188"/>
    <w:lvl w:ilvl="0" w:tentative="0">
      <w:start w:val="1"/>
      <w:numFmt w:val="decimal"/>
      <w:lvlText w:val="%1)"/>
      <w:lvlJc w:val="left"/>
      <w:pPr>
        <w:ind w:left="425" w:hanging="425"/>
      </w:pPr>
      <w:rPr>
        <w:rFonts w:hint="default"/>
      </w:rPr>
    </w:lvl>
  </w:abstractNum>
  <w:abstractNum w:abstractNumId="2">
    <w:nsid w:val="7FDEE28D"/>
    <w:multiLevelType w:val="singleLevel"/>
    <w:tmpl w:val="7FDEE28D"/>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TRhZmMwYTZhMGE0NzY5YTQ4OGYyNzNkZGE0NDYifQ=="/>
  </w:docVars>
  <w:rsids>
    <w:rsidRoot w:val="009973B4"/>
    <w:rsid w:val="00017A34"/>
    <w:rsid w:val="000237F6"/>
    <w:rsid w:val="00024C50"/>
    <w:rsid w:val="0003373A"/>
    <w:rsid w:val="00036143"/>
    <w:rsid w:val="00046917"/>
    <w:rsid w:val="00053AAE"/>
    <w:rsid w:val="00071661"/>
    <w:rsid w:val="00090528"/>
    <w:rsid w:val="000A53EB"/>
    <w:rsid w:val="000B0723"/>
    <w:rsid w:val="00177A91"/>
    <w:rsid w:val="00181E98"/>
    <w:rsid w:val="00187822"/>
    <w:rsid w:val="00193307"/>
    <w:rsid w:val="001A2D7F"/>
    <w:rsid w:val="001C74D7"/>
    <w:rsid w:val="001E6B5E"/>
    <w:rsid w:val="001F0932"/>
    <w:rsid w:val="002003A0"/>
    <w:rsid w:val="002119A8"/>
    <w:rsid w:val="002426BC"/>
    <w:rsid w:val="002539A0"/>
    <w:rsid w:val="0026170D"/>
    <w:rsid w:val="00283657"/>
    <w:rsid w:val="00292C83"/>
    <w:rsid w:val="002B311A"/>
    <w:rsid w:val="002E1F88"/>
    <w:rsid w:val="003022CC"/>
    <w:rsid w:val="00337922"/>
    <w:rsid w:val="00340867"/>
    <w:rsid w:val="003518B5"/>
    <w:rsid w:val="00366399"/>
    <w:rsid w:val="00371C74"/>
    <w:rsid w:val="00375E04"/>
    <w:rsid w:val="00380837"/>
    <w:rsid w:val="00384E2C"/>
    <w:rsid w:val="003A198A"/>
    <w:rsid w:val="003B3E99"/>
    <w:rsid w:val="003D3E93"/>
    <w:rsid w:val="003F5657"/>
    <w:rsid w:val="003F740E"/>
    <w:rsid w:val="00410914"/>
    <w:rsid w:val="00411629"/>
    <w:rsid w:val="00440658"/>
    <w:rsid w:val="00464DDE"/>
    <w:rsid w:val="004674DB"/>
    <w:rsid w:val="00470352"/>
    <w:rsid w:val="00484369"/>
    <w:rsid w:val="004920B1"/>
    <w:rsid w:val="004B720C"/>
    <w:rsid w:val="004E2437"/>
    <w:rsid w:val="004E5837"/>
    <w:rsid w:val="00526127"/>
    <w:rsid w:val="00536930"/>
    <w:rsid w:val="00564E53"/>
    <w:rsid w:val="005946BA"/>
    <w:rsid w:val="005C56FD"/>
    <w:rsid w:val="005C5DF7"/>
    <w:rsid w:val="005D203C"/>
    <w:rsid w:val="005D4E2C"/>
    <w:rsid w:val="005F0441"/>
    <w:rsid w:val="0060324D"/>
    <w:rsid w:val="00636B21"/>
    <w:rsid w:val="00644FE2"/>
    <w:rsid w:val="00646FEC"/>
    <w:rsid w:val="00662A0A"/>
    <w:rsid w:val="00674B11"/>
    <w:rsid w:val="0067640C"/>
    <w:rsid w:val="006836CF"/>
    <w:rsid w:val="006E678B"/>
    <w:rsid w:val="006F2701"/>
    <w:rsid w:val="0072147E"/>
    <w:rsid w:val="0072416A"/>
    <w:rsid w:val="00746279"/>
    <w:rsid w:val="007575E1"/>
    <w:rsid w:val="007757F3"/>
    <w:rsid w:val="00792877"/>
    <w:rsid w:val="00796CD7"/>
    <w:rsid w:val="00797420"/>
    <w:rsid w:val="007A1DA8"/>
    <w:rsid w:val="007A5046"/>
    <w:rsid w:val="007A53EA"/>
    <w:rsid w:val="007D25D3"/>
    <w:rsid w:val="007E6AEB"/>
    <w:rsid w:val="007F14F1"/>
    <w:rsid w:val="008012C2"/>
    <w:rsid w:val="00815D2E"/>
    <w:rsid w:val="00823395"/>
    <w:rsid w:val="008252BD"/>
    <w:rsid w:val="00825954"/>
    <w:rsid w:val="008433DF"/>
    <w:rsid w:val="00862507"/>
    <w:rsid w:val="0089411D"/>
    <w:rsid w:val="008973EE"/>
    <w:rsid w:val="00961F4F"/>
    <w:rsid w:val="009647BC"/>
    <w:rsid w:val="00971600"/>
    <w:rsid w:val="00976228"/>
    <w:rsid w:val="00983C4C"/>
    <w:rsid w:val="009973B4"/>
    <w:rsid w:val="00997D7E"/>
    <w:rsid w:val="009A17DD"/>
    <w:rsid w:val="009C28C1"/>
    <w:rsid w:val="009E5A60"/>
    <w:rsid w:val="009F0149"/>
    <w:rsid w:val="009F2225"/>
    <w:rsid w:val="009F2F86"/>
    <w:rsid w:val="009F7EED"/>
    <w:rsid w:val="00A02F21"/>
    <w:rsid w:val="00A276A6"/>
    <w:rsid w:val="00A3294E"/>
    <w:rsid w:val="00A50632"/>
    <w:rsid w:val="00A51134"/>
    <w:rsid w:val="00AC0499"/>
    <w:rsid w:val="00AF0AAB"/>
    <w:rsid w:val="00B1087D"/>
    <w:rsid w:val="00B13D98"/>
    <w:rsid w:val="00B160FB"/>
    <w:rsid w:val="00B16488"/>
    <w:rsid w:val="00B1795C"/>
    <w:rsid w:val="00B26981"/>
    <w:rsid w:val="00B32E56"/>
    <w:rsid w:val="00B475D1"/>
    <w:rsid w:val="00B50C92"/>
    <w:rsid w:val="00B6150E"/>
    <w:rsid w:val="00B66FE1"/>
    <w:rsid w:val="00B73A93"/>
    <w:rsid w:val="00B95A05"/>
    <w:rsid w:val="00BB0BC9"/>
    <w:rsid w:val="00BC6844"/>
    <w:rsid w:val="00BE29A2"/>
    <w:rsid w:val="00BF597E"/>
    <w:rsid w:val="00C25D84"/>
    <w:rsid w:val="00C5177A"/>
    <w:rsid w:val="00C51A36"/>
    <w:rsid w:val="00C55228"/>
    <w:rsid w:val="00C76E98"/>
    <w:rsid w:val="00C80696"/>
    <w:rsid w:val="00CA1D28"/>
    <w:rsid w:val="00CA65AB"/>
    <w:rsid w:val="00CB1062"/>
    <w:rsid w:val="00CD0F2B"/>
    <w:rsid w:val="00CD106F"/>
    <w:rsid w:val="00CD278B"/>
    <w:rsid w:val="00CE315A"/>
    <w:rsid w:val="00CE6D06"/>
    <w:rsid w:val="00CF776D"/>
    <w:rsid w:val="00D06F59"/>
    <w:rsid w:val="00D11C38"/>
    <w:rsid w:val="00D513CF"/>
    <w:rsid w:val="00D77D72"/>
    <w:rsid w:val="00D8388C"/>
    <w:rsid w:val="00DA2A63"/>
    <w:rsid w:val="00DA57D8"/>
    <w:rsid w:val="00DB65E4"/>
    <w:rsid w:val="00DF2EA5"/>
    <w:rsid w:val="00E155CB"/>
    <w:rsid w:val="00E6360A"/>
    <w:rsid w:val="00E7307B"/>
    <w:rsid w:val="00E754A7"/>
    <w:rsid w:val="00E80AE3"/>
    <w:rsid w:val="00E80CCA"/>
    <w:rsid w:val="00E86639"/>
    <w:rsid w:val="00E93330"/>
    <w:rsid w:val="00E954C4"/>
    <w:rsid w:val="00EB0164"/>
    <w:rsid w:val="00ED0F62"/>
    <w:rsid w:val="00F1746E"/>
    <w:rsid w:val="00F305C2"/>
    <w:rsid w:val="00F3665D"/>
    <w:rsid w:val="00F617EA"/>
    <w:rsid w:val="00F71A76"/>
    <w:rsid w:val="00F77ECA"/>
    <w:rsid w:val="00F87C00"/>
    <w:rsid w:val="00F95653"/>
    <w:rsid w:val="00FA32A7"/>
    <w:rsid w:val="00FB3DD3"/>
    <w:rsid w:val="00FC02C4"/>
    <w:rsid w:val="00FD2F92"/>
    <w:rsid w:val="00FD35C5"/>
    <w:rsid w:val="00FD726A"/>
    <w:rsid w:val="00FF050E"/>
    <w:rsid w:val="01581EA0"/>
    <w:rsid w:val="01686B2A"/>
    <w:rsid w:val="02997C56"/>
    <w:rsid w:val="02B84719"/>
    <w:rsid w:val="02FA6253"/>
    <w:rsid w:val="032C3757"/>
    <w:rsid w:val="036603D4"/>
    <w:rsid w:val="04617F72"/>
    <w:rsid w:val="04C04927"/>
    <w:rsid w:val="04E90B5B"/>
    <w:rsid w:val="05B11F2A"/>
    <w:rsid w:val="06400A4B"/>
    <w:rsid w:val="06E01EC3"/>
    <w:rsid w:val="071C6FC5"/>
    <w:rsid w:val="09535250"/>
    <w:rsid w:val="09806D23"/>
    <w:rsid w:val="09CF47C3"/>
    <w:rsid w:val="0A1641A0"/>
    <w:rsid w:val="0A4725AB"/>
    <w:rsid w:val="0A5371A2"/>
    <w:rsid w:val="0B156FC6"/>
    <w:rsid w:val="0B256D46"/>
    <w:rsid w:val="0BB74A17"/>
    <w:rsid w:val="0C1821A1"/>
    <w:rsid w:val="0C5F0639"/>
    <w:rsid w:val="0C632FA1"/>
    <w:rsid w:val="0C85106D"/>
    <w:rsid w:val="0D66233C"/>
    <w:rsid w:val="0D8B1FB3"/>
    <w:rsid w:val="0D981CBC"/>
    <w:rsid w:val="0F5D63CD"/>
    <w:rsid w:val="0F6442AD"/>
    <w:rsid w:val="0FDA7F53"/>
    <w:rsid w:val="108219C2"/>
    <w:rsid w:val="11705116"/>
    <w:rsid w:val="11AF5C86"/>
    <w:rsid w:val="129F0DF1"/>
    <w:rsid w:val="13C20EF5"/>
    <w:rsid w:val="15110FDA"/>
    <w:rsid w:val="155A19C5"/>
    <w:rsid w:val="15D3117F"/>
    <w:rsid w:val="16352BB0"/>
    <w:rsid w:val="17587C18"/>
    <w:rsid w:val="17B20018"/>
    <w:rsid w:val="18DB38B5"/>
    <w:rsid w:val="19D53F65"/>
    <w:rsid w:val="1A120A39"/>
    <w:rsid w:val="1AD215C7"/>
    <w:rsid w:val="1B2C7B1C"/>
    <w:rsid w:val="1C821221"/>
    <w:rsid w:val="1CA833B0"/>
    <w:rsid w:val="1DF47EFC"/>
    <w:rsid w:val="1E295883"/>
    <w:rsid w:val="1E565434"/>
    <w:rsid w:val="1E5E5F70"/>
    <w:rsid w:val="1E90527F"/>
    <w:rsid w:val="21067253"/>
    <w:rsid w:val="21747ECE"/>
    <w:rsid w:val="22017E7F"/>
    <w:rsid w:val="22056B7C"/>
    <w:rsid w:val="224458A6"/>
    <w:rsid w:val="23544896"/>
    <w:rsid w:val="235E7C88"/>
    <w:rsid w:val="23996879"/>
    <w:rsid w:val="246B6135"/>
    <w:rsid w:val="247B1E0C"/>
    <w:rsid w:val="24FE116D"/>
    <w:rsid w:val="265956E8"/>
    <w:rsid w:val="26E4625C"/>
    <w:rsid w:val="27B53290"/>
    <w:rsid w:val="28A46FFC"/>
    <w:rsid w:val="29064F88"/>
    <w:rsid w:val="29A06FDB"/>
    <w:rsid w:val="2A134B34"/>
    <w:rsid w:val="2A712F0F"/>
    <w:rsid w:val="2B2E2752"/>
    <w:rsid w:val="2B5E554F"/>
    <w:rsid w:val="2B9022F9"/>
    <w:rsid w:val="2BFC024F"/>
    <w:rsid w:val="2C9B1E1D"/>
    <w:rsid w:val="2F4B0E69"/>
    <w:rsid w:val="30D16CC5"/>
    <w:rsid w:val="31553208"/>
    <w:rsid w:val="31C028B0"/>
    <w:rsid w:val="34036C94"/>
    <w:rsid w:val="368F35D2"/>
    <w:rsid w:val="36B424C7"/>
    <w:rsid w:val="36C81818"/>
    <w:rsid w:val="37476F8A"/>
    <w:rsid w:val="383E2EF6"/>
    <w:rsid w:val="38610411"/>
    <w:rsid w:val="38AA56C2"/>
    <w:rsid w:val="38E10519"/>
    <w:rsid w:val="38ED11CD"/>
    <w:rsid w:val="39827C37"/>
    <w:rsid w:val="3A216455"/>
    <w:rsid w:val="3AA52853"/>
    <w:rsid w:val="3B233B31"/>
    <w:rsid w:val="3C125F9B"/>
    <w:rsid w:val="3C1959EB"/>
    <w:rsid w:val="3D2F613A"/>
    <w:rsid w:val="3E1444F6"/>
    <w:rsid w:val="3F3B2173"/>
    <w:rsid w:val="3FB53538"/>
    <w:rsid w:val="40715AC8"/>
    <w:rsid w:val="40B67F76"/>
    <w:rsid w:val="415E2F32"/>
    <w:rsid w:val="417F5A15"/>
    <w:rsid w:val="41B52A28"/>
    <w:rsid w:val="41E277AB"/>
    <w:rsid w:val="41F52311"/>
    <w:rsid w:val="42611755"/>
    <w:rsid w:val="429A35A3"/>
    <w:rsid w:val="42B75819"/>
    <w:rsid w:val="43324E9F"/>
    <w:rsid w:val="435272F0"/>
    <w:rsid w:val="435C1130"/>
    <w:rsid w:val="442828E9"/>
    <w:rsid w:val="44906321"/>
    <w:rsid w:val="47C5209A"/>
    <w:rsid w:val="47D82D9A"/>
    <w:rsid w:val="48B655F2"/>
    <w:rsid w:val="48BA1BBF"/>
    <w:rsid w:val="48E22EC4"/>
    <w:rsid w:val="49BA3960"/>
    <w:rsid w:val="4A0F666A"/>
    <w:rsid w:val="4A993A56"/>
    <w:rsid w:val="4B2B6DA4"/>
    <w:rsid w:val="4B4B30DE"/>
    <w:rsid w:val="4BFA763C"/>
    <w:rsid w:val="4C4035AE"/>
    <w:rsid w:val="4DDC3C53"/>
    <w:rsid w:val="4EBA7942"/>
    <w:rsid w:val="4EEC684A"/>
    <w:rsid w:val="4F7F35B2"/>
    <w:rsid w:val="52B24340"/>
    <w:rsid w:val="5449029B"/>
    <w:rsid w:val="5473149B"/>
    <w:rsid w:val="55FD133D"/>
    <w:rsid w:val="56311B54"/>
    <w:rsid w:val="590762DE"/>
    <w:rsid w:val="5949498B"/>
    <w:rsid w:val="59A85EFD"/>
    <w:rsid w:val="5B2E22A1"/>
    <w:rsid w:val="5C8E0F41"/>
    <w:rsid w:val="5D86343D"/>
    <w:rsid w:val="5DB12D14"/>
    <w:rsid w:val="5DEB2DC3"/>
    <w:rsid w:val="5EA12B9A"/>
    <w:rsid w:val="5EC928D3"/>
    <w:rsid w:val="5F425B73"/>
    <w:rsid w:val="5F5C48D2"/>
    <w:rsid w:val="5F6A1134"/>
    <w:rsid w:val="5F8E191F"/>
    <w:rsid w:val="5F9641CD"/>
    <w:rsid w:val="6005776C"/>
    <w:rsid w:val="617A0D3A"/>
    <w:rsid w:val="628D2779"/>
    <w:rsid w:val="628D5F03"/>
    <w:rsid w:val="634D07F4"/>
    <w:rsid w:val="63A70B3A"/>
    <w:rsid w:val="643565A5"/>
    <w:rsid w:val="64F43146"/>
    <w:rsid w:val="654A5507"/>
    <w:rsid w:val="6574492E"/>
    <w:rsid w:val="658C10F3"/>
    <w:rsid w:val="65CA104B"/>
    <w:rsid w:val="66356363"/>
    <w:rsid w:val="66972AAF"/>
    <w:rsid w:val="67404615"/>
    <w:rsid w:val="677E4DCB"/>
    <w:rsid w:val="68B7181F"/>
    <w:rsid w:val="68BB08C9"/>
    <w:rsid w:val="6A2C1D99"/>
    <w:rsid w:val="6A4140D3"/>
    <w:rsid w:val="6A5D69B2"/>
    <w:rsid w:val="6A7021FA"/>
    <w:rsid w:val="6AA14535"/>
    <w:rsid w:val="6C093A05"/>
    <w:rsid w:val="6C2E1DF8"/>
    <w:rsid w:val="6DA65F1D"/>
    <w:rsid w:val="6DAD3D88"/>
    <w:rsid w:val="6E031C73"/>
    <w:rsid w:val="6E116960"/>
    <w:rsid w:val="6E6B6A6E"/>
    <w:rsid w:val="6EE8797B"/>
    <w:rsid w:val="6EFB4CCA"/>
    <w:rsid w:val="6FD11FC5"/>
    <w:rsid w:val="6FF46E59"/>
    <w:rsid w:val="704C7D0A"/>
    <w:rsid w:val="7051627C"/>
    <w:rsid w:val="70CA3520"/>
    <w:rsid w:val="71303ED5"/>
    <w:rsid w:val="726227FC"/>
    <w:rsid w:val="72BF19FC"/>
    <w:rsid w:val="73214465"/>
    <w:rsid w:val="73E237A4"/>
    <w:rsid w:val="73E9008B"/>
    <w:rsid w:val="743966F5"/>
    <w:rsid w:val="749A42EA"/>
    <w:rsid w:val="76C24502"/>
    <w:rsid w:val="772935FE"/>
    <w:rsid w:val="776B2153"/>
    <w:rsid w:val="777D1E86"/>
    <w:rsid w:val="78681A0A"/>
    <w:rsid w:val="78F76668"/>
    <w:rsid w:val="79863BAE"/>
    <w:rsid w:val="7A0B5C1B"/>
    <w:rsid w:val="7A0E74A5"/>
    <w:rsid w:val="7A42130E"/>
    <w:rsid w:val="7B2745E3"/>
    <w:rsid w:val="7B445194"/>
    <w:rsid w:val="7B53369F"/>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5"/>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Indent"/>
    <w:basedOn w:val="1"/>
    <w:qFormat/>
    <w:uiPriority w:val="0"/>
    <w:pPr>
      <w:adjustRightInd w:val="0"/>
      <w:spacing w:line="360" w:lineRule="atLeast"/>
      <w:ind w:left="480"/>
      <w:textAlignment w:val="baseline"/>
    </w:pPr>
    <w:rPr>
      <w:kern w:val="0"/>
    </w:rPr>
  </w:style>
  <w:style w:type="paragraph" w:styleId="6">
    <w:name w:val="Body Text"/>
    <w:basedOn w:val="1"/>
    <w:qFormat/>
    <w:uiPriority w:val="0"/>
    <w:pPr>
      <w:spacing w:after="120"/>
    </w:pPr>
  </w:style>
  <w:style w:type="paragraph" w:styleId="7">
    <w:name w:val="Body Text Indent"/>
    <w:basedOn w:val="1"/>
    <w:qFormat/>
    <w:uiPriority w:val="0"/>
    <w:pPr>
      <w:ind w:firstLine="560" w:firstLineChars="200"/>
    </w:pPr>
    <w:rPr>
      <w:rFonts w:ascii="宋体" w:hAnsi="宋体"/>
      <w:color w:val="FF0000"/>
      <w:sz w:val="28"/>
    </w:rPr>
  </w:style>
  <w:style w:type="paragraph" w:styleId="8">
    <w:name w:val="toc 3"/>
    <w:basedOn w:val="1"/>
    <w:next w:val="1"/>
    <w:qFormat/>
    <w:uiPriority w:val="0"/>
    <w:pPr>
      <w:ind w:left="840" w:leftChars="400"/>
      <w:jc w:val="both"/>
    </w:pPr>
    <w:rPr>
      <w:rFonts w:ascii="Calibri" w:hAnsi="Calibri" w:eastAsia="宋体" w:cs="Calibri"/>
      <w:iCs/>
    </w:rPr>
  </w:style>
  <w:style w:type="paragraph" w:styleId="9">
    <w:name w:val="Plain Text"/>
    <w:basedOn w:val="1"/>
    <w:qFormat/>
    <w:uiPriority w:val="0"/>
    <w:rPr>
      <w:rFonts w:ascii="宋体" w:hAnsi="Courier New"/>
      <w:sz w:val="24"/>
    </w:rPr>
  </w:style>
  <w:style w:type="paragraph" w:styleId="10">
    <w:name w:val="Balloon Text"/>
    <w:basedOn w:val="1"/>
    <w:link w:val="21"/>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Body Text Indent 3"/>
    <w:basedOn w:val="1"/>
    <w:link w:val="29"/>
    <w:unhideWhenUsed/>
    <w:qFormat/>
    <w:uiPriority w:val="99"/>
    <w:pPr>
      <w:spacing w:after="120"/>
      <w:ind w:left="420" w:leftChars="200"/>
    </w:pPr>
    <w:rPr>
      <w:sz w:val="16"/>
      <w:szCs w:val="16"/>
    </w:rPr>
  </w:style>
  <w:style w:type="paragraph" w:styleId="13">
    <w:name w:val="Body Text First Indent"/>
    <w:basedOn w:val="6"/>
    <w:qFormat/>
    <w:uiPriority w:val="0"/>
    <w:pPr>
      <w:ind w:firstLine="420" w:firstLineChars="100"/>
    </w:pPr>
    <w:rPr>
      <w:szCs w:val="20"/>
    </w:rPr>
  </w:style>
  <w:style w:type="paragraph" w:styleId="14">
    <w:name w:val="Body Text First Indent 2"/>
    <w:basedOn w:val="7"/>
    <w:qFormat/>
    <w:uiPriority w:val="0"/>
    <w:pPr>
      <w:ind w:firstLine="420"/>
      <w:jc w:val="left"/>
    </w:pPr>
    <w:rPr>
      <w:rFonts w:eastAsia="仿宋_GB2312"/>
      <w:color w:val="000000"/>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表格文字"/>
    <w:basedOn w:val="1"/>
    <w:qFormat/>
    <w:uiPriority w:val="0"/>
    <w:pPr>
      <w:spacing w:before="25" w:after="25"/>
    </w:pPr>
    <w:rPr>
      <w:bCs/>
      <w:spacing w:val="10"/>
    </w:rPr>
  </w:style>
  <w:style w:type="character" w:customStyle="1" w:styleId="19">
    <w:name w:val="页眉 字符"/>
    <w:basedOn w:val="17"/>
    <w:link w:val="2"/>
    <w:qFormat/>
    <w:uiPriority w:val="99"/>
    <w:rPr>
      <w:rFonts w:ascii="Times New Roman" w:hAnsi="Times New Roman" w:eastAsia="宋体" w:cs="Times New Roman"/>
      <w:sz w:val="18"/>
      <w:szCs w:val="18"/>
    </w:rPr>
  </w:style>
  <w:style w:type="character" w:customStyle="1" w:styleId="20">
    <w:name w:val="页脚 字符"/>
    <w:basedOn w:val="17"/>
    <w:link w:val="11"/>
    <w:qFormat/>
    <w:uiPriority w:val="99"/>
    <w:rPr>
      <w:rFonts w:ascii="Times New Roman" w:hAnsi="Times New Roman" w:eastAsia="宋体" w:cs="Times New Roman"/>
      <w:sz w:val="18"/>
      <w:szCs w:val="18"/>
    </w:rPr>
  </w:style>
  <w:style w:type="character" w:customStyle="1" w:styleId="21">
    <w:name w:val="批注框文本 字符"/>
    <w:basedOn w:val="17"/>
    <w:link w:val="10"/>
    <w:semiHidden/>
    <w:qFormat/>
    <w:uiPriority w:val="99"/>
    <w:rPr>
      <w:rFonts w:ascii="Times New Roman" w:hAnsi="Times New Roman" w:eastAsia="宋体" w:cs="Times New Roman"/>
      <w:sz w:val="18"/>
      <w:szCs w:val="18"/>
    </w:rPr>
  </w:style>
  <w:style w:type="character" w:customStyle="1" w:styleId="22">
    <w:name w:val="Char Char1"/>
    <w:qFormat/>
    <w:locked/>
    <w:uiPriority w:val="0"/>
    <w:rPr>
      <w:rFonts w:hint="eastAsia" w:ascii="宋体" w:hAnsi="Courier New" w:eastAsia="宋体"/>
      <w:kern w:val="2"/>
      <w:sz w:val="21"/>
      <w:lang w:val="en-US" w:eastAsia="zh-CN" w:bidi="ar-SA"/>
    </w:rPr>
  </w:style>
  <w:style w:type="paragraph" w:customStyle="1" w:styleId="23">
    <w:name w:val="_Style 2"/>
    <w:basedOn w:val="1"/>
    <w:qFormat/>
    <w:uiPriority w:val="34"/>
    <w:pPr>
      <w:widowControl/>
      <w:ind w:firstLine="420" w:firstLineChars="200"/>
      <w:jc w:val="left"/>
    </w:pPr>
    <w:rPr>
      <w:kern w:val="0"/>
      <w:sz w:val="20"/>
      <w:lang w:eastAsia="en-US"/>
    </w:rPr>
  </w:style>
  <w:style w:type="character" w:customStyle="1" w:styleId="24">
    <w:name w:val="info-content-text"/>
    <w:qFormat/>
    <w:uiPriority w:val="0"/>
  </w:style>
  <w:style w:type="character" w:customStyle="1" w:styleId="25">
    <w:name w:val="标题 1 字符"/>
    <w:basedOn w:val="17"/>
    <w:link w:val="3"/>
    <w:qFormat/>
    <w:uiPriority w:val="0"/>
    <w:rPr>
      <w:b/>
      <w:bCs/>
      <w:kern w:val="44"/>
      <w:sz w:val="44"/>
      <w:szCs w:val="44"/>
    </w:rPr>
  </w:style>
  <w:style w:type="paragraph" w:styleId="26">
    <w:name w:val="List Paragraph"/>
    <w:basedOn w:val="1"/>
    <w:qFormat/>
    <w:uiPriority w:val="99"/>
    <w:pPr>
      <w:ind w:firstLine="420" w:firstLineChars="200"/>
    </w:pPr>
  </w:style>
  <w:style w:type="paragraph" w:customStyle="1" w:styleId="27">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8">
    <w:name w:val="默认段落字体 Para Char Char Char1 Char"/>
    <w:basedOn w:val="1"/>
    <w:next w:val="1"/>
    <w:qFormat/>
    <w:uiPriority w:val="0"/>
    <w:pPr>
      <w:spacing w:line="240" w:lineRule="atLeast"/>
      <w:ind w:left="420" w:firstLine="420"/>
      <w:jc w:val="left"/>
    </w:pPr>
    <w:rPr>
      <w:szCs w:val="24"/>
    </w:rPr>
  </w:style>
  <w:style w:type="character" w:customStyle="1" w:styleId="29">
    <w:name w:val="正文文本缩进 3 字符"/>
    <w:basedOn w:val="17"/>
    <w:link w:val="12"/>
    <w:semiHidden/>
    <w:qFormat/>
    <w:uiPriority w:val="99"/>
    <w:rPr>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Template>
  <Pages>14</Pages>
  <Words>7343</Words>
  <Characters>8009</Characters>
  <Lines>55</Lines>
  <Paragraphs>15</Paragraphs>
  <TotalTime>0</TotalTime>
  <ScaleCrop>false</ScaleCrop>
  <LinksUpToDate>false</LinksUpToDate>
  <CharactersWithSpaces>9416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2022-09-08T05:23:28Z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DBD2AB06E4544A54BED494D8D8E221BA</vt:lpwstr>
  </property>
</Properties>
</file>