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bookmarkStart w:id="0" w:name="管理者代表"/>
            <w:r>
              <w:rPr>
                <w:rFonts w:hint="eastAsia"/>
                <w:sz w:val="24"/>
                <w:szCs w:val="24"/>
              </w:rPr>
              <w:t>张雅丽</w:t>
            </w:r>
            <w:bookmarkEnd w:id="0"/>
            <w:r>
              <w:rPr>
                <w:rFonts w:hint="eastAsia"/>
                <w:sz w:val="24"/>
                <w:szCs w:val="24"/>
                <w:lang w:eastAsia="zh-CN"/>
              </w:rPr>
              <w:t>，</w:t>
            </w:r>
            <w:r>
              <w:rPr>
                <w:rFonts w:hint="eastAsia"/>
                <w:sz w:val="24"/>
                <w:szCs w:val="24"/>
              </w:rPr>
              <w:t>陪同人员：</w:t>
            </w:r>
            <w:r>
              <w:rPr>
                <w:rFonts w:hint="eastAsia" w:ascii="宋体" w:hAnsi="宋体" w:eastAsia="宋体" w:cs="宋体"/>
                <w:sz w:val="21"/>
                <w:szCs w:val="21"/>
                <w:lang w:val="en-US" w:eastAsia="zh-CN"/>
              </w:rPr>
              <w:t>杨丹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w:t>
            </w:r>
            <w:r>
              <w:rPr>
                <w:rFonts w:hint="eastAsia"/>
                <w:sz w:val="24"/>
                <w:szCs w:val="24"/>
              </w:rPr>
              <w:t>审核时间：</w:t>
            </w:r>
            <w:bookmarkStart w:id="1" w:name="审核日期"/>
            <w:r>
              <w:t xml:space="preserve">2022年08月13日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ascii="宋体" w:hAnsi="宋体"/>
                <w:sz w:val="21"/>
                <w:szCs w:val="21"/>
              </w:rPr>
            </w:pPr>
            <w:r>
              <w:rPr>
                <w:rFonts w:hint="eastAsia"/>
                <w:sz w:val="24"/>
                <w:szCs w:val="24"/>
              </w:rPr>
              <w:t>审核条款：</w:t>
            </w:r>
            <w:r>
              <w:rPr>
                <w:rFonts w:hint="eastAsia" w:ascii="宋体" w:hAnsi="宋体"/>
                <w:sz w:val="21"/>
                <w:szCs w:val="21"/>
              </w:rPr>
              <w:t>管理层</w:t>
            </w:r>
          </w:p>
          <w:p>
            <w:pPr>
              <w:tabs>
                <w:tab w:val="left" w:pos="709"/>
              </w:tabs>
              <w:ind w:right="57"/>
              <w:jc w:val="left"/>
              <w:rPr>
                <w:rFonts w:hint="default" w:ascii="宋体" w:hAnsi="宋体" w:eastAsia="宋体"/>
                <w:sz w:val="21"/>
                <w:szCs w:val="21"/>
                <w:lang w:val="en-US" w:eastAsia="zh-CN"/>
              </w:rPr>
            </w:pPr>
            <w:r>
              <w:rPr>
                <w:rFonts w:hint="eastAsia" w:ascii="宋体" w:hAnsi="宋体"/>
                <w:sz w:val="21"/>
                <w:szCs w:val="21"/>
              </w:rPr>
              <w:t>QMS：4.1,4.2,4.3,4.4,</w:t>
            </w:r>
            <w:r>
              <w:rPr>
                <w:rFonts w:ascii="宋体" w:hAnsi="宋体"/>
                <w:sz w:val="21"/>
                <w:szCs w:val="21"/>
              </w:rPr>
              <w:t>5.2</w:t>
            </w:r>
            <w:r>
              <w:rPr>
                <w:rFonts w:hint="eastAsia" w:ascii="宋体" w:hAnsi="宋体"/>
                <w:sz w:val="21"/>
                <w:szCs w:val="21"/>
              </w:rPr>
              <w:t xml:space="preserve">, </w:t>
            </w:r>
            <w:r>
              <w:rPr>
                <w:rFonts w:ascii="宋体" w:hAnsi="宋体"/>
                <w:sz w:val="21"/>
                <w:szCs w:val="21"/>
              </w:rPr>
              <w:t>5.3</w:t>
            </w:r>
            <w:r>
              <w:rPr>
                <w:rFonts w:hint="eastAsia" w:ascii="宋体" w:hAnsi="宋体"/>
                <w:sz w:val="21"/>
                <w:szCs w:val="21"/>
              </w:rPr>
              <w:t>,6.1.6.2.</w:t>
            </w:r>
            <w:r>
              <w:rPr>
                <w:rFonts w:ascii="宋体" w:hAnsi="宋体"/>
                <w:sz w:val="21"/>
                <w:szCs w:val="21"/>
              </w:rPr>
              <w:t>6.3</w:t>
            </w:r>
            <w:r>
              <w:rPr>
                <w:rFonts w:hint="eastAsia" w:ascii="宋体" w:hAnsi="宋体"/>
                <w:sz w:val="21"/>
                <w:szCs w:val="21"/>
              </w:rPr>
              <w:t>, 9.3,</w:t>
            </w:r>
            <w:r>
              <w:rPr>
                <w:rFonts w:hint="eastAsia" w:ascii="宋体" w:hAnsi="宋体"/>
                <w:sz w:val="21"/>
                <w:szCs w:val="21"/>
                <w:lang w:val="en-US" w:eastAsia="zh-CN"/>
              </w:rPr>
              <w:t>10.2</w:t>
            </w:r>
          </w:p>
          <w:p>
            <w:pPr>
              <w:tabs>
                <w:tab w:val="left" w:pos="709"/>
              </w:tabs>
              <w:ind w:right="57"/>
              <w:jc w:val="left"/>
              <w:rPr>
                <w:rFonts w:hint="default" w:ascii="宋体" w:hAnsi="宋体" w:eastAsia="宋体"/>
                <w:sz w:val="21"/>
                <w:szCs w:val="21"/>
                <w:lang w:val="en-US" w:eastAsia="zh-CN"/>
              </w:rPr>
            </w:pPr>
            <w:r>
              <w:rPr>
                <w:rFonts w:hint="eastAsia" w:ascii="宋体" w:hAnsi="宋体"/>
                <w:sz w:val="21"/>
                <w:szCs w:val="21"/>
              </w:rPr>
              <w:t>EMS：4.1,4.2 ,4.3,4.4, 5.2, 5.3,6.1 ,6.2,9.3,</w:t>
            </w:r>
            <w:r>
              <w:rPr>
                <w:rFonts w:hint="eastAsia" w:ascii="宋体" w:hAnsi="宋体"/>
                <w:sz w:val="21"/>
                <w:szCs w:val="21"/>
                <w:lang w:val="en-US" w:eastAsia="zh-CN"/>
              </w:rPr>
              <w:t>10.2</w:t>
            </w:r>
          </w:p>
          <w:p>
            <w:pPr>
              <w:rPr>
                <w:rFonts w:hint="default" w:eastAsia="宋体"/>
                <w:sz w:val="24"/>
                <w:szCs w:val="24"/>
                <w:lang w:val="en-US" w:eastAsia="zh-CN"/>
              </w:rPr>
            </w:pPr>
            <w:r>
              <w:rPr>
                <w:rFonts w:hint="eastAsia" w:ascii="宋体" w:hAnsi="宋体"/>
                <w:sz w:val="21"/>
                <w:szCs w:val="21"/>
              </w:rPr>
              <w:t>OHS：4.1, 4.2, 4.3, 4.4,  5.2 ,5.3 ,6.1, 6.2,9.3,</w:t>
            </w:r>
            <w:r>
              <w:rPr>
                <w:rFonts w:hint="eastAsia" w:ascii="宋体" w:hAnsi="宋体"/>
                <w:sz w:val="21"/>
                <w:szCs w:val="21"/>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 w:val="21"/>
                <w:szCs w:val="21"/>
              </w:rPr>
              <w:t>影响企业管理体系预期结果的风险识别与应对，包括相关方需求识别和应对，以及风险识别与应对机制的建立</w:t>
            </w:r>
          </w:p>
        </w:tc>
        <w:tc>
          <w:tcPr>
            <w:tcW w:w="960" w:type="dxa"/>
          </w:tcPr>
          <w:p>
            <w:r>
              <w:rPr>
                <w:rFonts w:hint="eastAsia"/>
                <w:sz w:val="21"/>
                <w:szCs w:val="21"/>
                <w:lang w:val="en-US" w:eastAsia="zh-CN"/>
              </w:rPr>
              <w:t>QES4.1、4.2、6.1；</w:t>
            </w:r>
          </w:p>
        </w:tc>
        <w:tc>
          <w:tcPr>
            <w:tcW w:w="10004" w:type="dxa"/>
          </w:tcPr>
          <w:p>
            <w:pPr>
              <w:rPr>
                <w:rFonts w:hint="default"/>
                <w:lang w:val="en-US" w:eastAsia="zh-CN"/>
              </w:rPr>
            </w:pPr>
            <w:r>
              <w:rPr>
                <w:rFonts w:hint="eastAsia"/>
              </w:rPr>
              <w:t>法人：</w:t>
            </w:r>
            <w:r>
              <w:rPr>
                <w:rFonts w:hint="eastAsia"/>
                <w:lang w:eastAsia="zh-CN"/>
              </w:rPr>
              <w:t>李昌阳</w:t>
            </w:r>
            <w:r>
              <w:rPr>
                <w:rFonts w:hint="eastAsia"/>
              </w:rPr>
              <w:t>，总经理：</w:t>
            </w:r>
            <w:r>
              <w:rPr>
                <w:rFonts w:hint="eastAsia"/>
                <w:lang w:eastAsia="zh-CN"/>
              </w:rPr>
              <w:t>李昌阳</w:t>
            </w:r>
            <w:r>
              <w:rPr>
                <w:rFonts w:hint="eastAsia"/>
              </w:rPr>
              <w:t>。</w:t>
            </w:r>
            <w:r>
              <w:rPr>
                <w:rFonts w:hint="eastAsia"/>
                <w:highlight w:val="none"/>
                <w:lang w:val="en-US" w:eastAsia="zh-CN"/>
              </w:rPr>
              <w:t>管代：张亚丽</w:t>
            </w:r>
          </w:p>
          <w:p>
            <w:pPr>
              <w:pStyle w:val="2"/>
              <w:rPr>
                <w:rFonts w:hint="eastAsia"/>
              </w:rPr>
            </w:pPr>
            <w:r>
              <w:rPr>
                <w:rFonts w:hint="eastAsia"/>
                <w:lang w:val="en-US" w:eastAsia="zh-CN"/>
              </w:rPr>
              <w:t>---</w:t>
            </w:r>
            <w:r>
              <w:rPr>
                <w:rFonts w:hint="eastAsia"/>
              </w:rPr>
              <w:t>宜昌市宝业建筑工业化有限公司成立于2019年，是由中国500强企业宝业集团与伍家岗区政府投资平台公司宜昌伍家新城投资控股集团有限公司本着“优势互补、合作共赢”的原则共同出资成立，注册资本金20640万元，是伍家岗区政府投资平台公司与民营企业成立的首家混合所有制企业。公司主营业务为事业部销售建筑工业化部品部件、商品砼以及施工总承包，下属全资子公司宜昌宝业建筑工程有限公司，积极参与宜昌市民生工程建设，承接了伍家岗区老旧小区改造项目。</w:t>
            </w:r>
          </w:p>
          <w:p>
            <w:pPr>
              <w:pStyle w:val="18"/>
              <w:spacing w:line="240" w:lineRule="auto"/>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以顾客为关注焦点，对影响</w:t>
            </w:r>
            <w:r>
              <w:rPr>
                <w:rFonts w:hint="eastAsia"/>
                <w:sz w:val="21"/>
                <w:szCs w:val="21"/>
              </w:rPr>
              <w:t>公司</w:t>
            </w:r>
            <w:r>
              <w:rPr>
                <w:rFonts w:hint="eastAsia"/>
                <w:sz w:val="21"/>
                <w:szCs w:val="21"/>
                <w:lang w:val="en-US" w:eastAsia="zh-CN"/>
              </w:rPr>
              <w:t>管理体系预期结果的相关方进行了全面的识别和评价，</w:t>
            </w:r>
            <w:r>
              <w:rPr>
                <w:rFonts w:hint="eastAsia"/>
                <w:sz w:val="21"/>
                <w:szCs w:val="21"/>
              </w:rPr>
              <w:t>策划了</w:t>
            </w:r>
            <w:r>
              <w:rPr>
                <w:rFonts w:hint="eastAsia"/>
                <w:sz w:val="21"/>
                <w:szCs w:val="21"/>
                <w:lang w:eastAsia="zh-CN"/>
              </w:rPr>
              <w:t>“</w:t>
            </w:r>
            <w:r>
              <w:rPr>
                <w:rFonts w:hint="eastAsia"/>
                <w:sz w:val="21"/>
                <w:szCs w:val="21"/>
              </w:rPr>
              <w:t>组</w:t>
            </w:r>
            <w:r>
              <w:rPr>
                <w:rFonts w:hint="eastAsia"/>
                <w:sz w:val="21"/>
                <w:szCs w:val="21"/>
                <w:lang w:val="zh-CN"/>
              </w:rPr>
              <w:t>对相关方施加影响控制程序</w:t>
            </w:r>
            <w:r>
              <w:rPr>
                <w:rFonts w:hint="eastAsia"/>
                <w:sz w:val="21"/>
                <w:szCs w:val="21"/>
                <w:lang w:eastAsia="zh-CN"/>
              </w:rPr>
              <w:t>”、“</w:t>
            </w:r>
            <w:r>
              <w:rPr>
                <w:rFonts w:hint="eastAsia"/>
                <w:sz w:val="21"/>
                <w:szCs w:val="21"/>
                <w:lang w:val="zh-CN" w:eastAsia="zh-CN"/>
              </w:rPr>
              <w:t>环境因素识别与评价控制程序</w:t>
            </w:r>
            <w:r>
              <w:rPr>
                <w:rFonts w:hint="eastAsia"/>
                <w:sz w:val="21"/>
                <w:szCs w:val="21"/>
                <w:lang w:eastAsia="zh-CN"/>
              </w:rPr>
              <w:t>”、</w:t>
            </w:r>
            <w:r>
              <w:rPr>
                <w:rFonts w:hint="eastAsia" w:cs="Times New Roman"/>
                <w:sz w:val="21"/>
                <w:szCs w:val="21"/>
                <w:lang w:val="en-US" w:eastAsia="zh-CN"/>
              </w:rPr>
              <w:t>“</w:t>
            </w:r>
            <w:r>
              <w:rPr>
                <w:rFonts w:hint="default" w:cs="Times New Roman"/>
                <w:sz w:val="21"/>
                <w:szCs w:val="21"/>
                <w:lang w:val="en-US" w:eastAsia="zh-CN"/>
              </w:rPr>
              <w:t>危险源识别与风险评价控制程序</w:t>
            </w:r>
            <w:r>
              <w:rPr>
                <w:rFonts w:hint="eastAsia" w:cs="Times New Roman"/>
                <w:sz w:val="21"/>
                <w:szCs w:val="21"/>
                <w:lang w:val="en-US" w:eastAsia="zh-CN"/>
              </w:rPr>
              <w:t>”、</w:t>
            </w:r>
            <w:r>
              <w:rPr>
                <w:rFonts w:hint="eastAsia"/>
                <w:sz w:val="21"/>
                <w:szCs w:val="21"/>
              </w:rPr>
              <w:t>“</w:t>
            </w:r>
            <w:r>
              <w:rPr>
                <w:rFonts w:hint="eastAsia"/>
                <w:sz w:val="21"/>
                <w:szCs w:val="21"/>
                <w:lang w:val="zh-CN"/>
              </w:rPr>
              <w:t>法律与其它要求控制程序</w:t>
            </w:r>
            <w:r>
              <w:rPr>
                <w:rFonts w:hint="eastAsia"/>
                <w:sz w:val="21"/>
                <w:szCs w:val="21"/>
              </w:rPr>
              <w:t>”、“顾客满意度测量控制程序”</w:t>
            </w:r>
            <w:r>
              <w:rPr>
                <w:rFonts w:hint="eastAsia"/>
                <w:sz w:val="21"/>
                <w:szCs w:val="21"/>
                <w:lang w:val="en-US" w:eastAsia="zh-CN"/>
              </w:rPr>
              <w:t>等</w:t>
            </w:r>
            <w:r>
              <w:rPr>
                <w:rFonts w:hint="eastAsia"/>
                <w:sz w:val="21"/>
                <w:szCs w:val="21"/>
              </w:rPr>
              <w:t>。</w:t>
            </w:r>
          </w:p>
          <w:p>
            <w:pPr>
              <w:pStyle w:val="18"/>
              <w:spacing w:line="240" w:lineRule="auto"/>
              <w:ind w:firstLine="420" w:firstLineChars="200"/>
              <w:rPr>
                <w:rFonts w:hint="default" w:ascii="Times New Roman" w:hAnsi="Times New Roman"/>
                <w:sz w:val="21"/>
                <w:szCs w:val="21"/>
                <w:lang w:val="en-US" w:eastAsia="zh-CN"/>
              </w:rPr>
            </w:pPr>
            <w:r>
              <w:rPr>
                <w:rFonts w:hint="eastAsia" w:ascii="Times New Roman" w:hAnsi="Times New Roman"/>
                <w:sz w:val="21"/>
                <w:szCs w:val="21"/>
                <w:lang w:val="en-US" w:eastAsia="zh-CN"/>
              </w:rPr>
              <w:t>出示有“风险和机遇评估分析表”，基于风险的思维对可能导致对过程和预期结果产生影响的公司内外部的因素、风险和机遇及与管理体系有关的相关方的信息进行了监视与评审。</w:t>
            </w:r>
          </w:p>
          <w:p>
            <w:pPr>
              <w:pStyle w:val="2"/>
              <w:rPr>
                <w:rFonts w:hint="eastAsia"/>
                <w:lang w:val="en-US" w:eastAsia="zh-CN"/>
              </w:rPr>
            </w:pPr>
            <w:r>
              <w:rPr>
                <w:rFonts w:hint="eastAsia"/>
                <w:lang w:val="en-US" w:eastAsia="zh-CN"/>
              </w:rPr>
              <w:t>抽：法律、法规内容的变化 </w:t>
            </w:r>
          </w:p>
          <w:p>
            <w:pPr>
              <w:pStyle w:val="2"/>
              <w:rPr>
                <w:rFonts w:hint="eastAsia"/>
                <w:lang w:val="en-US" w:eastAsia="zh-CN"/>
              </w:rPr>
            </w:pPr>
            <w:r>
              <w:rPr>
                <w:rFonts w:hint="eastAsia"/>
                <w:lang w:val="en-US" w:eastAsia="zh-CN"/>
              </w:rPr>
              <w:t>风险：公司是是否充分及时收集评估，并转化为公司制度执行，符合新法规要求。 机遇：公司产品机构调整，给公司带来潜在的客户 </w:t>
            </w:r>
          </w:p>
          <w:p>
            <w:pPr>
              <w:pStyle w:val="2"/>
              <w:rPr>
                <w:rFonts w:hint="eastAsia"/>
                <w:lang w:val="en-US" w:eastAsia="zh-CN"/>
              </w:rPr>
            </w:pPr>
            <w:r>
              <w:rPr>
                <w:rFonts w:hint="eastAsia"/>
                <w:lang w:val="en-US" w:eastAsia="zh-CN"/>
              </w:rPr>
              <w:t>风险及机遇应对措施 ：</w:t>
            </w:r>
          </w:p>
          <w:p>
            <w:pPr>
              <w:pStyle w:val="2"/>
              <w:numPr>
                <w:ilvl w:val="0"/>
                <w:numId w:val="1"/>
              </w:numPr>
              <w:rPr>
                <w:rFonts w:hint="eastAsia"/>
                <w:lang w:val="en-US" w:eastAsia="zh-CN"/>
              </w:rPr>
            </w:pPr>
            <w:r>
              <w:rPr>
                <w:rFonts w:hint="eastAsia"/>
                <w:lang w:val="en-US" w:eastAsia="zh-CN"/>
              </w:rPr>
              <w:t>主要职能部门按照要求定期收集评法律法规  </w:t>
            </w:r>
          </w:p>
          <w:p>
            <w:pPr>
              <w:pStyle w:val="2"/>
              <w:numPr>
                <w:ilvl w:val="0"/>
                <w:numId w:val="1"/>
              </w:numPr>
              <w:rPr>
                <w:rFonts w:hint="eastAsia"/>
                <w:lang w:val="en-US" w:eastAsia="zh-CN"/>
              </w:rPr>
            </w:pPr>
            <w:r>
              <w:rPr>
                <w:rFonts w:hint="eastAsia"/>
                <w:lang w:val="en-US" w:eastAsia="zh-CN"/>
              </w:rPr>
              <w:t>销售部门加大市场开拓</w:t>
            </w:r>
          </w:p>
          <w:p>
            <w:pPr>
              <w:pStyle w:val="2"/>
              <w:numPr>
                <w:ilvl w:val="0"/>
                <w:numId w:val="0"/>
              </w:numPr>
              <w:rPr>
                <w:rFonts w:hint="eastAsia"/>
                <w:lang w:val="en-US" w:eastAsia="zh-CN"/>
              </w:rPr>
            </w:pPr>
          </w:p>
          <w:p>
            <w:pPr>
              <w:pStyle w:val="2"/>
              <w:numPr>
                <w:ilvl w:val="0"/>
                <w:numId w:val="0"/>
              </w:numPr>
              <w:rPr>
                <w:rFonts w:hint="default"/>
                <w:lang w:val="en-US" w:eastAsia="zh-CN"/>
              </w:rPr>
            </w:pPr>
            <w:r>
              <w:rPr>
                <w:rFonts w:hint="eastAsia"/>
                <w:lang w:val="en-US" w:eastAsia="zh-CN"/>
              </w:rPr>
              <w:t>——年度保持基本符合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1"/>
                <w:szCs w:val="21"/>
              </w:rPr>
            </w:pPr>
            <w:r>
              <w:rPr>
                <w:rFonts w:hint="eastAsia" w:ascii="宋体"/>
                <w:sz w:val="21"/>
                <w:szCs w:val="21"/>
              </w:rPr>
              <w:t>管理体系范围确定的适宜性和充分性</w:t>
            </w:r>
          </w:p>
          <w:p>
            <w:pPr>
              <w:spacing w:line="240" w:lineRule="auto"/>
              <w:rPr>
                <w:rFonts w:hint="eastAsia" w:ascii="宋体"/>
                <w:sz w:val="21"/>
                <w:szCs w:val="21"/>
              </w:rPr>
            </w:pPr>
            <w:r>
              <w:rPr>
                <w:rFonts w:hint="eastAsia" w:ascii="宋体"/>
                <w:sz w:val="21"/>
                <w:szCs w:val="21"/>
              </w:rPr>
              <w:t>管理体系策划、建立、</w:t>
            </w:r>
          </w:p>
          <w:p>
            <w:pPr>
              <w:spacing w:line="240" w:lineRule="auto"/>
              <w:rPr>
                <w:rFonts w:hint="eastAsia" w:ascii="宋体"/>
                <w:sz w:val="21"/>
                <w:szCs w:val="21"/>
              </w:rPr>
            </w:pPr>
            <w:r>
              <w:rPr>
                <w:rFonts w:hint="eastAsia" w:ascii="宋体"/>
                <w:sz w:val="21"/>
                <w:szCs w:val="21"/>
              </w:rPr>
              <w:t>变更的策划</w:t>
            </w:r>
          </w:p>
          <w:p/>
        </w:tc>
        <w:tc>
          <w:tcPr>
            <w:tcW w:w="960" w:type="dxa"/>
          </w:tcPr>
          <w:p>
            <w:pPr>
              <w:spacing w:line="240" w:lineRule="auto"/>
              <w:rPr>
                <w:rFonts w:hint="eastAsia"/>
                <w:sz w:val="21"/>
                <w:szCs w:val="21"/>
                <w:lang w:val="en-US" w:eastAsia="zh-CN"/>
              </w:rPr>
            </w:pPr>
            <w:r>
              <w:rPr>
                <w:rFonts w:hint="eastAsia"/>
                <w:sz w:val="21"/>
                <w:szCs w:val="21"/>
                <w:lang w:val="en-US" w:eastAsia="zh-CN"/>
              </w:rPr>
              <w:t>QES4.3/4.4;</w:t>
            </w:r>
          </w:p>
          <w:p>
            <w:r>
              <w:rPr>
                <w:rFonts w:hint="eastAsia"/>
                <w:sz w:val="21"/>
                <w:szCs w:val="21"/>
                <w:lang w:val="en-US" w:eastAsia="zh-CN"/>
              </w:rPr>
              <w:t>Q6.3</w:t>
            </w:r>
          </w:p>
        </w:tc>
        <w:tc>
          <w:tcPr>
            <w:tcW w:w="10004" w:type="dxa"/>
          </w:tcPr>
          <w:p>
            <w:pPr>
              <w:spacing w:line="240" w:lineRule="auto"/>
              <w:rPr>
                <w:rFonts w:hint="eastAsia"/>
                <w:sz w:val="21"/>
                <w:szCs w:val="21"/>
                <w:lang w:val="en-US" w:eastAsia="zh-CN"/>
              </w:rPr>
            </w:pPr>
            <w:r>
              <w:rPr>
                <w:rFonts w:hint="eastAsia"/>
                <w:sz w:val="21"/>
                <w:szCs w:val="21"/>
                <w:lang w:val="en-US" w:eastAsia="zh-CN"/>
              </w:rPr>
              <w:t>---查管理手册4.3确定质量环境职业健康安全管理体系的范围：</w:t>
            </w:r>
            <w:bookmarkStart w:id="2" w:name="审核范围"/>
          </w:p>
          <w:bookmarkEnd w:id="2"/>
          <w:p>
            <w:pPr>
              <w:pStyle w:val="18"/>
              <w:spacing w:line="240" w:lineRule="auto"/>
              <w:rPr>
                <w:sz w:val="21"/>
                <w:szCs w:val="21"/>
              </w:rPr>
            </w:pPr>
            <w:r>
              <w:rPr>
                <w:sz w:val="21"/>
                <w:szCs w:val="21"/>
              </w:rPr>
              <w:t>Q：预拌混凝土、预制构件的生产（限资质范围内）及销售</w:t>
            </w:r>
          </w:p>
          <w:p>
            <w:pPr>
              <w:pStyle w:val="18"/>
              <w:spacing w:line="240" w:lineRule="auto"/>
              <w:rPr>
                <w:sz w:val="21"/>
                <w:szCs w:val="21"/>
              </w:rPr>
            </w:pPr>
            <w:r>
              <w:rPr>
                <w:sz w:val="21"/>
                <w:szCs w:val="21"/>
              </w:rPr>
              <w:t>E：预拌混凝土、预制构件的生产（限资质范围内）及销售所涉及场所的相关环境管理活动</w:t>
            </w:r>
          </w:p>
          <w:p>
            <w:pPr>
              <w:pStyle w:val="18"/>
              <w:spacing w:line="240" w:lineRule="auto"/>
              <w:rPr>
                <w:sz w:val="21"/>
                <w:szCs w:val="21"/>
              </w:rPr>
            </w:pPr>
            <w:r>
              <w:rPr>
                <w:sz w:val="21"/>
                <w:szCs w:val="21"/>
              </w:rPr>
              <w:t>O：预拌混凝土、预制构件的生产（限资质范围内）及销售所涉及场所的相关职业健康安全管理活动</w:t>
            </w:r>
          </w:p>
          <w:p>
            <w:pPr>
              <w:pStyle w:val="18"/>
              <w:spacing w:line="240" w:lineRule="auto"/>
              <w:rPr>
                <w:rFonts w:hint="eastAsia" w:ascii="Times New Roman" w:hAnsi="Times New Roman" w:cs="Times New Roman" w:eastAsiaTheme="minorEastAsia"/>
                <w:sz w:val="21"/>
                <w:szCs w:val="21"/>
                <w:highlight w:val="yellow"/>
                <w:lang w:val="en-US" w:eastAsia="zh-CN"/>
              </w:rPr>
            </w:pPr>
            <w:r>
              <w:rPr>
                <w:rFonts w:hint="eastAsia"/>
                <w:sz w:val="21"/>
                <w:szCs w:val="21"/>
                <w:lang w:val="en-US" w:eastAsia="zh-CN"/>
              </w:rPr>
              <w:t>原注册地址：</w:t>
            </w:r>
            <w:bookmarkStart w:id="3" w:name="注册地址"/>
            <w:r>
              <w:rPr>
                <w:rFonts w:hint="eastAsia"/>
                <w:sz w:val="21"/>
                <w:szCs w:val="21"/>
              </w:rPr>
              <w:t>宜昌市伍家岗区东艳路29号</w:t>
            </w:r>
            <w:bookmarkEnd w:id="3"/>
            <w:r>
              <w:rPr>
                <w:rFonts w:hint="eastAsia"/>
                <w:sz w:val="21"/>
                <w:szCs w:val="21"/>
                <w:lang w:eastAsia="zh-CN"/>
              </w:rPr>
              <w:t>；</w:t>
            </w:r>
            <w:r>
              <w:rPr>
                <w:rFonts w:hint="eastAsia"/>
                <w:sz w:val="21"/>
                <w:szCs w:val="21"/>
                <w:lang w:val="en-US" w:eastAsia="zh-CN"/>
              </w:rPr>
              <w:t>变更为：</w:t>
            </w:r>
            <w:r>
              <w:rPr>
                <w:rFonts w:hint="eastAsia"/>
                <w:sz w:val="21"/>
                <w:szCs w:val="21"/>
              </w:rPr>
              <w:t>宜昌市伍家岗区桔乡路489号</w:t>
            </w:r>
            <w:r>
              <w:rPr>
                <w:rFonts w:hint="eastAsia"/>
                <w:sz w:val="21"/>
                <w:szCs w:val="21"/>
                <w:lang w:eastAsia="zh-CN"/>
              </w:rPr>
              <w:t>；</w:t>
            </w:r>
          </w:p>
          <w:p>
            <w:pPr>
              <w:pStyle w:val="18"/>
              <w:spacing w:line="240" w:lineRule="auto"/>
              <w:rPr>
                <w:rFonts w:hint="default"/>
                <w:sz w:val="21"/>
                <w:szCs w:val="21"/>
                <w:lang w:val="en-US" w:eastAsia="zh-CN"/>
              </w:rPr>
            </w:pPr>
            <w:r>
              <w:rPr>
                <w:rFonts w:hint="eastAsia"/>
                <w:sz w:val="21"/>
                <w:szCs w:val="21"/>
                <w:lang w:val="en-US" w:eastAsia="zh-CN"/>
              </w:rPr>
              <w:t>生产及办公地址：</w:t>
            </w:r>
            <w:bookmarkStart w:id="4" w:name="生产地址"/>
            <w:r>
              <w:rPr>
                <w:rFonts w:hint="eastAsia"/>
                <w:sz w:val="21"/>
                <w:szCs w:val="21"/>
                <w:lang w:val="en-US" w:eastAsia="zh-CN"/>
              </w:rPr>
              <w:t>宜昌市伍家岗区桔乡路489号</w:t>
            </w:r>
            <w:bookmarkEnd w:id="4"/>
            <w:r>
              <w:rPr>
                <w:rFonts w:hint="eastAsia"/>
                <w:sz w:val="21"/>
                <w:szCs w:val="21"/>
                <w:lang w:val="en-US" w:eastAsia="zh-CN"/>
              </w:rPr>
              <w:t>；</w:t>
            </w:r>
          </w:p>
          <w:p>
            <w:pPr>
              <w:spacing w:line="240" w:lineRule="auto"/>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经识别的外包过程：</w:t>
            </w:r>
            <w:r>
              <w:rPr>
                <w:rFonts w:hint="eastAsia" w:cs="Times New Roman"/>
                <w:sz w:val="21"/>
                <w:szCs w:val="21"/>
                <w:highlight w:val="none"/>
                <w:lang w:val="en-US" w:eastAsia="zh-CN"/>
              </w:rPr>
              <w:t>无</w:t>
            </w:r>
          </w:p>
          <w:p>
            <w:pPr>
              <w:pStyle w:val="18"/>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查组</w:t>
            </w:r>
            <w:r>
              <w:rPr>
                <w:rFonts w:hint="eastAsia" w:ascii="Times New Roman" w:hAnsi="Times New Roman" w:eastAsia="宋体" w:cs="Times New Roman"/>
                <w:kern w:val="2"/>
                <w:sz w:val="21"/>
                <w:szCs w:val="21"/>
                <w:lang w:val="en-US" w:eastAsia="zh-CN" w:bidi="ar-SA"/>
              </w:rPr>
              <w:t>织机构图：覆盖的部门为总经理领导下的综合部、市场部、</w:t>
            </w:r>
            <w:r>
              <w:rPr>
                <w:rFonts w:hint="eastAsia" w:ascii="Times New Roman" w:hAnsi="Times New Roman" w:cs="Times New Roman"/>
                <w:kern w:val="2"/>
                <w:sz w:val="21"/>
                <w:szCs w:val="21"/>
                <w:lang w:val="en-US" w:eastAsia="zh-CN" w:bidi="ar-SA"/>
              </w:rPr>
              <w:t>PC事业部</w:t>
            </w:r>
            <w:r>
              <w:rPr>
                <w:rFonts w:hint="eastAsia" w:ascii="Times New Roman" w:hAnsi="Times New Roman" w:eastAsia="宋体" w:cs="Times New Roman"/>
                <w:kern w:val="2"/>
                <w:sz w:val="21"/>
                <w:szCs w:val="21"/>
                <w:lang w:val="en-US" w:eastAsia="zh-CN" w:bidi="ar-SA"/>
              </w:rPr>
              <w:t>、</w:t>
            </w:r>
            <w:r>
              <w:rPr>
                <w:rFonts w:hint="eastAsia" w:ascii="Times New Roman" w:hAnsi="Times New Roman" w:cs="Times New Roman"/>
                <w:kern w:val="2"/>
                <w:sz w:val="21"/>
                <w:szCs w:val="21"/>
                <w:lang w:val="en-US" w:eastAsia="zh-CN" w:bidi="ar-SA"/>
              </w:rPr>
              <w:t>预拌混凝土事业部（含实验室）、财务部</w:t>
            </w:r>
            <w:r>
              <w:rPr>
                <w:rFonts w:hint="eastAsia" w:ascii="Times New Roman" w:hAnsi="Times New Roman" w:eastAsia="宋体" w:cs="Times New Roman"/>
                <w:kern w:val="2"/>
                <w:sz w:val="21"/>
                <w:szCs w:val="21"/>
                <w:lang w:val="en-US" w:eastAsia="zh-CN" w:bidi="ar-SA"/>
              </w:rPr>
              <w:t>组成</w:t>
            </w:r>
            <w:r>
              <w:rPr>
                <w:rFonts w:hint="eastAsia" w:ascii="Times New Roman" w:hAnsi="Times New Roman" w:eastAsia="宋体" w:cs="Times New Roman"/>
                <w:sz w:val="21"/>
                <w:szCs w:val="21"/>
                <w:lang w:val="en-US" w:eastAsia="zh-CN"/>
              </w:rPr>
              <w:t>。</w:t>
            </w:r>
          </w:p>
          <w:p>
            <w:pPr>
              <w:pStyle w:val="18"/>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——针对上述范围再一次与</w:t>
            </w:r>
            <w:r>
              <w:rPr>
                <w:rFonts w:hint="eastAsia" w:ascii="Times New Roman" w:hAnsi="Times New Roman" w:cs="Times New Roman"/>
                <w:sz w:val="21"/>
                <w:szCs w:val="21"/>
                <w:lang w:val="en-US" w:eastAsia="zh-CN"/>
              </w:rPr>
              <w:t>管代</w:t>
            </w:r>
            <w:r>
              <w:rPr>
                <w:rFonts w:hint="eastAsia" w:ascii="Times New Roman" w:hAnsi="Times New Roman" w:eastAsia="宋体" w:cs="Times New Roman"/>
                <w:sz w:val="21"/>
                <w:szCs w:val="21"/>
                <w:lang w:val="en-US" w:eastAsia="zh-CN"/>
              </w:rPr>
              <w:t>进行了确认。</w:t>
            </w:r>
          </w:p>
          <w:p>
            <w:pPr>
              <w:pStyle w:val="18"/>
              <w:spacing w:line="240" w:lineRule="auto"/>
              <w:rPr>
                <w:rFonts w:hint="eastAsia" w:ascii="Times New Roman" w:hAnsi="Times New Roman" w:eastAsia="宋体" w:cs="Times New Roman"/>
                <w:sz w:val="21"/>
                <w:szCs w:val="21"/>
                <w:lang w:val="en-US" w:eastAsia="zh-CN"/>
              </w:rPr>
            </w:pPr>
          </w:p>
          <w:p>
            <w:pPr>
              <w:spacing w:line="240" w:lineRule="auto"/>
              <w:jc w:val="left"/>
              <w:rPr>
                <w:sz w:val="21"/>
                <w:szCs w:val="21"/>
              </w:rPr>
            </w:pPr>
            <w:r>
              <w:rPr>
                <w:rFonts w:hint="eastAsia"/>
                <w:sz w:val="21"/>
                <w:szCs w:val="21"/>
                <w:lang w:val="en-US" w:eastAsia="zh-CN"/>
              </w:rPr>
              <w:t>--</w:t>
            </w:r>
            <w:r>
              <w:rPr>
                <w:rFonts w:hint="eastAsia"/>
                <w:sz w:val="21"/>
                <w:szCs w:val="21"/>
              </w:rPr>
              <w:t>建立管理体系的目的：</w:t>
            </w:r>
          </w:p>
          <w:p>
            <w:pPr>
              <w:spacing w:line="240" w:lineRule="auto"/>
              <w:jc w:val="left"/>
              <w:rPr>
                <w:rFonts w:hint="eastAsia" w:eastAsia="宋体"/>
                <w:sz w:val="21"/>
                <w:szCs w:val="21"/>
                <w:lang w:eastAsia="zh-CN"/>
              </w:rPr>
            </w:pPr>
            <w:r>
              <w:rPr>
                <w:rFonts w:hint="eastAsia"/>
                <w:sz w:val="21"/>
                <w:szCs w:val="21"/>
              </w:rPr>
              <w:t>公司领导说明根据</w:t>
            </w:r>
            <w:r>
              <w:rPr>
                <w:rFonts w:hint="eastAsia"/>
                <w:sz w:val="21"/>
                <w:szCs w:val="21"/>
                <w:lang w:val="en-US" w:eastAsia="zh-CN"/>
              </w:rPr>
              <w:t>评价星级建材</w:t>
            </w:r>
            <w:r>
              <w:rPr>
                <w:rFonts w:hint="eastAsia"/>
                <w:sz w:val="21"/>
                <w:szCs w:val="21"/>
              </w:rPr>
              <w:t>要求建立管理体系，也是为了进一步规范企业的管理</w:t>
            </w:r>
            <w:r>
              <w:rPr>
                <w:rFonts w:hint="eastAsia"/>
                <w:sz w:val="21"/>
                <w:szCs w:val="21"/>
                <w:lang w:eastAsia="zh-CN"/>
              </w:rPr>
              <w:t>。</w:t>
            </w:r>
          </w:p>
          <w:p>
            <w:pPr>
              <w:pStyle w:val="18"/>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w:t>
            </w:r>
            <w:r>
              <w:rPr>
                <w:rFonts w:hint="eastAsia" w:ascii="Times New Roman" w:hAnsi="Times New Roman" w:cs="Times New Roman"/>
                <w:sz w:val="21"/>
                <w:szCs w:val="21"/>
                <w:lang w:val="en-US" w:eastAsia="zh-CN"/>
              </w:rPr>
              <w:t>汇编</w:t>
            </w:r>
            <w:r>
              <w:rPr>
                <w:rFonts w:hint="eastAsia" w:ascii="Times New Roman" w:hAnsi="Times New Roman" w:eastAsia="宋体" w:cs="Times New Roman"/>
                <w:sz w:val="21"/>
                <w:szCs w:val="21"/>
                <w:lang w:val="en-US" w:eastAsia="zh-CN"/>
              </w:rPr>
              <w:t>、管理制度汇编--等。</w:t>
            </w:r>
          </w:p>
          <w:p>
            <w:pPr>
              <w:pStyle w:val="18"/>
              <w:spacing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在管理手册中包括QS整合的方针和目标、组织机构、职能分配表、各部门职责、流程图、管理体系要求等。</w:t>
            </w:r>
          </w:p>
          <w:p>
            <w:pPr>
              <w:pStyle w:val="18"/>
              <w:spacing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---变更的策划：管代说明建立管理体系至今无变化。</w:t>
            </w:r>
          </w:p>
          <w:p>
            <w:pPr>
              <w:pStyle w:val="18"/>
              <w:spacing w:line="240" w:lineRule="auto"/>
              <w:rPr>
                <w:rFonts w:hint="default" w:ascii="Times New Roman" w:hAnsi="Times New Roman" w:cs="Times New Roman"/>
                <w:sz w:val="21"/>
                <w:szCs w:val="21"/>
                <w:lang w:val="en-US" w:eastAsia="zh-CN"/>
              </w:rPr>
            </w:pPr>
          </w:p>
          <w:p>
            <w:r>
              <w:rPr>
                <w:rFonts w:hint="eastAsia" w:ascii="Times New Roman" w:hAnsi="Times New Roman" w:eastAsia="宋体" w:cs="Times New Roman"/>
                <w:sz w:val="21"/>
                <w:szCs w:val="21"/>
                <w:lang w:val="en-US" w:eastAsia="zh-CN"/>
              </w:rPr>
              <w:t>——上述经本次审核确认有效</w:t>
            </w:r>
            <w:r>
              <w:rPr>
                <w:rFonts w:hint="eastAsia" w:ascii="Times New Roman" w:hAnsi="Times New Roman" w:cs="Times New Roman"/>
                <w:sz w:val="21"/>
                <w:szCs w:val="21"/>
                <w:lang w:val="en-US" w:eastAsia="zh-CN"/>
              </w:rPr>
              <w:t>。</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组织方针、目标建立的适宜性和实施的有效性</w:t>
            </w:r>
          </w:p>
        </w:tc>
        <w:tc>
          <w:tcPr>
            <w:tcW w:w="960" w:type="dxa"/>
          </w:tcPr>
          <w:p>
            <w:r>
              <w:rPr>
                <w:rFonts w:hint="eastAsia"/>
                <w:lang w:val="en-US" w:eastAsia="zh-CN"/>
              </w:rPr>
              <w:t>QES</w:t>
            </w:r>
            <w:r>
              <w:rPr>
                <w:rFonts w:hint="eastAsia"/>
              </w:rPr>
              <w:t>5.2</w:t>
            </w:r>
            <w:r>
              <w:rPr>
                <w:rFonts w:hint="eastAsia"/>
                <w:lang w:val="en-US" w:eastAsia="zh-CN"/>
              </w:rPr>
              <w:t>/5.3/</w:t>
            </w:r>
            <w:r>
              <w:rPr>
                <w:rFonts w:hint="eastAsia"/>
              </w:rPr>
              <w:t>6.2</w:t>
            </w:r>
          </w:p>
        </w:tc>
        <w:tc>
          <w:tcPr>
            <w:tcW w:w="10004" w:type="dxa"/>
          </w:tcPr>
          <w:p>
            <w:pPr>
              <w:pStyle w:val="18"/>
              <w:rPr>
                <w:rFonts w:hint="eastAsia"/>
              </w:rPr>
            </w:pPr>
            <w:r>
              <w:rPr>
                <w:rFonts w:hint="eastAsia"/>
                <w:lang w:val="en-US" w:eastAsia="zh-CN"/>
              </w:rPr>
              <w:t>---</w:t>
            </w:r>
            <w:r>
              <w:rPr>
                <w:rFonts w:hint="eastAsia"/>
              </w:rPr>
              <w:t>在管理手册中建立公司的</w:t>
            </w:r>
            <w:r>
              <w:rPr>
                <w:rFonts w:hint="eastAsia" w:ascii="宋体" w:hAnsi="宋体" w:cs="宋体"/>
                <w:szCs w:val="21"/>
              </w:rPr>
              <w:t>组织架构</w:t>
            </w:r>
            <w:r>
              <w:rPr>
                <w:rFonts w:hint="eastAsia" w:ascii="宋体" w:hAnsi="宋体" w:cs="宋体"/>
                <w:szCs w:val="21"/>
                <w:lang w:val="en-US" w:eastAsia="zh-CN"/>
              </w:rPr>
              <w:t>,</w:t>
            </w:r>
            <w:r>
              <w:rPr>
                <w:rFonts w:hint="eastAsia"/>
              </w:rPr>
              <w:t>质量、环境和职业健康安全管理方针和目标，基本适宜。</w:t>
            </w:r>
          </w:p>
          <w:p>
            <w:pPr>
              <w:widowControl/>
              <w:overflowPunct w:val="0"/>
              <w:autoSpaceDE w:val="0"/>
              <w:autoSpaceDN w:val="0"/>
              <w:adjustRightInd w:val="0"/>
              <w:spacing w:line="400" w:lineRule="exact"/>
              <w:jc w:val="left"/>
              <w:textAlignment w:val="baseline"/>
              <w:rPr>
                <w:rFonts w:ascii="楷体" w:hAnsi="楷体" w:eastAsia="楷体"/>
                <w:b/>
                <w:kern w:val="0"/>
                <w:sz w:val="28"/>
                <w:szCs w:val="28"/>
              </w:rPr>
            </w:pPr>
            <w:r>
              <w:rPr>
                <w:rFonts w:hint="eastAsia" w:ascii="楷体" w:hAnsi="楷体" w:eastAsia="楷体"/>
                <w:b/>
                <w:kern w:val="0"/>
                <w:sz w:val="28"/>
                <w:szCs w:val="28"/>
              </w:rPr>
              <w:t>管理</w:t>
            </w:r>
            <w:r>
              <w:rPr>
                <w:rFonts w:ascii="楷体" w:hAnsi="楷体" w:eastAsia="楷体"/>
                <w:b/>
                <w:kern w:val="0"/>
                <w:sz w:val="28"/>
                <w:szCs w:val="28"/>
              </w:rPr>
              <w:t>方针：</w:t>
            </w:r>
          </w:p>
          <w:p>
            <w:pPr>
              <w:spacing w:line="360" w:lineRule="auto"/>
              <w:ind w:firstLine="562" w:firstLineChars="200"/>
              <w:jc w:val="center"/>
              <w:rPr>
                <w:rStyle w:val="12"/>
                <w:rFonts w:ascii="楷体" w:hAnsi="楷体" w:eastAsia="楷体"/>
                <w:color w:val="000000"/>
                <w:sz w:val="28"/>
                <w:szCs w:val="28"/>
              </w:rPr>
            </w:pPr>
            <w:r>
              <w:rPr>
                <w:rStyle w:val="12"/>
                <w:rFonts w:hint="eastAsia" w:ascii="楷体" w:hAnsi="楷体" w:eastAsia="楷体"/>
                <w:color w:val="000000"/>
                <w:sz w:val="28"/>
                <w:szCs w:val="28"/>
                <w:lang w:val="en-US" w:eastAsia="zh-CN"/>
              </w:rPr>
              <w:t>科学管理</w:t>
            </w:r>
            <w:r>
              <w:rPr>
                <w:rStyle w:val="12"/>
                <w:rFonts w:hint="eastAsia" w:ascii="楷体" w:hAnsi="楷体" w:eastAsia="楷体"/>
                <w:color w:val="000000"/>
                <w:sz w:val="28"/>
                <w:szCs w:val="28"/>
              </w:rPr>
              <w:t>，</w:t>
            </w:r>
            <w:r>
              <w:rPr>
                <w:rStyle w:val="12"/>
                <w:rFonts w:hint="eastAsia" w:ascii="楷体" w:hAnsi="楷体" w:eastAsia="楷体"/>
                <w:color w:val="000000"/>
                <w:sz w:val="28"/>
                <w:szCs w:val="28"/>
                <w:lang w:val="en-US" w:eastAsia="zh-CN"/>
              </w:rPr>
              <w:t>质优高效</w:t>
            </w:r>
            <w:r>
              <w:rPr>
                <w:rStyle w:val="12"/>
                <w:rFonts w:hint="eastAsia" w:ascii="楷体" w:hAnsi="楷体" w:eastAsia="楷体"/>
                <w:color w:val="000000"/>
                <w:sz w:val="28"/>
                <w:szCs w:val="28"/>
              </w:rPr>
              <w:t>；节能降耗，保护环境；</w:t>
            </w:r>
          </w:p>
          <w:p>
            <w:pPr>
              <w:spacing w:line="360" w:lineRule="auto"/>
              <w:ind w:left="0" w:leftChars="0" w:firstLine="1906" w:firstLineChars="678"/>
              <w:jc w:val="both"/>
              <w:rPr>
                <w:rFonts w:hint="eastAsia" w:ascii="楷体" w:hAnsi="楷体" w:eastAsia="楷体"/>
                <w:b/>
                <w:sz w:val="28"/>
                <w:szCs w:val="28"/>
                <w:lang w:eastAsia="zh-CN"/>
              </w:rPr>
            </w:pPr>
            <w:r>
              <w:rPr>
                <w:rStyle w:val="12"/>
                <w:rFonts w:hint="eastAsia" w:ascii="楷体" w:hAnsi="楷体" w:eastAsia="楷体"/>
                <w:color w:val="000000"/>
                <w:sz w:val="28"/>
                <w:szCs w:val="28"/>
              </w:rPr>
              <w:t>健康安全，</w:t>
            </w:r>
            <w:r>
              <w:rPr>
                <w:rStyle w:val="12"/>
                <w:rFonts w:hint="eastAsia" w:ascii="楷体" w:hAnsi="楷体" w:eastAsia="楷体"/>
                <w:color w:val="000000"/>
                <w:sz w:val="28"/>
                <w:szCs w:val="28"/>
                <w:lang w:val="en-US" w:eastAsia="zh-CN"/>
              </w:rPr>
              <w:t>以人为本</w:t>
            </w:r>
            <w:r>
              <w:rPr>
                <w:rStyle w:val="12"/>
                <w:rFonts w:hint="eastAsia" w:ascii="楷体" w:hAnsi="楷体" w:eastAsia="楷体"/>
                <w:color w:val="000000"/>
                <w:sz w:val="28"/>
                <w:szCs w:val="28"/>
              </w:rPr>
              <w:t>；规范管理，持续改进</w:t>
            </w:r>
            <w:r>
              <w:rPr>
                <w:rStyle w:val="12"/>
                <w:rFonts w:hint="eastAsia" w:ascii="楷体" w:hAnsi="楷体" w:eastAsia="楷体"/>
                <w:color w:val="000000"/>
                <w:sz w:val="28"/>
                <w:szCs w:val="28"/>
                <w:lang w:eastAsia="zh-CN"/>
              </w:rPr>
              <w:t>。</w:t>
            </w:r>
          </w:p>
          <w:p>
            <w:pPr>
              <w:pStyle w:val="18"/>
              <w:rPr>
                <w:rFonts w:hint="eastAsia"/>
              </w:rPr>
            </w:pPr>
            <w:r>
              <w:rPr>
                <w:rFonts w:hint="eastAsia"/>
                <w:lang w:val="en-US" w:eastAsia="zh-CN"/>
              </w:rPr>
              <w:t>---</w:t>
            </w:r>
            <w:r>
              <w:rPr>
                <w:rFonts w:hint="eastAsia"/>
              </w:rPr>
              <w:t>质量方针与公司战略相适宜。</w:t>
            </w:r>
          </w:p>
          <w:p>
            <w:pPr>
              <w:ind w:firstLine="281" w:firstLineChars="100"/>
              <w:rPr>
                <w:rFonts w:hint="eastAsia" w:ascii="楷体" w:hAnsi="楷体" w:eastAsia="楷体"/>
                <w:b/>
                <w:sz w:val="28"/>
                <w:szCs w:val="28"/>
              </w:rPr>
            </w:pPr>
            <w:r>
              <w:rPr>
                <w:rFonts w:hint="eastAsia" w:ascii="楷体" w:hAnsi="楷体" w:eastAsia="楷体"/>
                <w:b/>
                <w:sz w:val="28"/>
                <w:szCs w:val="28"/>
              </w:rPr>
              <w:t>公司质量目标：</w:t>
            </w:r>
          </w:p>
          <w:p>
            <w:pPr>
              <w:spacing w:line="600" w:lineRule="exact"/>
              <w:ind w:firstLine="723" w:firstLineChars="300"/>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1．</w:t>
            </w:r>
            <w:r>
              <w:rPr>
                <w:rFonts w:hint="eastAsia" w:ascii="仿宋" w:hAnsi="仿宋" w:eastAsia="仿宋" w:cs="仿宋"/>
                <w:b/>
                <w:bCs/>
                <w:color w:val="000000"/>
                <w:sz w:val="24"/>
                <w:szCs w:val="24"/>
                <w:lang w:val="en-US" w:eastAsia="zh-CN"/>
              </w:rPr>
              <w:t>预拌混凝土、预制构件</w:t>
            </w:r>
            <w:r>
              <w:rPr>
                <w:rFonts w:hint="eastAsia" w:ascii="仿宋" w:hAnsi="仿宋" w:eastAsia="仿宋" w:cs="仿宋"/>
                <w:b/>
                <w:bCs/>
                <w:color w:val="000000"/>
                <w:sz w:val="24"/>
                <w:szCs w:val="24"/>
              </w:rPr>
              <w:t>产品合格率100%，</w:t>
            </w:r>
            <w:r>
              <w:rPr>
                <w:rFonts w:hint="eastAsia"/>
                <w:b/>
                <w:bCs/>
                <w:color w:val="000000"/>
                <w:szCs w:val="21"/>
              </w:rPr>
              <w:t>产品一次交验合格率100%</w:t>
            </w:r>
            <w:r>
              <w:rPr>
                <w:rFonts w:hint="eastAsia" w:ascii="仿宋" w:hAnsi="仿宋" w:eastAsia="仿宋" w:cs="仿宋"/>
                <w:b/>
                <w:bCs/>
                <w:color w:val="000000"/>
                <w:sz w:val="24"/>
                <w:szCs w:val="24"/>
              </w:rPr>
              <w:t>；</w:t>
            </w:r>
          </w:p>
          <w:p>
            <w:pPr>
              <w:spacing w:line="600" w:lineRule="exact"/>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2．顾客对</w:t>
            </w:r>
            <w:r>
              <w:rPr>
                <w:rFonts w:hint="eastAsia" w:ascii="仿宋" w:hAnsi="仿宋" w:eastAsia="仿宋" w:cs="仿宋"/>
                <w:b/>
                <w:bCs/>
                <w:color w:val="000000"/>
                <w:sz w:val="24"/>
                <w:szCs w:val="24"/>
                <w:lang w:val="en-US" w:eastAsia="zh-CN"/>
              </w:rPr>
              <w:t>预制构件</w:t>
            </w:r>
            <w:r>
              <w:rPr>
                <w:rFonts w:hint="eastAsia" w:ascii="仿宋" w:hAnsi="仿宋" w:eastAsia="仿宋" w:cs="仿宋"/>
                <w:b/>
                <w:bCs/>
                <w:color w:val="000000"/>
                <w:sz w:val="24"/>
                <w:szCs w:val="24"/>
              </w:rPr>
              <w:t>的质量和服务质量的满意度9</w:t>
            </w: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rPr>
              <w:t>%；</w:t>
            </w:r>
          </w:p>
          <w:p>
            <w:pPr>
              <w:spacing w:line="600" w:lineRule="exact"/>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3．产品交付准时率90％；</w:t>
            </w:r>
          </w:p>
          <w:p>
            <w:pPr>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4．设备运行完好率90％；</w:t>
            </w:r>
          </w:p>
          <w:p>
            <w:pPr>
              <w:ind w:firstLine="141" w:firstLineChars="50"/>
              <w:rPr>
                <w:rFonts w:hint="eastAsia" w:ascii="楷体" w:hAnsi="楷体" w:eastAsia="楷体"/>
                <w:b/>
                <w:sz w:val="28"/>
                <w:szCs w:val="28"/>
              </w:rPr>
            </w:pPr>
            <w:r>
              <w:rPr>
                <w:rFonts w:hint="eastAsia" w:ascii="楷体" w:hAnsi="楷体" w:eastAsia="楷体"/>
                <w:b/>
                <w:sz w:val="28"/>
                <w:szCs w:val="28"/>
              </w:rPr>
              <w:t>公司环境目标：</w:t>
            </w:r>
          </w:p>
          <w:p>
            <w:pPr>
              <w:widowControl/>
              <w:autoSpaceDE w:val="0"/>
              <w:autoSpaceDN w:val="0"/>
              <w:adjustRightInd w:val="0"/>
              <w:spacing w:before="76"/>
              <w:ind w:firstLine="281" w:firstLineChars="100"/>
              <w:jc w:val="left"/>
              <w:rPr>
                <w:rFonts w:hint="eastAsia" w:ascii="楷体" w:hAnsi="楷体" w:eastAsia="楷体" w:cs="宋体"/>
                <w:b/>
                <w:kern w:val="0"/>
                <w:sz w:val="28"/>
                <w:szCs w:val="28"/>
              </w:rPr>
            </w:pPr>
            <w:r>
              <w:rPr>
                <w:rFonts w:hint="eastAsia" w:ascii="楷体" w:hAnsi="楷体" w:eastAsia="楷体" w:cs="宋体"/>
                <w:b/>
                <w:kern w:val="0"/>
                <w:sz w:val="28"/>
                <w:szCs w:val="28"/>
              </w:rPr>
              <w:t xml:space="preserve"> </w:t>
            </w:r>
            <w:r>
              <w:rPr>
                <w:rFonts w:hint="eastAsia" w:ascii="楷体" w:hAnsi="楷体" w:eastAsia="楷体" w:cs="宋体"/>
                <w:b/>
                <w:kern w:val="0"/>
                <w:sz w:val="28"/>
                <w:szCs w:val="28"/>
                <w:lang w:eastAsia="zh-CN"/>
              </w:rPr>
              <w:t>事业部</w:t>
            </w:r>
            <w:r>
              <w:rPr>
                <w:rFonts w:hint="eastAsia" w:ascii="楷体" w:hAnsi="楷体" w:eastAsia="楷体" w:cs="宋体"/>
                <w:b/>
                <w:kern w:val="0"/>
                <w:sz w:val="28"/>
                <w:szCs w:val="28"/>
              </w:rPr>
              <w:t>中噪声、粉尘达标排放；</w:t>
            </w:r>
          </w:p>
          <w:p>
            <w:pPr>
              <w:widowControl/>
              <w:autoSpaceDE w:val="0"/>
              <w:autoSpaceDN w:val="0"/>
              <w:adjustRightInd w:val="0"/>
              <w:spacing w:before="110"/>
              <w:ind w:firstLine="141" w:firstLineChars="50"/>
              <w:jc w:val="left"/>
              <w:rPr>
                <w:rFonts w:hint="eastAsia" w:ascii="楷体" w:hAnsi="楷体" w:eastAsia="楷体" w:cs="宋体"/>
                <w:b/>
                <w:kern w:val="0"/>
                <w:sz w:val="28"/>
                <w:szCs w:val="28"/>
              </w:rPr>
            </w:pPr>
            <w:r>
              <w:rPr>
                <w:rFonts w:hint="eastAsia" w:ascii="楷体" w:hAnsi="楷体" w:eastAsia="楷体" w:cs="宋体"/>
                <w:b/>
                <w:kern w:val="0"/>
                <w:sz w:val="28"/>
                <w:szCs w:val="28"/>
              </w:rPr>
              <w:t>公司职业健康安全目标：</w:t>
            </w:r>
          </w:p>
          <w:p>
            <w:pPr>
              <w:spacing w:line="600" w:lineRule="exact"/>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1 劳动保护用品及时发放，发放率为100％ 。</w:t>
            </w:r>
          </w:p>
          <w:p>
            <w:pPr>
              <w:spacing w:line="600" w:lineRule="exact"/>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2 预防职业病，病发率为零。</w:t>
            </w:r>
          </w:p>
          <w:p>
            <w:pPr>
              <w:spacing w:line="600" w:lineRule="exact"/>
              <w:ind w:firstLine="723" w:firstLineChars="3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3安全事故零发生。</w:t>
            </w:r>
          </w:p>
          <w:p>
            <w:pPr>
              <w:pStyle w:val="18"/>
              <w:rPr>
                <w:rFonts w:hint="eastAsia" w:eastAsia="宋体" w:cs="Times New Roman"/>
              </w:rPr>
            </w:pPr>
          </w:p>
          <w:p>
            <w:pPr>
              <w:pStyle w:val="18"/>
              <w:rPr>
                <w:rFonts w:hint="eastAsia" w:eastAsia="宋体" w:cs="Times New Roman"/>
              </w:rPr>
            </w:pPr>
            <w:r>
              <w:rPr>
                <w:rFonts w:hint="eastAsia" w:eastAsia="宋体" w:cs="Times New Roman"/>
                <w:lang w:val="en-US" w:eastAsia="zh-CN"/>
              </w:rPr>
              <w:t>---</w:t>
            </w:r>
            <w:r>
              <w:rPr>
                <w:rFonts w:hint="eastAsia" w:eastAsia="宋体" w:cs="Times New Roman"/>
              </w:rPr>
              <w:t>目标可测量。</w:t>
            </w:r>
          </w:p>
          <w:p>
            <w:pPr>
              <w:pStyle w:val="18"/>
              <w:rPr>
                <w:rFonts w:hint="default" w:eastAsia="宋体"/>
                <w:lang w:val="en-US" w:eastAsia="zh-CN"/>
              </w:rPr>
            </w:pPr>
            <w:r>
              <w:rPr>
                <w:rFonts w:hint="eastAsia"/>
                <w:lang w:val="en-US" w:eastAsia="zh-CN"/>
              </w:rPr>
              <w:t>---</w:t>
            </w:r>
            <w:r>
              <w:rPr>
                <w:rFonts w:hint="eastAsia" w:ascii="宋体" w:hAnsi="宋体" w:cs="宋体"/>
                <w:szCs w:val="21"/>
              </w:rPr>
              <w:t>管理职责分配适宜，体系职责整合程度较高。</w:t>
            </w:r>
          </w:p>
          <w:p>
            <w:pPr>
              <w:pStyle w:val="18"/>
            </w:pPr>
            <w:r>
              <w:rPr>
                <w:rFonts w:hint="eastAsia"/>
                <w:lang w:val="en-US" w:eastAsia="zh-CN"/>
              </w:rPr>
              <w:t>---</w:t>
            </w:r>
            <w:r>
              <w:rPr>
                <w:rFonts w:hint="eastAsia"/>
              </w:rPr>
              <w:t>通过发放文件、会议（每周部门会议，每月公司会议）、培训等方式向员工传达，使得员工理解和应用。</w:t>
            </w:r>
          </w:p>
          <w:p>
            <w:pPr>
              <w:pStyle w:val="18"/>
            </w:pPr>
            <w:r>
              <w:rPr>
                <w:rFonts w:hint="eastAsia"/>
                <w:lang w:val="en-US" w:eastAsia="zh-CN"/>
              </w:rPr>
              <w:t>---</w:t>
            </w:r>
            <w:r>
              <w:rPr>
                <w:rFonts w:hint="eastAsia"/>
              </w:rPr>
              <w:t>建立管理体系，以实现公司的目标。</w:t>
            </w:r>
          </w:p>
          <w:p>
            <w:pPr>
              <w:pStyle w:val="18"/>
            </w:pPr>
            <w:r>
              <w:rPr>
                <w:rFonts w:hint="eastAsia"/>
                <w:lang w:val="en-US" w:eastAsia="zh-CN"/>
              </w:rPr>
              <w:t>---</w:t>
            </w:r>
            <w:r>
              <w:rPr>
                <w:rFonts w:hint="eastAsia"/>
              </w:rPr>
              <w:t>管理评审中对适宜性进行评审。</w:t>
            </w:r>
          </w:p>
          <w:p>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rPr>
              <w:t>管理评审</w:t>
            </w:r>
          </w:p>
        </w:tc>
        <w:tc>
          <w:tcPr>
            <w:tcW w:w="960" w:type="dxa"/>
          </w:tcPr>
          <w:p>
            <w:pPr>
              <w:rPr>
                <w:rFonts w:hint="eastAsia"/>
                <w:lang w:val="en-US" w:eastAsia="zh-CN"/>
              </w:rPr>
            </w:pPr>
            <w:r>
              <w:rPr>
                <w:rFonts w:hint="eastAsia"/>
                <w:lang w:val="en-US" w:eastAsia="zh-CN"/>
              </w:rPr>
              <w:t>QES9.3</w:t>
            </w:r>
          </w:p>
        </w:tc>
        <w:tc>
          <w:tcPr>
            <w:tcW w:w="10004" w:type="dxa"/>
          </w:tcPr>
          <w:p>
            <w:pPr>
              <w:pStyle w:val="18"/>
              <w:rPr>
                <w:rFonts w:hint="eastAsia"/>
                <w:lang w:val="en-US" w:eastAsia="zh-CN"/>
              </w:rPr>
            </w:pPr>
            <w:r>
              <w:rPr>
                <w:rFonts w:hint="eastAsia" w:ascii="Times New Roman" w:hAnsi="Times New Roman"/>
                <w:b w:val="0"/>
                <w:bCs w:val="0"/>
                <w:sz w:val="21"/>
                <w:szCs w:val="21"/>
                <w:highlight w:val="none"/>
                <w:lang w:val="en-US" w:eastAsia="zh-CN"/>
              </w:rPr>
              <w:t>-</w:t>
            </w:r>
            <w:r>
              <w:rPr>
                <w:rFonts w:hint="eastAsia"/>
                <w:lang w:val="en-US" w:eastAsia="zh-CN"/>
              </w:rPr>
              <w:t>--策划有《</w:t>
            </w:r>
            <w:r>
              <w:rPr>
                <w:rFonts w:hint="eastAsia"/>
              </w:rPr>
              <w:t>管理评审控制程序</w:t>
            </w:r>
            <w:r>
              <w:rPr>
                <w:rFonts w:hint="eastAsia"/>
                <w:lang w:eastAsia="zh-CN"/>
              </w:rPr>
              <w:t>》，</w:t>
            </w:r>
            <w:r>
              <w:rPr>
                <w:rFonts w:hint="eastAsia"/>
                <w:lang w:val="en-US" w:eastAsia="zh-CN"/>
              </w:rPr>
              <w:t>规定了控制准则</w:t>
            </w:r>
            <w:r>
              <w:rPr>
                <w:rFonts w:hint="eastAsia"/>
                <w:lang w:eastAsia="zh-CN"/>
              </w:rPr>
              <w:t>。</w:t>
            </w:r>
          </w:p>
          <w:p>
            <w:pPr>
              <w:pStyle w:val="18"/>
              <w:rPr>
                <w:rFonts w:hint="default"/>
                <w:lang w:val="en-US" w:eastAsia="zh-CN"/>
              </w:rPr>
            </w:pPr>
            <w:r>
              <w:rPr>
                <w:rFonts w:hint="eastAsia"/>
              </w:rPr>
              <w:t>公司在202</w:t>
            </w:r>
            <w:r>
              <w:rPr>
                <w:rFonts w:hint="eastAsia"/>
                <w:lang w:val="en-US" w:eastAsia="zh-CN"/>
              </w:rPr>
              <w:t>2.7.10.计划，2022.7.30.实施</w:t>
            </w:r>
            <w:r>
              <w:rPr>
                <w:rFonts w:hint="eastAsia"/>
              </w:rPr>
              <w:t>了管理评审活动</w:t>
            </w:r>
            <w:r>
              <w:rPr>
                <w:rFonts w:hint="eastAsia"/>
                <w:lang w:val="en-US" w:eastAsia="zh-CN"/>
              </w:rPr>
              <w:t>，</w:t>
            </w:r>
            <w:r>
              <w:rPr>
                <w:rFonts w:hint="eastAsia"/>
              </w:rPr>
              <w:t>管理评审策划和实施的时间、覆盖的范围、输入、输出</w:t>
            </w:r>
            <w:r>
              <w:rPr>
                <w:rFonts w:hint="eastAsia"/>
                <w:lang w:eastAsia="zh-CN"/>
              </w:rPr>
              <w:t>、</w:t>
            </w:r>
            <w:r>
              <w:rPr>
                <w:rFonts w:hint="eastAsia"/>
                <w:lang w:val="en-US" w:eastAsia="zh-CN"/>
              </w:rPr>
              <w:t>结论及改进措施，</w:t>
            </w:r>
            <w:r>
              <w:rPr>
                <w:rFonts w:hint="eastAsia"/>
              </w:rPr>
              <w:t>均符合规定要求</w:t>
            </w:r>
            <w:r>
              <w:rPr>
                <w:rFonts w:hint="eastAsia"/>
                <w:lang w:val="en-US" w:eastAsia="zh-CN"/>
              </w:rPr>
              <w:t>；提供有手写签到表。抽查内容如下：</w:t>
            </w:r>
          </w:p>
          <w:p>
            <w:pPr>
              <w:pStyle w:val="18"/>
              <w:rPr>
                <w:rFonts w:hint="eastAsia"/>
              </w:rPr>
            </w:pPr>
            <w:r>
              <w:rPr>
                <w:rFonts w:hint="eastAsia"/>
              </w:rPr>
              <w:t>评审内容：</w:t>
            </w:r>
          </w:p>
          <w:p>
            <w:pPr>
              <w:pStyle w:val="18"/>
              <w:rPr>
                <w:rFonts w:hint="eastAsia"/>
              </w:rPr>
            </w:pPr>
            <w:r>
              <w:rPr>
                <w:rFonts w:hint="eastAsia"/>
              </w:rPr>
              <w:t>1、管理方针的贯彻实施情况；</w:t>
            </w:r>
          </w:p>
          <w:p>
            <w:pPr>
              <w:pStyle w:val="18"/>
              <w:rPr>
                <w:rFonts w:hint="eastAsia"/>
              </w:rPr>
            </w:pPr>
            <w:r>
              <w:rPr>
                <w:rFonts w:hint="eastAsia"/>
              </w:rPr>
              <w:t>2、管理体系的运行情况及产品质量状况的综合分析；</w:t>
            </w:r>
          </w:p>
          <w:p>
            <w:pPr>
              <w:pStyle w:val="18"/>
              <w:rPr>
                <w:rFonts w:hint="eastAsia"/>
              </w:rPr>
            </w:pPr>
            <w:r>
              <w:rPr>
                <w:rFonts w:hint="eastAsia"/>
              </w:rPr>
              <w:t>3、顾客等相关方对产品质量管理反馈意见的综合评价。</w:t>
            </w:r>
          </w:p>
          <w:p>
            <w:pPr>
              <w:pStyle w:val="18"/>
              <w:rPr>
                <w:rFonts w:hint="default" w:eastAsia="宋体"/>
                <w:lang w:val="en-US" w:eastAsia="zh-CN"/>
              </w:rPr>
            </w:pPr>
            <w:r>
              <w:rPr>
                <w:rFonts w:hint="eastAsia"/>
                <w:lang w:val="en-US" w:eastAsia="zh-CN"/>
              </w:rPr>
              <w:t>及各职能部门工作报告。</w:t>
            </w:r>
          </w:p>
          <w:p>
            <w:pPr>
              <w:pStyle w:val="18"/>
              <w:rPr>
                <w:rFonts w:hint="eastAsia"/>
                <w:lang w:val="en-US" w:eastAsia="zh-CN"/>
              </w:rPr>
            </w:pPr>
            <w:r>
              <w:rPr>
                <w:rFonts w:hint="eastAsia"/>
                <w:lang w:val="en-US" w:eastAsia="zh-CN"/>
              </w:rPr>
              <w:t>评审结论：</w:t>
            </w:r>
          </w:p>
          <w:p>
            <w:pPr>
              <w:pStyle w:val="18"/>
              <w:rPr>
                <w:rFonts w:hint="eastAsia"/>
                <w:lang w:val="en-US" w:eastAsia="zh-CN"/>
              </w:rPr>
            </w:pPr>
            <w:r>
              <w:rPr>
                <w:rFonts w:hint="eastAsia"/>
                <w:lang w:val="en-US" w:eastAsia="zh-CN"/>
              </w:rPr>
              <w:t>公司管理体系符合GB/T19001-2016、GB/T24001-2016、GB/T45001:2020；标准要求，体系文件基本实用，管理方针切实可行。</w:t>
            </w:r>
          </w:p>
          <w:p>
            <w:pPr>
              <w:pStyle w:val="18"/>
              <w:rPr>
                <w:rFonts w:hint="eastAsia"/>
                <w:lang w:val="en-US" w:eastAsia="zh-CN"/>
              </w:rPr>
            </w:pPr>
            <w:r>
              <w:rPr>
                <w:rFonts w:hint="eastAsia"/>
                <w:lang w:val="en-US" w:eastAsia="zh-CN"/>
              </w:rPr>
              <w:t>2022年度管理评审改进措施实施计划：</w:t>
            </w:r>
          </w:p>
          <w:tbl>
            <w:tblPr>
              <w:tblStyle w:val="1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328"/>
              <w:gridCol w:w="1862"/>
              <w:gridCol w:w="932"/>
              <w:gridCol w:w="94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1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序号</w:t>
                  </w:r>
                </w:p>
              </w:tc>
              <w:tc>
                <w:tcPr>
                  <w:tcW w:w="4328"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改进项目</w:t>
                  </w:r>
                </w:p>
              </w:tc>
              <w:tc>
                <w:tcPr>
                  <w:tcW w:w="1862"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改进措施</w:t>
                  </w:r>
                </w:p>
              </w:tc>
              <w:tc>
                <w:tcPr>
                  <w:tcW w:w="932"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责任部门</w:t>
                  </w:r>
                </w:p>
              </w:tc>
              <w:tc>
                <w:tcPr>
                  <w:tcW w:w="94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配合部门</w:t>
                  </w:r>
                </w:p>
              </w:tc>
              <w:tc>
                <w:tcPr>
                  <w:tcW w:w="1206"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完成时间</w:t>
                  </w:r>
                </w:p>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w:t>
                  </w:r>
                </w:p>
              </w:tc>
              <w:tc>
                <w:tcPr>
                  <w:tcW w:w="4328" w:type="dxa"/>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市场环境和风险影响很大，要把握，分析市场环境和抗风险能力</w:t>
                  </w:r>
                </w:p>
              </w:tc>
              <w:tc>
                <w:tcPr>
                  <w:tcW w:w="1862" w:type="dxa"/>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进行风险调查</w:t>
                  </w:r>
                </w:p>
              </w:tc>
              <w:tc>
                <w:tcPr>
                  <w:tcW w:w="932"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综合</w:t>
                  </w:r>
                  <w:r>
                    <w:rPr>
                      <w:rFonts w:hint="eastAsia" w:ascii="Calibri" w:hAnsi="Calibri" w:cs="Times New Roman"/>
                      <w:kern w:val="2"/>
                      <w:sz w:val="21"/>
                      <w:szCs w:val="22"/>
                      <w:lang w:val="en-US" w:eastAsia="zh-CN" w:bidi="ar-SA"/>
                    </w:rPr>
                    <w:t>办</w:t>
                  </w:r>
                </w:p>
              </w:tc>
              <w:tc>
                <w:tcPr>
                  <w:tcW w:w="94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各部门</w:t>
                  </w:r>
                </w:p>
              </w:tc>
              <w:tc>
                <w:tcPr>
                  <w:tcW w:w="1206" w:type="dxa"/>
                  <w:noWrap w:val="0"/>
                  <w:vAlign w:val="center"/>
                </w:tcPr>
                <w:p>
                  <w:pPr>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2022年8月8日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w:t>
                  </w:r>
                </w:p>
              </w:tc>
              <w:tc>
                <w:tcPr>
                  <w:tcW w:w="4328" w:type="dxa"/>
                  <w:noWrap w:val="0"/>
                  <w:vAlign w:val="center"/>
                </w:tcPr>
                <w:p>
                  <w:pPr>
                    <w:spacing w:line="36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做好售后服务的工作</w:t>
                  </w:r>
                </w:p>
              </w:tc>
              <w:tc>
                <w:tcPr>
                  <w:tcW w:w="1862" w:type="dxa"/>
                  <w:noWrap w:val="0"/>
                  <w:vAlign w:val="center"/>
                </w:tcPr>
                <w:p>
                  <w:pPr>
                    <w:spacing w:line="360" w:lineRule="auto"/>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满意度分析要详细</w:t>
                  </w:r>
                </w:p>
              </w:tc>
              <w:tc>
                <w:tcPr>
                  <w:tcW w:w="932"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cs="Times New Roman"/>
                      <w:kern w:val="2"/>
                      <w:sz w:val="21"/>
                      <w:szCs w:val="22"/>
                      <w:lang w:val="en-US" w:eastAsia="zh-CN" w:bidi="ar-SA"/>
                    </w:rPr>
                    <w:t>市场</w:t>
                  </w:r>
                  <w:r>
                    <w:rPr>
                      <w:rFonts w:hint="eastAsia" w:ascii="Calibri" w:hAnsi="Calibri" w:eastAsia="宋体" w:cs="Times New Roman"/>
                      <w:kern w:val="2"/>
                      <w:sz w:val="21"/>
                      <w:szCs w:val="22"/>
                      <w:lang w:val="en-US" w:eastAsia="zh-CN" w:bidi="ar-SA"/>
                    </w:rPr>
                    <w:t>部</w:t>
                  </w:r>
                </w:p>
              </w:tc>
              <w:tc>
                <w:tcPr>
                  <w:tcW w:w="949"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各部门</w:t>
                  </w:r>
                </w:p>
              </w:tc>
              <w:tc>
                <w:tcPr>
                  <w:tcW w:w="1206" w:type="dxa"/>
                  <w:noWrap w:val="0"/>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2022年8月8日</w:t>
                  </w:r>
                </w:p>
              </w:tc>
            </w:tr>
          </w:tbl>
          <w:p>
            <w:pPr>
              <w:spacing w:line="240" w:lineRule="auto"/>
              <w:rPr>
                <w:rFonts w:hint="eastAsia" w:asciiTheme="minorEastAsia" w:hAnsiTheme="minorEastAsia" w:eastAsiaTheme="minorEastAsia"/>
                <w:szCs w:val="21"/>
                <w:lang w:eastAsia="zh-CN"/>
              </w:rPr>
            </w:pPr>
            <w:r>
              <w:rPr>
                <w:rFonts w:hint="eastAsia" w:ascii="Times New Roman" w:hAnsi="Times New Roman"/>
                <w:b w:val="0"/>
                <w:bCs w:val="0"/>
                <w:sz w:val="21"/>
                <w:szCs w:val="21"/>
                <w:highlight w:val="none"/>
              </w:rPr>
              <w:t>——</w:t>
            </w:r>
            <w:r>
              <w:rPr>
                <w:rFonts w:hint="eastAsia" w:ascii="Times New Roman" w:hAnsi="Times New Roman"/>
                <w:b w:val="0"/>
                <w:bCs w:val="0"/>
                <w:sz w:val="21"/>
                <w:szCs w:val="21"/>
                <w:highlight w:val="none"/>
                <w:lang w:val="en-US" w:eastAsia="zh-CN"/>
              </w:rPr>
              <w:t>年度保持</w:t>
            </w:r>
            <w:r>
              <w:rPr>
                <w:rFonts w:hint="eastAsia"/>
                <w:b w:val="0"/>
                <w:bCs w:val="0"/>
                <w:sz w:val="21"/>
                <w:szCs w:val="21"/>
                <w:highlight w:val="none"/>
                <w:lang w:val="en-US" w:eastAsia="zh-CN"/>
              </w:rPr>
              <w:t>基本</w:t>
            </w:r>
            <w:r>
              <w:rPr>
                <w:rFonts w:hint="eastAsia" w:ascii="Times New Roman" w:hAnsi="Times New Roman"/>
                <w:b w:val="0"/>
                <w:bCs w:val="0"/>
                <w:sz w:val="21"/>
                <w:szCs w:val="21"/>
                <w:highlight w:val="none"/>
              </w:rPr>
              <w:t>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eastAsia="宋体" w:cs="Times New Roman"/>
                <w:b w:val="0"/>
                <w:bCs w:val="0"/>
                <w:sz w:val="21"/>
                <w:szCs w:val="21"/>
                <w:lang w:val="en-US" w:eastAsia="zh-CN"/>
              </w:rPr>
              <w:t>上次审核不符合项的验证；产品质量状况(包括质量事件、顾客投诉、监督部门抽查/检测等)</w:t>
            </w:r>
          </w:p>
        </w:tc>
        <w:tc>
          <w:tcPr>
            <w:tcW w:w="960" w:type="dxa"/>
          </w:tcPr>
          <w:p>
            <w:pPr>
              <w:rPr>
                <w:rFonts w:hint="default"/>
                <w:lang w:val="en-US" w:eastAsia="zh-CN"/>
              </w:rPr>
            </w:pPr>
            <w:r>
              <w:rPr>
                <w:rFonts w:hint="eastAsia"/>
                <w:lang w:val="en-US" w:eastAsia="zh-CN"/>
              </w:rPr>
              <w:t>QES10.2</w:t>
            </w:r>
          </w:p>
        </w:tc>
        <w:tc>
          <w:tcPr>
            <w:tcW w:w="10004" w:type="dxa"/>
          </w:tcPr>
          <w:p>
            <w:pPr>
              <w:numPr>
                <w:ilvl w:val="0"/>
                <w:numId w:val="2"/>
              </w:numPr>
              <w:spacing w:before="120" w:line="240" w:lineRule="auto"/>
              <w:ind w:left="0" w:leftChars="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制订了《不符合纠正措施控制程序》，确定了准测与程序。</w:t>
            </w:r>
          </w:p>
          <w:p>
            <w:pPr>
              <w:numPr>
                <w:ilvl w:val="0"/>
                <w:numId w:val="2"/>
              </w:numPr>
              <w:spacing w:before="120" w:line="240" w:lineRule="auto"/>
              <w:ind w:left="0" w:leftChars="0" w:firstLine="0" w:firstLineChars="0"/>
              <w:rPr>
                <w:rFonts w:hint="eastAsia" w:ascii="方正仿宋简体" w:eastAsia="方正仿宋简体"/>
                <w:b w:val="0"/>
                <w:bCs/>
                <w:highlight w:val="none"/>
                <w:lang w:val="en-US" w:eastAsia="zh-CN"/>
              </w:rPr>
            </w:pPr>
            <w:r>
              <w:rPr>
                <w:rFonts w:hint="eastAsia" w:ascii="宋体" w:hAnsi="宋体" w:cs="宋体"/>
                <w:b w:val="0"/>
                <w:bCs/>
                <w:sz w:val="21"/>
                <w:szCs w:val="21"/>
                <w:highlight w:val="none"/>
                <w:lang w:val="en-US" w:eastAsia="zh-CN"/>
              </w:rPr>
              <w:t>本次监督审核期内，</w:t>
            </w:r>
            <w:bookmarkStart w:id="5" w:name="_GoBack"/>
            <w:bookmarkEnd w:id="5"/>
            <w:r>
              <w:rPr>
                <w:rFonts w:hint="eastAsia" w:ascii="宋体" w:hAnsi="宋体" w:eastAsia="宋体" w:cs="宋体"/>
                <w:b w:val="0"/>
                <w:bCs/>
                <w:sz w:val="21"/>
                <w:szCs w:val="21"/>
                <w:highlight w:val="none"/>
                <w:lang w:val="en-US" w:eastAsia="zh-CN"/>
              </w:rPr>
              <w:t>年度内审中发现</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不符合不会导致体系严重失控，并已整改验证关闭。管评的改进措施</w:t>
            </w:r>
            <w:r>
              <w:rPr>
                <w:rFonts w:hint="eastAsia" w:ascii="宋体" w:hAnsi="宋体" w:cs="宋体"/>
                <w:b w:val="0"/>
                <w:bCs/>
                <w:sz w:val="21"/>
                <w:szCs w:val="21"/>
                <w:highlight w:val="none"/>
                <w:lang w:val="en-US" w:eastAsia="zh-CN"/>
              </w:rPr>
              <w:t>已达成</w:t>
            </w:r>
            <w:r>
              <w:rPr>
                <w:rFonts w:hint="eastAsia" w:ascii="宋体" w:hAnsi="宋体" w:eastAsia="宋体" w:cs="宋体"/>
                <w:b w:val="0"/>
                <w:bCs/>
                <w:sz w:val="21"/>
                <w:szCs w:val="21"/>
                <w:highlight w:val="none"/>
                <w:lang w:val="en-US" w:eastAsia="zh-CN"/>
              </w:rPr>
              <w:t>。</w:t>
            </w:r>
          </w:p>
          <w:p>
            <w:pPr>
              <w:numPr>
                <w:ilvl w:val="0"/>
                <w:numId w:val="0"/>
              </w:numPr>
              <w:spacing w:before="120" w:line="240" w:lineRule="auto"/>
              <w:rPr>
                <w:rFonts w:hint="default" w:ascii="方正仿宋简体" w:eastAsia="方正仿宋简体"/>
                <w:b w:val="0"/>
                <w:bCs/>
                <w:highlight w:val="none"/>
                <w:lang w:val="en-US" w:eastAsia="zh-CN"/>
              </w:rPr>
            </w:pPr>
            <w:r>
              <w:rPr>
                <w:rFonts w:hint="eastAsia" w:ascii="方正仿宋简体" w:eastAsia="方正仿宋简体"/>
                <w:b w:val="0"/>
                <w:bCs/>
                <w:highlight w:val="none"/>
                <w:lang w:val="en-US" w:eastAsia="zh-CN"/>
              </w:rPr>
              <w:t>3、初审不符合共4项，如下：</w:t>
            </w:r>
          </w:p>
          <w:p>
            <w:pPr>
              <w:numPr>
                <w:ilvl w:val="0"/>
                <w:numId w:val="0"/>
              </w:numPr>
              <w:spacing w:before="120" w:line="240" w:lineRule="auto"/>
              <w:rPr>
                <w:rFonts w:hint="eastAsia" w:ascii="方正仿宋简体" w:eastAsia="方正仿宋简体"/>
                <w:b w:val="0"/>
                <w:bCs/>
                <w:highlight w:val="yellow"/>
                <w:lang w:val="en-US" w:eastAsia="zh-CN"/>
              </w:rPr>
            </w:pPr>
            <w:r>
              <w:rPr>
                <w:rFonts w:hint="eastAsia" w:ascii="方正仿宋简体" w:eastAsia="方正仿宋简体"/>
                <w:b w:val="0"/>
                <w:bCs/>
                <w:highlight w:val="yellow"/>
                <w:lang w:val="en-US" w:eastAsia="zh-CN"/>
              </w:rPr>
              <w:t>1）不能提供压力容器附件压力表和安全阀有效检验证书。——提供政府相关部门网站报检申请，报告未出。</w:t>
            </w:r>
          </w:p>
          <w:p>
            <w:pPr>
              <w:pStyle w:val="2"/>
              <w:rPr>
                <w:rFonts w:hint="default"/>
                <w:lang w:val="en-US" w:eastAsia="zh-CN"/>
              </w:rPr>
            </w:pPr>
            <w:r>
              <w:drawing>
                <wp:inline distT="0" distB="0" distL="114300" distR="114300">
                  <wp:extent cx="5272405" cy="1805305"/>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1805305"/>
                          </a:xfrm>
                          <a:prstGeom prst="rect">
                            <a:avLst/>
                          </a:prstGeom>
                          <a:noFill/>
                          <a:ln>
                            <a:noFill/>
                          </a:ln>
                        </pic:spPr>
                      </pic:pic>
                    </a:graphicData>
                  </a:graphic>
                </wp:inline>
              </w:drawing>
            </w:r>
          </w:p>
          <w:p>
            <w:pPr>
              <w:numPr>
                <w:ilvl w:val="0"/>
                <w:numId w:val="0"/>
              </w:numPr>
              <w:spacing w:before="120" w:line="240" w:lineRule="auto"/>
              <w:ind w:leftChars="0"/>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2）不能提供库存材</w:t>
            </w:r>
            <w:r>
              <w:rPr>
                <w:rFonts w:hint="eastAsia" w:ascii="宋体" w:hAnsi="宋体" w:eastAsia="宋体" w:cs="宋体"/>
                <w:b w:val="0"/>
                <w:bCs/>
                <w:sz w:val="21"/>
                <w:szCs w:val="21"/>
                <w:highlight w:val="none"/>
                <w:lang w:val="en-US" w:eastAsia="zh-CN"/>
              </w:rPr>
              <w:t>料脱模剂、油漆、露骨料剂相关MSDS。</w:t>
            </w:r>
          </w:p>
          <w:p>
            <w:pPr>
              <w:numPr>
                <w:ilvl w:val="0"/>
                <w:numId w:val="0"/>
              </w:numPr>
              <w:spacing w:before="120" w:line="240" w:lineRule="auto"/>
              <w:ind w:leftChars="0"/>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未能提供游标卡尺、卷尺实施检定/</w:t>
            </w:r>
            <w:r>
              <w:rPr>
                <w:rFonts w:hint="eastAsia" w:ascii="宋体" w:hAnsi="宋体" w:eastAsia="宋体" w:cs="宋体"/>
                <w:b w:val="0"/>
                <w:bCs/>
                <w:sz w:val="21"/>
                <w:szCs w:val="21"/>
                <w:highlight w:val="none"/>
              </w:rPr>
              <w:t>校准</w:t>
            </w:r>
            <w:r>
              <w:rPr>
                <w:rFonts w:hint="eastAsia" w:ascii="宋体" w:hAnsi="宋体" w:eastAsia="宋体" w:cs="宋体"/>
                <w:b w:val="0"/>
                <w:bCs/>
                <w:sz w:val="21"/>
                <w:szCs w:val="21"/>
                <w:highlight w:val="none"/>
                <w:lang w:val="en-US" w:eastAsia="zh-CN"/>
              </w:rPr>
              <w:t>的相关证据。</w:t>
            </w:r>
          </w:p>
          <w:p>
            <w:pPr>
              <w:numPr>
                <w:ilvl w:val="0"/>
                <w:numId w:val="0"/>
              </w:numPr>
              <w:spacing w:before="120" w:line="240" w:lineRule="auto"/>
              <w:ind w:leftChars="0"/>
              <w:rPr>
                <w:rFonts w:hint="eastAsia" w:ascii="宋体" w:hAnsi="宋体" w:eastAsia="宋体" w:cs="宋体"/>
                <w:b w:val="0"/>
                <w:bCs/>
                <w:sz w:val="21"/>
                <w:szCs w:val="21"/>
                <w:highlight w:val="none"/>
                <w:lang w:val="en-US" w:eastAsia="zh-CN"/>
              </w:rPr>
            </w:pPr>
            <w:r>
              <w:rPr>
                <w:rFonts w:hint="eastAsia" w:ascii="方正仿宋简体" w:eastAsia="方正仿宋简体"/>
                <w:b w:val="0"/>
                <w:bCs/>
                <w:highlight w:val="none"/>
                <w:lang w:val="en-US" w:eastAsia="zh-CN"/>
              </w:rPr>
              <w:t>4）不能提供行车、叉车有效检验证据。</w:t>
            </w:r>
          </w:p>
          <w:p>
            <w:pPr>
              <w:spacing w:line="240" w:lineRule="auto"/>
              <w:rPr>
                <w:rFonts w:hint="eastAsia"/>
                <w:lang w:val="en-US" w:eastAsia="zh-CN"/>
              </w:rPr>
            </w:pPr>
            <w:r>
              <w:rPr>
                <w:rFonts w:hint="eastAsia"/>
                <w:highlight w:val="none"/>
                <w:lang w:val="en-US" w:eastAsia="zh-CN"/>
              </w:rPr>
              <w:t>---经核查，上次审核不符合项，本次审核并未发现相同不符合。</w:t>
            </w:r>
          </w:p>
          <w:p>
            <w:pPr>
              <w:spacing w:line="240" w:lineRule="auto"/>
              <w:rPr>
                <w:rFonts w:hint="default"/>
                <w:highlight w:val="none"/>
                <w:lang w:val="en-US" w:eastAsia="zh-CN"/>
              </w:rPr>
            </w:pPr>
            <w:r>
              <w:rPr>
                <w:rFonts w:hint="eastAsia"/>
                <w:highlight w:val="none"/>
                <w:lang w:val="en-US" w:eastAsia="zh-CN"/>
              </w:rPr>
              <w:t>---经核查，营业执照包含产品范围；企业建筑资质有效；食堂食品经营许可有效。</w:t>
            </w:r>
          </w:p>
          <w:p>
            <w:pPr>
              <w:spacing w:line="240" w:lineRule="auto"/>
              <w:rPr>
                <w:rFonts w:hint="eastAsia"/>
                <w:highlight w:val="none"/>
                <w:lang w:val="en-US" w:eastAsia="zh-CN"/>
              </w:rPr>
            </w:pPr>
            <w:r>
              <w:rPr>
                <w:rFonts w:hint="eastAsia"/>
                <w:highlight w:val="none"/>
                <w:lang w:val="en-US" w:eastAsia="zh-CN"/>
              </w:rPr>
              <w:t>---管代承诺，本年度内未发生顾客投诉、大批量退货等质量事故，未发生环境污染、职业健康安全事件。</w:t>
            </w:r>
          </w:p>
          <w:p>
            <w:pPr>
              <w:rPr>
                <w:rFonts w:hint="eastAsia" w:ascii="Times New Roman" w:hAnsi="Times New Roman"/>
                <w:b w:val="0"/>
                <w:bCs w:val="0"/>
                <w:sz w:val="21"/>
                <w:szCs w:val="21"/>
                <w:highlight w:val="none"/>
              </w:rPr>
            </w:pP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201F"/>
    <w:multiLevelType w:val="singleLevel"/>
    <w:tmpl w:val="8B92201F"/>
    <w:lvl w:ilvl="0" w:tentative="0">
      <w:start w:val="1"/>
      <w:numFmt w:val="decimal"/>
      <w:lvlText w:val="%1."/>
      <w:lvlJc w:val="left"/>
      <w:pPr>
        <w:tabs>
          <w:tab w:val="left" w:pos="312"/>
        </w:tabs>
      </w:pPr>
    </w:lvl>
  </w:abstractNum>
  <w:abstractNum w:abstractNumId="1">
    <w:nsid w:val="567B162E"/>
    <w:multiLevelType w:val="singleLevel"/>
    <w:tmpl w:val="567B162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3F4E31"/>
    <w:rsid w:val="01997DFA"/>
    <w:rsid w:val="01D34B7C"/>
    <w:rsid w:val="0624713F"/>
    <w:rsid w:val="06D27D65"/>
    <w:rsid w:val="08BF4B31"/>
    <w:rsid w:val="08F875BE"/>
    <w:rsid w:val="094E3682"/>
    <w:rsid w:val="09916FDF"/>
    <w:rsid w:val="0B3B08C8"/>
    <w:rsid w:val="0C300E1D"/>
    <w:rsid w:val="0C4D19CF"/>
    <w:rsid w:val="0E6C2C08"/>
    <w:rsid w:val="0E700556"/>
    <w:rsid w:val="0E802B47"/>
    <w:rsid w:val="0EF918BF"/>
    <w:rsid w:val="0F221350"/>
    <w:rsid w:val="0F9D4A1B"/>
    <w:rsid w:val="10390BE8"/>
    <w:rsid w:val="11274EE5"/>
    <w:rsid w:val="112E0021"/>
    <w:rsid w:val="11F87FE4"/>
    <w:rsid w:val="1293574D"/>
    <w:rsid w:val="130A061A"/>
    <w:rsid w:val="13540978"/>
    <w:rsid w:val="13C56DC8"/>
    <w:rsid w:val="15235194"/>
    <w:rsid w:val="161543E7"/>
    <w:rsid w:val="171443AA"/>
    <w:rsid w:val="171C091C"/>
    <w:rsid w:val="1780534F"/>
    <w:rsid w:val="198563CD"/>
    <w:rsid w:val="1A582B40"/>
    <w:rsid w:val="1A5B5BFF"/>
    <w:rsid w:val="1B0A6103"/>
    <w:rsid w:val="1B100797"/>
    <w:rsid w:val="1BDB2B53"/>
    <w:rsid w:val="1C6E7E6B"/>
    <w:rsid w:val="1CBA4E5F"/>
    <w:rsid w:val="1CBB2985"/>
    <w:rsid w:val="1CBE3220"/>
    <w:rsid w:val="1CDD5945"/>
    <w:rsid w:val="1D067F66"/>
    <w:rsid w:val="1E554352"/>
    <w:rsid w:val="1EE61F3B"/>
    <w:rsid w:val="1EEC5780"/>
    <w:rsid w:val="1F6317DE"/>
    <w:rsid w:val="1F8445E2"/>
    <w:rsid w:val="20F52909"/>
    <w:rsid w:val="21645399"/>
    <w:rsid w:val="2288155B"/>
    <w:rsid w:val="229E0D7F"/>
    <w:rsid w:val="234954B7"/>
    <w:rsid w:val="242E7AAF"/>
    <w:rsid w:val="244A6D04"/>
    <w:rsid w:val="250B5264"/>
    <w:rsid w:val="253D487F"/>
    <w:rsid w:val="25DC4098"/>
    <w:rsid w:val="279F62A8"/>
    <w:rsid w:val="27F54F9D"/>
    <w:rsid w:val="28C57065"/>
    <w:rsid w:val="2AA120A1"/>
    <w:rsid w:val="2BEA0B91"/>
    <w:rsid w:val="2C934D84"/>
    <w:rsid w:val="2CF5772A"/>
    <w:rsid w:val="2D52047E"/>
    <w:rsid w:val="2D7A0017"/>
    <w:rsid w:val="2D853E99"/>
    <w:rsid w:val="2DBF2474"/>
    <w:rsid w:val="2E28186F"/>
    <w:rsid w:val="2F8C426B"/>
    <w:rsid w:val="2FC2099E"/>
    <w:rsid w:val="308A4565"/>
    <w:rsid w:val="32BA750F"/>
    <w:rsid w:val="3341553A"/>
    <w:rsid w:val="348576A9"/>
    <w:rsid w:val="35CB1A33"/>
    <w:rsid w:val="369F6D36"/>
    <w:rsid w:val="36CB500A"/>
    <w:rsid w:val="39D76BF8"/>
    <w:rsid w:val="3AEC0D6E"/>
    <w:rsid w:val="3C1D1103"/>
    <w:rsid w:val="3C5C0C10"/>
    <w:rsid w:val="3C7C75E3"/>
    <w:rsid w:val="3D822C5B"/>
    <w:rsid w:val="3EAC7833"/>
    <w:rsid w:val="408C2A3F"/>
    <w:rsid w:val="42343097"/>
    <w:rsid w:val="431B5DA8"/>
    <w:rsid w:val="450D3ACF"/>
    <w:rsid w:val="454B6C7B"/>
    <w:rsid w:val="46965745"/>
    <w:rsid w:val="48B40A34"/>
    <w:rsid w:val="49A93980"/>
    <w:rsid w:val="49EC70E8"/>
    <w:rsid w:val="4A7926B7"/>
    <w:rsid w:val="4AB12B4E"/>
    <w:rsid w:val="4AEB62A8"/>
    <w:rsid w:val="4C143394"/>
    <w:rsid w:val="4C8A18A8"/>
    <w:rsid w:val="4C9F6691"/>
    <w:rsid w:val="4CE216E4"/>
    <w:rsid w:val="4CF338F1"/>
    <w:rsid w:val="4DA90454"/>
    <w:rsid w:val="4DEB443A"/>
    <w:rsid w:val="50373AF5"/>
    <w:rsid w:val="5313787A"/>
    <w:rsid w:val="54551F4C"/>
    <w:rsid w:val="54FD6CCF"/>
    <w:rsid w:val="55110DB9"/>
    <w:rsid w:val="559E04B9"/>
    <w:rsid w:val="55DA7CD6"/>
    <w:rsid w:val="55ED553E"/>
    <w:rsid w:val="56433B96"/>
    <w:rsid w:val="57837888"/>
    <w:rsid w:val="57910988"/>
    <w:rsid w:val="58071E03"/>
    <w:rsid w:val="589A1CF4"/>
    <w:rsid w:val="59A33FA9"/>
    <w:rsid w:val="5A782149"/>
    <w:rsid w:val="5B1F28B0"/>
    <w:rsid w:val="5BA65FD3"/>
    <w:rsid w:val="5BCF0174"/>
    <w:rsid w:val="5C11169E"/>
    <w:rsid w:val="5C1226AA"/>
    <w:rsid w:val="5E341674"/>
    <w:rsid w:val="5EB56C59"/>
    <w:rsid w:val="5EDD1D0C"/>
    <w:rsid w:val="5F385194"/>
    <w:rsid w:val="5F490777"/>
    <w:rsid w:val="5F625C6C"/>
    <w:rsid w:val="5FE34539"/>
    <w:rsid w:val="61933540"/>
    <w:rsid w:val="62C946C9"/>
    <w:rsid w:val="62D53DF6"/>
    <w:rsid w:val="62E3105D"/>
    <w:rsid w:val="63181564"/>
    <w:rsid w:val="63FC0E62"/>
    <w:rsid w:val="64F523F5"/>
    <w:rsid w:val="65856C59"/>
    <w:rsid w:val="65F75DA9"/>
    <w:rsid w:val="66505C29"/>
    <w:rsid w:val="66B9305E"/>
    <w:rsid w:val="66F347C2"/>
    <w:rsid w:val="687E630D"/>
    <w:rsid w:val="69321679"/>
    <w:rsid w:val="694C1F68"/>
    <w:rsid w:val="694E60A0"/>
    <w:rsid w:val="6B364C7D"/>
    <w:rsid w:val="6B66285F"/>
    <w:rsid w:val="6BA02A3F"/>
    <w:rsid w:val="6CFE102F"/>
    <w:rsid w:val="6D4C1AAB"/>
    <w:rsid w:val="6E5D4C17"/>
    <w:rsid w:val="6F103A37"/>
    <w:rsid w:val="6F370FC4"/>
    <w:rsid w:val="71B42DA0"/>
    <w:rsid w:val="71C82D3B"/>
    <w:rsid w:val="72476739"/>
    <w:rsid w:val="750B6F60"/>
    <w:rsid w:val="75105270"/>
    <w:rsid w:val="7601057E"/>
    <w:rsid w:val="76393874"/>
    <w:rsid w:val="773F3C6E"/>
    <w:rsid w:val="775760D4"/>
    <w:rsid w:val="780B49FC"/>
    <w:rsid w:val="785746AF"/>
    <w:rsid w:val="78DD1C09"/>
    <w:rsid w:val="792528A7"/>
    <w:rsid w:val="79837391"/>
    <w:rsid w:val="7B1041D5"/>
    <w:rsid w:val="7EED169F"/>
    <w:rsid w:val="7F84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Plain Text"/>
    <w:basedOn w:val="1"/>
    <w:qFormat/>
    <w:uiPriority w:val="0"/>
    <w:rPr>
      <w:rFonts w:ascii="宋体"/>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qFormat/>
    <w:uiPriority w:val="0"/>
    <w:pPr>
      <w:ind w:firstLine="420" w:firstLineChars="100"/>
    </w:pPr>
    <w:rPr>
      <w:szCs w:val="20"/>
    </w:rPr>
  </w:style>
  <w:style w:type="character" w:styleId="12">
    <w:name w:val="Strong"/>
    <w:qFormat/>
    <w:uiPriority w:val="22"/>
    <w:rPr>
      <w:b/>
      <w:bCs/>
    </w:rPr>
  </w:style>
  <w:style w:type="character" w:styleId="13">
    <w:name w:val="page number"/>
    <w:basedOn w:val="11"/>
    <w:qFormat/>
    <w:uiPriority w:val="0"/>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2298</Words>
  <Characters>2595</Characters>
  <Lines>1</Lines>
  <Paragraphs>1</Paragraphs>
  <TotalTime>2</TotalTime>
  <ScaleCrop>false</ScaleCrop>
  <LinksUpToDate>false</LinksUpToDate>
  <CharactersWithSpaces>2629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2022-09-12T00:09:25Z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2052-11.1.0.12353</vt:lpwstr>
  </property>
</Properties>
</file>