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val="0"/>
          <w:sz w:val="32"/>
          <w:szCs w:val="32"/>
        </w:rPr>
      </w:pPr>
      <w:r>
        <w:rPr>
          <w:rFonts w:hint="eastAsia" w:ascii="仿宋" w:hAnsi="仿宋" w:eastAsia="仿宋" w:cs="仿宋"/>
          <w:b/>
          <w:bCs w:val="0"/>
          <w:color w:val="000000"/>
          <w:sz w:val="32"/>
          <w:szCs w:val="32"/>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67"/>
        <w:gridCol w:w="10749"/>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过程与活动、</w:t>
            </w:r>
          </w:p>
          <w:p>
            <w:pPr>
              <w:spacing w:line="360" w:lineRule="auto"/>
              <w:rPr>
                <w:rFonts w:hint="eastAsia" w:ascii="仿宋" w:hAnsi="仿宋" w:eastAsia="仿宋" w:cs="仿宋"/>
                <w:sz w:val="21"/>
                <w:szCs w:val="21"/>
              </w:rPr>
            </w:pPr>
            <w:r>
              <w:rPr>
                <w:rFonts w:hint="eastAsia" w:ascii="仿宋" w:hAnsi="仿宋" w:eastAsia="仿宋" w:cs="仿宋"/>
                <w:sz w:val="21"/>
                <w:szCs w:val="21"/>
              </w:rPr>
              <w:t>抽样计划</w:t>
            </w:r>
          </w:p>
        </w:tc>
        <w:tc>
          <w:tcPr>
            <w:tcW w:w="1067" w:type="dxa"/>
            <w:vMerge w:val="restart"/>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涉及</w:t>
            </w:r>
          </w:p>
          <w:p>
            <w:pPr>
              <w:spacing w:line="360" w:lineRule="auto"/>
              <w:rPr>
                <w:rFonts w:hint="eastAsia" w:ascii="仿宋" w:hAnsi="仿宋" w:eastAsia="仿宋" w:cs="仿宋"/>
                <w:sz w:val="21"/>
                <w:szCs w:val="21"/>
              </w:rPr>
            </w:pPr>
            <w:r>
              <w:rPr>
                <w:rFonts w:hint="eastAsia" w:ascii="仿宋" w:hAnsi="仿宋" w:eastAsia="仿宋" w:cs="仿宋"/>
                <w:sz w:val="21"/>
                <w:szCs w:val="21"/>
              </w:rPr>
              <w:t>条款</w:t>
            </w:r>
          </w:p>
        </w:tc>
        <w:tc>
          <w:tcPr>
            <w:tcW w:w="10749" w:type="dxa"/>
            <w:vAlign w:val="center"/>
          </w:tcPr>
          <w:p>
            <w:pPr>
              <w:spacing w:line="36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rPr>
              <w:t>受审核部门：</w:t>
            </w:r>
            <w:r>
              <w:rPr>
                <w:rFonts w:hint="eastAsia" w:ascii="宋体" w:hAnsi="宋体"/>
                <w:b/>
                <w:bCs/>
                <w:sz w:val="21"/>
                <w:szCs w:val="21"/>
              </w:rPr>
              <w:t>技术事业部</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管领导：</w:t>
            </w:r>
            <w:r>
              <w:rPr>
                <w:rFonts w:hint="eastAsia"/>
              </w:rPr>
              <w:t>王俊</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陪同人员：</w:t>
            </w:r>
            <w:r>
              <w:rPr>
                <w:rFonts w:hint="eastAsia" w:ascii="仿宋" w:hAnsi="仿宋" w:eastAsia="仿宋" w:cs="仿宋"/>
                <w:sz w:val="21"/>
                <w:szCs w:val="21"/>
                <w:lang w:val="en-US" w:eastAsia="zh-CN"/>
              </w:rPr>
              <w:t>舒承智</w:t>
            </w:r>
          </w:p>
        </w:tc>
        <w:tc>
          <w:tcPr>
            <w:tcW w:w="733"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420" w:firstLineChars="200"/>
              <w:rPr>
                <w:rFonts w:hint="eastAsia" w:ascii="仿宋" w:hAnsi="仿宋" w:eastAsia="仿宋" w:cs="仿宋"/>
                <w:sz w:val="21"/>
                <w:szCs w:val="21"/>
              </w:rPr>
            </w:pPr>
          </w:p>
        </w:tc>
        <w:tc>
          <w:tcPr>
            <w:tcW w:w="1067" w:type="dxa"/>
            <w:vMerge w:val="continue"/>
            <w:vAlign w:val="center"/>
          </w:tcPr>
          <w:p>
            <w:pPr>
              <w:spacing w:line="360" w:lineRule="auto"/>
              <w:ind w:firstLine="420" w:firstLineChars="200"/>
              <w:rPr>
                <w:rFonts w:hint="eastAsia" w:ascii="仿宋" w:hAnsi="仿宋" w:eastAsia="仿宋" w:cs="仿宋"/>
                <w:sz w:val="21"/>
                <w:szCs w:val="21"/>
              </w:rPr>
            </w:pPr>
          </w:p>
        </w:tc>
        <w:tc>
          <w:tcPr>
            <w:tcW w:w="10749" w:type="dxa"/>
            <w:vAlign w:val="center"/>
          </w:tcPr>
          <w:p>
            <w:pPr>
              <w:spacing w:line="360" w:lineRule="auto"/>
              <w:ind w:firstLine="420" w:firstLineChars="200"/>
              <w:rPr>
                <w:rFonts w:hint="default" w:ascii="仿宋" w:hAnsi="仿宋" w:eastAsia="仿宋" w:cs="仿宋"/>
                <w:sz w:val="21"/>
                <w:szCs w:val="21"/>
                <w:lang w:val="en-US" w:eastAsia="zh-CN"/>
              </w:rPr>
            </w:pPr>
            <w:r>
              <w:rPr>
                <w:rFonts w:hint="eastAsia" w:ascii="仿宋" w:hAnsi="仿宋" w:eastAsia="仿宋" w:cs="仿宋"/>
                <w:sz w:val="21"/>
                <w:szCs w:val="21"/>
              </w:rPr>
              <w:t xml:space="preserve">审核员： </w:t>
            </w:r>
            <w:r>
              <w:rPr>
                <w:rFonts w:hint="eastAsia" w:ascii="仿宋" w:hAnsi="仿宋" w:eastAsia="仿宋" w:cs="仿宋"/>
                <w:sz w:val="21"/>
                <w:szCs w:val="21"/>
                <w:lang w:val="en-US" w:eastAsia="zh-CN"/>
              </w:rPr>
              <w:t>强兴</w:t>
            </w:r>
            <w:r>
              <w:rPr>
                <w:rFonts w:hint="eastAsia" w:ascii="仿宋" w:hAnsi="仿宋" w:eastAsia="仿宋" w:cs="仿宋"/>
                <w:sz w:val="21"/>
                <w:szCs w:val="21"/>
              </w:rPr>
              <w:t xml:space="preserve">  </w:t>
            </w:r>
            <w:r>
              <w:rPr>
                <w:sz w:val="20"/>
                <w:lang w:val="de-DE"/>
              </w:rPr>
              <w:t>员凯恒</w:t>
            </w:r>
            <w:r>
              <w:rPr>
                <w:rFonts w:hint="eastAsia" w:ascii="仿宋" w:hAnsi="仿宋" w:eastAsia="仿宋" w:cs="仿宋"/>
                <w:sz w:val="21"/>
                <w:szCs w:val="21"/>
              </w:rPr>
              <w:t xml:space="preserve">       审核时间：</w:t>
            </w:r>
            <w:r>
              <w:rPr>
                <w:rFonts w:hint="eastAsia" w:ascii="仿宋" w:hAnsi="仿宋" w:eastAsia="仿宋" w:cs="仿宋"/>
                <w:sz w:val="21"/>
                <w:szCs w:val="21"/>
                <w:lang w:eastAsia="zh-CN"/>
              </w:rPr>
              <w:t>202</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8.16</w:t>
            </w:r>
            <w:r>
              <w:rPr>
                <w:rFonts w:hint="eastAsia" w:ascii="宋体" w:hAnsi="宋体" w:cs="Arial"/>
                <w:sz w:val="21"/>
                <w:szCs w:val="21"/>
              </w:rPr>
              <w:t>（工程监理项目</w:t>
            </w:r>
            <w:r>
              <w:rPr>
                <w:rFonts w:hint="eastAsia" w:ascii="宋体" w:hAnsi="宋体" w:cs="Arial"/>
                <w:bCs w:val="0"/>
                <w:spacing w:val="0"/>
                <w:sz w:val="21"/>
                <w:szCs w:val="21"/>
              </w:rPr>
              <w:t>地址：西安市雁塔区东仪路</w:t>
            </w:r>
            <w:r>
              <w:rPr>
                <w:rFonts w:hint="eastAsia" w:ascii="宋体" w:hAnsi="宋体" w:cs="Arial"/>
                <w:sz w:val="21"/>
                <w:szCs w:val="21"/>
              </w:rPr>
              <w:t>）</w:t>
            </w:r>
          </w:p>
        </w:tc>
        <w:tc>
          <w:tcPr>
            <w:tcW w:w="733" w:type="dxa"/>
            <w:vMerge w:val="continue"/>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420" w:firstLineChars="200"/>
              <w:rPr>
                <w:rFonts w:hint="eastAsia" w:ascii="仿宋" w:hAnsi="仿宋" w:eastAsia="仿宋" w:cs="仿宋"/>
                <w:sz w:val="21"/>
                <w:szCs w:val="21"/>
              </w:rPr>
            </w:pPr>
          </w:p>
        </w:tc>
        <w:tc>
          <w:tcPr>
            <w:tcW w:w="1067" w:type="dxa"/>
            <w:vMerge w:val="continue"/>
            <w:vAlign w:val="center"/>
          </w:tcPr>
          <w:p>
            <w:pPr>
              <w:spacing w:line="360" w:lineRule="auto"/>
              <w:ind w:firstLine="420" w:firstLineChars="200"/>
              <w:rPr>
                <w:rFonts w:hint="eastAsia" w:ascii="仿宋" w:hAnsi="仿宋" w:eastAsia="仿宋" w:cs="仿宋"/>
                <w:sz w:val="21"/>
                <w:szCs w:val="21"/>
              </w:rPr>
            </w:pPr>
          </w:p>
        </w:tc>
        <w:tc>
          <w:tcPr>
            <w:tcW w:w="10749" w:type="dxa"/>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审核条款：E/OMS: 5.3组织的岗位、职责和权限、6.2环境与职业健康安全目标、6.1.2环境因素/危险源辨识与评价、8.1运行策划和控制、8.2应急准备和响应</w:t>
            </w:r>
          </w:p>
        </w:tc>
        <w:tc>
          <w:tcPr>
            <w:tcW w:w="733" w:type="dxa"/>
            <w:vMerge w:val="continue"/>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vAlign w:val="top"/>
          </w:tcPr>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组织的岗位、职责和权限</w:t>
            </w:r>
          </w:p>
        </w:tc>
        <w:tc>
          <w:tcPr>
            <w:tcW w:w="1067" w:type="dxa"/>
            <w:vAlign w:val="top"/>
          </w:tcPr>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EO</w:t>
            </w:r>
            <w:r>
              <w:rPr>
                <w:rFonts w:hint="eastAsia" w:ascii="仿宋" w:hAnsi="仿宋" w:eastAsia="仿宋" w:cs="仿宋"/>
                <w:sz w:val="21"/>
                <w:szCs w:val="21"/>
              </w:rPr>
              <w:t xml:space="preserve">:5.3 </w:t>
            </w:r>
          </w:p>
        </w:tc>
        <w:tc>
          <w:tcPr>
            <w:tcW w:w="10749" w:type="dxa"/>
            <w:vAlign w:val="center"/>
          </w:tcPr>
          <w:p>
            <w:pPr>
              <w:adjustRightInd w:val="0"/>
              <w:snapToGrid w:val="0"/>
              <w:spacing w:line="400" w:lineRule="exact"/>
              <w:rPr>
                <w:rFonts w:hint="eastAsia" w:ascii="仿宋" w:hAnsi="仿宋" w:eastAsia="仿宋" w:cs="仿宋"/>
                <w:color w:val="000000"/>
                <w:szCs w:val="21"/>
                <w:lang w:val="en-US" w:eastAsia="zh-CN"/>
              </w:rPr>
            </w:pPr>
            <w:r>
              <w:rPr>
                <w:rFonts w:hint="eastAsia" w:ascii="仿宋" w:hAnsi="仿宋" w:eastAsia="仿宋" w:cs="仿宋"/>
                <w:color w:val="000000"/>
                <w:szCs w:val="21"/>
              </w:rPr>
              <w:t>技术事业部</w:t>
            </w:r>
            <w:r>
              <w:rPr>
                <w:rFonts w:hint="eastAsia" w:ascii="仿宋" w:hAnsi="仿宋" w:eastAsia="仿宋" w:cs="仿宋"/>
                <w:color w:val="000000"/>
                <w:szCs w:val="21"/>
                <w:lang w:val="en-US" w:eastAsia="zh-CN"/>
              </w:rPr>
              <w:t>主要职责：</w:t>
            </w:r>
          </w:p>
          <w:p>
            <w:pPr>
              <w:numPr>
                <w:ilvl w:val="0"/>
                <w:numId w:val="1"/>
              </w:numPr>
              <w:adjustRightInd w:val="0"/>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负责工程勘察的工作。</w:t>
            </w:r>
          </w:p>
          <w:p>
            <w:pPr>
              <w:numPr>
                <w:ilvl w:val="0"/>
                <w:numId w:val="1"/>
              </w:numPr>
              <w:adjustRightInd w:val="0"/>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承担设计过程的策划、分工和设计过程各阶段评审、验证、确认和设计更改工作。</w:t>
            </w:r>
          </w:p>
          <w:p>
            <w:pPr>
              <w:numPr>
                <w:ilvl w:val="0"/>
                <w:numId w:val="1"/>
              </w:numPr>
              <w:adjustRightInd w:val="0"/>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负责市场开拓、项目的承揽、合同评审及签订和所需物资的采购及供方评价工作。</w:t>
            </w:r>
          </w:p>
          <w:p>
            <w:pPr>
              <w:numPr>
                <w:ilvl w:val="0"/>
                <w:numId w:val="1"/>
              </w:numPr>
              <w:adjustRightInd w:val="0"/>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负责产品生命周期环境因素的识别和运行控制。</w:t>
            </w:r>
          </w:p>
          <w:p>
            <w:pPr>
              <w:numPr>
                <w:ilvl w:val="0"/>
                <w:numId w:val="1"/>
              </w:numPr>
              <w:adjustRightInd w:val="0"/>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负责本部门有关的环境因素、危险源的控制。</w:t>
            </w:r>
          </w:p>
          <w:p>
            <w:pPr>
              <w:numPr>
                <w:ilvl w:val="0"/>
                <w:numId w:val="1"/>
              </w:numPr>
              <w:adjustRightInd w:val="0"/>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负责主、辅材料（包括环境、职业健康安全监测、污染防治物资）的采购、保管和发放，保证环保安全所用物资正常供应；</w:t>
            </w:r>
          </w:p>
          <w:p>
            <w:pPr>
              <w:numPr>
                <w:ilvl w:val="0"/>
                <w:numId w:val="1"/>
              </w:numPr>
              <w:adjustRightInd w:val="0"/>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负责对供方施加环境、职业健康安全影响并与其签订安全环保协议（或将安全环保内容纳入合同中）；</w:t>
            </w:r>
          </w:p>
          <w:p>
            <w:pPr>
              <w:numPr>
                <w:ilvl w:val="0"/>
                <w:numId w:val="1"/>
              </w:numPr>
              <w:adjustRightInd w:val="0"/>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负责公司环保监测和用于环保计量的仪表、仪器的周期检定、校验和维修；</w:t>
            </w:r>
          </w:p>
          <w:p>
            <w:pPr>
              <w:numPr>
                <w:ilvl w:val="0"/>
                <w:numId w:val="1"/>
              </w:numPr>
              <w:adjustRightInd w:val="0"/>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负责突发环境、职业健康安全事件应急物资的采购和供应；</w:t>
            </w:r>
          </w:p>
          <w:p>
            <w:pPr>
              <w:adjustRightInd w:val="0"/>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5) 各部门的通用职责</w:t>
            </w:r>
          </w:p>
          <w:p>
            <w:pPr>
              <w:numPr>
                <w:ilvl w:val="0"/>
                <w:numId w:val="2"/>
              </w:numPr>
              <w:tabs>
                <w:tab w:val="left" w:pos="709"/>
              </w:tabs>
              <w:adjustRightInd w:val="0"/>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负责本部门活动、产品和服务中环境因素、危险源的识别、评价和控制；</w:t>
            </w:r>
          </w:p>
          <w:p>
            <w:pPr>
              <w:numPr>
                <w:ilvl w:val="0"/>
                <w:numId w:val="2"/>
              </w:numPr>
              <w:tabs>
                <w:tab w:val="left" w:pos="709"/>
              </w:tabs>
              <w:adjustRightInd w:val="0"/>
              <w:snapToGrid w:val="0"/>
              <w:spacing w:line="400" w:lineRule="exact"/>
              <w:ind w:right="-2"/>
              <w:rPr>
                <w:rFonts w:hint="eastAsia" w:ascii="仿宋" w:hAnsi="仿宋" w:eastAsia="仿宋" w:cs="仿宋"/>
                <w:color w:val="000000"/>
                <w:szCs w:val="21"/>
              </w:rPr>
            </w:pPr>
            <w:r>
              <w:rPr>
                <w:rFonts w:hint="eastAsia" w:ascii="仿宋" w:hAnsi="仿宋" w:eastAsia="仿宋" w:cs="仿宋"/>
                <w:color w:val="000000"/>
                <w:szCs w:val="21"/>
              </w:rPr>
              <w:t>负责本部门环境、职业健康安全管理目标、指标和管理方案制订和实施；</w:t>
            </w:r>
          </w:p>
          <w:p>
            <w:pPr>
              <w:numPr>
                <w:ilvl w:val="0"/>
                <w:numId w:val="2"/>
              </w:numPr>
              <w:tabs>
                <w:tab w:val="left" w:pos="709"/>
              </w:tabs>
              <w:adjustRightInd w:val="0"/>
              <w:snapToGrid w:val="0"/>
              <w:spacing w:line="400" w:lineRule="exact"/>
              <w:ind w:right="-2"/>
              <w:rPr>
                <w:rFonts w:hint="eastAsia" w:ascii="仿宋" w:hAnsi="仿宋" w:eastAsia="仿宋" w:cs="仿宋"/>
                <w:color w:val="000000"/>
                <w:szCs w:val="21"/>
              </w:rPr>
            </w:pPr>
            <w:r>
              <w:rPr>
                <w:rFonts w:hint="eastAsia" w:ascii="仿宋" w:hAnsi="仿宋" w:eastAsia="仿宋" w:cs="仿宋"/>
                <w:color w:val="000000"/>
                <w:szCs w:val="21"/>
              </w:rPr>
              <w:t>负责本部门员工环境、职业健康安全意识的教育和培训；</w:t>
            </w:r>
          </w:p>
          <w:p>
            <w:pPr>
              <w:numPr>
                <w:ilvl w:val="0"/>
                <w:numId w:val="2"/>
              </w:numPr>
              <w:tabs>
                <w:tab w:val="left" w:pos="709"/>
              </w:tabs>
              <w:adjustRightInd w:val="0"/>
              <w:snapToGrid w:val="0"/>
              <w:spacing w:line="400" w:lineRule="exact"/>
              <w:ind w:right="-2"/>
              <w:rPr>
                <w:rFonts w:hint="eastAsia" w:ascii="仿宋" w:hAnsi="仿宋" w:eastAsia="仿宋" w:cs="仿宋"/>
                <w:color w:val="000000"/>
                <w:szCs w:val="21"/>
              </w:rPr>
            </w:pPr>
            <w:r>
              <w:rPr>
                <w:rFonts w:hint="eastAsia" w:ascii="仿宋" w:hAnsi="仿宋" w:eastAsia="仿宋" w:cs="仿宋"/>
                <w:color w:val="000000"/>
                <w:szCs w:val="21"/>
              </w:rPr>
              <w:t>负责本部门环境、职业健康安全管理体系实施运行，节能减排，防治污染；</w:t>
            </w:r>
          </w:p>
          <w:p>
            <w:pPr>
              <w:numPr>
                <w:ilvl w:val="0"/>
                <w:numId w:val="2"/>
              </w:numPr>
              <w:tabs>
                <w:tab w:val="left" w:pos="709"/>
              </w:tabs>
              <w:adjustRightInd w:val="0"/>
              <w:snapToGrid w:val="0"/>
              <w:spacing w:line="400" w:lineRule="exact"/>
              <w:ind w:right="-2"/>
              <w:rPr>
                <w:rFonts w:hint="eastAsia" w:ascii="仿宋" w:hAnsi="仿宋" w:eastAsia="仿宋" w:cs="仿宋"/>
                <w:color w:val="000000"/>
                <w:szCs w:val="21"/>
              </w:rPr>
            </w:pPr>
            <w:r>
              <w:rPr>
                <w:rFonts w:hint="eastAsia" w:ascii="仿宋" w:hAnsi="仿宋" w:eastAsia="仿宋" w:cs="仿宋"/>
                <w:color w:val="000000"/>
                <w:szCs w:val="21"/>
              </w:rPr>
              <w:t>负责本部门范围内危险品的登记、发放和使用检查；</w:t>
            </w:r>
          </w:p>
          <w:p>
            <w:pPr>
              <w:numPr>
                <w:ilvl w:val="0"/>
                <w:numId w:val="2"/>
              </w:numPr>
              <w:tabs>
                <w:tab w:val="left" w:pos="709"/>
              </w:tabs>
              <w:adjustRightInd w:val="0"/>
              <w:snapToGrid w:val="0"/>
              <w:spacing w:line="400" w:lineRule="exact"/>
              <w:ind w:right="-2"/>
              <w:rPr>
                <w:rFonts w:hint="eastAsia" w:ascii="仿宋" w:hAnsi="仿宋" w:eastAsia="仿宋" w:cs="仿宋"/>
                <w:color w:val="000000"/>
                <w:szCs w:val="21"/>
              </w:rPr>
            </w:pPr>
            <w:r>
              <w:rPr>
                <w:rFonts w:hint="eastAsia" w:ascii="仿宋" w:hAnsi="仿宋" w:eastAsia="仿宋" w:cs="仿宋"/>
                <w:color w:val="000000"/>
                <w:szCs w:val="21"/>
              </w:rPr>
              <w:t>负责本部门环境、职业健康安全的日常检查和监测；</w:t>
            </w:r>
          </w:p>
          <w:p>
            <w:pPr>
              <w:numPr>
                <w:ilvl w:val="0"/>
                <w:numId w:val="2"/>
              </w:numPr>
              <w:tabs>
                <w:tab w:val="left" w:pos="709"/>
              </w:tabs>
              <w:adjustRightInd w:val="0"/>
              <w:snapToGrid w:val="0"/>
              <w:spacing w:line="400" w:lineRule="exact"/>
              <w:ind w:right="-2"/>
              <w:rPr>
                <w:rFonts w:hint="eastAsia" w:ascii="仿宋" w:hAnsi="仿宋" w:eastAsia="仿宋" w:cs="仿宋"/>
                <w:color w:val="000000"/>
                <w:szCs w:val="21"/>
              </w:rPr>
            </w:pPr>
            <w:r>
              <w:rPr>
                <w:rFonts w:hint="eastAsia" w:ascii="仿宋" w:hAnsi="仿宋" w:eastAsia="仿宋" w:cs="仿宋"/>
                <w:color w:val="000000"/>
                <w:szCs w:val="21"/>
              </w:rPr>
              <w:t>负责本部门环境、职业健康安全事故、事件、不符合的调查、处理和改进；</w:t>
            </w:r>
          </w:p>
          <w:p>
            <w:pPr>
              <w:numPr>
                <w:ilvl w:val="0"/>
                <w:numId w:val="2"/>
              </w:numPr>
              <w:tabs>
                <w:tab w:val="left" w:pos="709"/>
              </w:tabs>
              <w:adjustRightInd w:val="0"/>
              <w:snapToGrid w:val="0"/>
              <w:spacing w:line="400" w:lineRule="exact"/>
              <w:ind w:right="-2"/>
              <w:rPr>
                <w:rFonts w:hint="eastAsia" w:ascii="仿宋" w:hAnsi="仿宋" w:eastAsia="仿宋" w:cs="仿宋"/>
                <w:color w:val="000000"/>
                <w:szCs w:val="21"/>
              </w:rPr>
            </w:pPr>
            <w:r>
              <w:rPr>
                <w:rFonts w:hint="eastAsia" w:ascii="仿宋" w:hAnsi="仿宋" w:eastAsia="仿宋" w:cs="仿宋"/>
                <w:color w:val="000000"/>
                <w:szCs w:val="21"/>
              </w:rPr>
              <w:t>负责本部门的固体废弃物的管理。</w:t>
            </w:r>
          </w:p>
          <w:p>
            <w:pPr>
              <w:spacing w:line="36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rPr>
              <w:t>询问</w:t>
            </w:r>
            <w:r>
              <w:rPr>
                <w:rFonts w:hint="eastAsia" w:ascii="仿宋" w:hAnsi="仿宋" w:eastAsia="仿宋" w:cs="仿宋"/>
                <w:sz w:val="21"/>
                <w:szCs w:val="21"/>
                <w:lang w:val="en-US" w:eastAsia="zh-CN"/>
              </w:rPr>
              <w:t>部门负责</w:t>
            </w:r>
            <w:r>
              <w:rPr>
                <w:rFonts w:hint="eastAsia" w:ascii="仿宋" w:hAnsi="仿宋" w:eastAsia="仿宋" w:cs="仿宋"/>
                <w:sz w:val="21"/>
                <w:szCs w:val="21"/>
              </w:rPr>
              <w:t>人员，基本清楚本部门职责。</w:t>
            </w:r>
          </w:p>
        </w:tc>
        <w:tc>
          <w:tcPr>
            <w:tcW w:w="733" w:type="dxa"/>
          </w:tcPr>
          <w:p>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环境因素评价和控制措施的确定</w:t>
            </w:r>
            <w:r>
              <w:rPr>
                <w:rFonts w:hint="eastAsia" w:ascii="仿宋" w:hAnsi="仿宋" w:eastAsia="仿宋" w:cs="仿宋"/>
                <w:sz w:val="21"/>
                <w:szCs w:val="21"/>
                <w:lang w:eastAsia="zh-CN"/>
              </w:rPr>
              <w:t>、</w:t>
            </w:r>
            <w:r>
              <w:rPr>
                <w:rFonts w:hint="eastAsia" w:ascii="仿宋" w:hAnsi="仿宋" w:eastAsia="仿宋" w:cs="仿宋"/>
                <w:sz w:val="21"/>
                <w:szCs w:val="21"/>
              </w:rPr>
              <w:t>危险源辨识和控制措施的确定</w:t>
            </w:r>
          </w:p>
        </w:tc>
        <w:tc>
          <w:tcPr>
            <w:tcW w:w="1067"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E</w:t>
            </w:r>
            <w:r>
              <w:rPr>
                <w:rFonts w:hint="eastAsia" w:ascii="仿宋" w:hAnsi="仿宋" w:eastAsia="仿宋" w:cs="仿宋"/>
                <w:sz w:val="21"/>
                <w:szCs w:val="21"/>
                <w:lang w:val="en-US" w:eastAsia="zh-CN"/>
              </w:rPr>
              <w:t>O</w:t>
            </w:r>
            <w:r>
              <w:rPr>
                <w:rFonts w:hint="eastAsia" w:ascii="仿宋" w:hAnsi="仿宋" w:eastAsia="仿宋" w:cs="仿宋"/>
                <w:sz w:val="21"/>
                <w:szCs w:val="21"/>
              </w:rPr>
              <w:t>6.1.2</w:t>
            </w:r>
          </w:p>
        </w:tc>
        <w:tc>
          <w:tcPr>
            <w:tcW w:w="10749" w:type="dxa"/>
            <w:vAlign w:val="center"/>
          </w:tcPr>
          <w:p>
            <w:pPr>
              <w:spacing w:line="36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编制了《环境因素的识别与评价控制程序》、《危险源辩识、风险评价和风险控制策划程序》符合标准要求</w:t>
            </w:r>
          </w:p>
          <w:p>
            <w:pPr>
              <w:spacing w:line="36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提供的“环境因素清单”36项、“重要环境因素清单”3项， 评价考虑了三种时态现在、过去、将来、三种状态、异常、正常、紧急考虑了法律法规，并进行了评价，用打分法考虑了法规符合性、发生频次、影响范围等, 通过定性判断法，共识别出重大环境因素2项。</w:t>
            </w:r>
          </w:p>
          <w:p>
            <w:pPr>
              <w:spacing w:line="36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对重要环境因素的控制措施包括制定管理制度、监督检查、应急预案、培训等。提供《重要环境因素识别清单》，其中经营事业部涉及的重要环境因素：固体废弃物排放、意外火灾的发生，评价基本合理。</w:t>
            </w:r>
          </w:p>
          <w:p>
            <w:pPr>
              <w:spacing w:line="36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p>
          <w:p>
            <w:pPr>
              <w:spacing w:line="36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提供：识别的“危险源识别及评价表”识别出危险源24项，评价内容：序号，作业、活动点，潜在的危害因素，可能导致的事故，作业条件危险性评价，危险等级，是否不可接受风险，现有控制措施等。</w:t>
            </w:r>
          </w:p>
          <w:p>
            <w:pPr>
              <w:spacing w:line="36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识别人：舒诚智、田姣、孙方婧等。</w:t>
            </w:r>
          </w:p>
          <w:p>
            <w:pPr>
              <w:spacing w:line="36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涉及的危险源有：计算机辐射，设备损坏漏电引起触电、火灾；电磁辐射人身损害；车辆意外事故等等。</w:t>
            </w:r>
          </w:p>
          <w:p>
            <w:pPr>
              <w:ind w:firstLine="420" w:firstLineChars="200"/>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提供的：“重大危险源清单”， 共识别出不可接受风险6项，涉及：触电、火灾、机械伤害、高空坠落、物体打击、交通伤害，评价符合程序要求及公司的实际情况。对危险源的控制措施包括制定管理制度、监督检查、应急预案、培训等。</w:t>
            </w:r>
          </w:p>
        </w:tc>
        <w:tc>
          <w:tcPr>
            <w:tcW w:w="733" w:type="dxa"/>
          </w:tcPr>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pStyle w:val="8"/>
              <w:rPr>
                <w:rFonts w:hint="eastAsia" w:ascii="仿宋" w:hAnsi="仿宋" w:eastAsia="仿宋" w:cs="仿宋"/>
                <w:sz w:val="21"/>
                <w:szCs w:val="21"/>
              </w:rPr>
            </w:pPr>
          </w:p>
          <w:p>
            <w:pPr>
              <w:rPr>
                <w:rFonts w:hint="eastAsia" w:ascii="仿宋" w:hAnsi="仿宋" w:eastAsia="仿宋" w:cs="仿宋"/>
                <w:sz w:val="21"/>
                <w:szCs w:val="21"/>
              </w:rPr>
            </w:pPr>
          </w:p>
          <w:p>
            <w:pPr>
              <w:pStyle w:val="8"/>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2160" w:type="dxa"/>
            <w:vAlign w:val="top"/>
          </w:tcPr>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环境与职业健康安全目标</w:t>
            </w:r>
          </w:p>
        </w:tc>
        <w:tc>
          <w:tcPr>
            <w:tcW w:w="1067" w:type="dxa"/>
            <w:vAlign w:val="top"/>
          </w:tcPr>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EO</w:t>
            </w:r>
            <w:r>
              <w:rPr>
                <w:rFonts w:hint="eastAsia" w:ascii="仿宋" w:hAnsi="仿宋" w:eastAsia="仿宋" w:cs="仿宋"/>
                <w:sz w:val="21"/>
                <w:szCs w:val="21"/>
              </w:rPr>
              <w:t>:6.2</w:t>
            </w:r>
          </w:p>
        </w:tc>
        <w:tc>
          <w:tcPr>
            <w:tcW w:w="10749" w:type="dxa"/>
            <w:vAlign w:val="top"/>
          </w:tcPr>
          <w:p>
            <w:pPr>
              <w:snapToGrid w:val="0"/>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eastAsia="zh-CN"/>
              </w:rPr>
              <w:t>涉及质量工程部的环境和职业健康安全管理目标及完成情况：</w:t>
            </w:r>
          </w:p>
          <w:p>
            <w:pPr>
              <w:numPr>
                <w:ilvl w:val="0"/>
                <w:numId w:val="3"/>
              </w:numPr>
              <w:snapToGrid w:val="0"/>
              <w:spacing w:line="360" w:lineRule="auto"/>
              <w:rPr>
                <w:rFonts w:hint="eastAsia" w:ascii="仿宋" w:hAnsi="仿宋" w:eastAsia="仿宋" w:cs="仿宋"/>
                <w:sz w:val="21"/>
                <w:szCs w:val="21"/>
                <w:lang w:val="en-US" w:eastAsia="zh-CN"/>
              </w:rPr>
            </w:pPr>
            <w:r>
              <w:rPr>
                <w:rFonts w:hint="eastAsia" w:ascii="仿宋" w:hAnsi="仿宋" w:eastAsia="仿宋" w:cs="仿宋"/>
                <w:kern w:val="0"/>
                <w:sz w:val="21"/>
                <w:szCs w:val="21"/>
              </w:rPr>
              <w:t>固废分类处理及时率100%</w:t>
            </w:r>
            <w:r>
              <w:rPr>
                <w:rFonts w:hint="eastAsia" w:ascii="仿宋" w:hAnsi="仿宋" w:eastAsia="仿宋" w:cs="仿宋"/>
                <w:sz w:val="21"/>
                <w:szCs w:val="21"/>
                <w:lang w:val="en-US" w:eastAsia="zh-CN"/>
              </w:rPr>
              <w:t>;</w:t>
            </w:r>
            <w:r>
              <w:rPr>
                <w:rFonts w:hint="eastAsia" w:ascii="仿宋" w:hAnsi="仿宋" w:eastAsia="仿宋" w:cs="仿宋"/>
                <w:sz w:val="21"/>
                <w:szCs w:val="21"/>
                <w:lang w:val="en-US" w:eastAsia="zh-CN"/>
              </w:rPr>
              <w:tab/>
            </w:r>
            <w:r>
              <w:rPr>
                <w:rFonts w:hint="eastAsia" w:ascii="仿宋" w:hAnsi="仿宋" w:eastAsia="仿宋" w:cs="仿宋"/>
                <w:sz w:val="21"/>
                <w:szCs w:val="21"/>
                <w:lang w:val="en-US" w:eastAsia="zh-CN"/>
              </w:rPr>
              <w:t xml:space="preserve">  </w:t>
            </w:r>
          </w:p>
          <w:p>
            <w:pPr>
              <w:snapToGrid w:val="0"/>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rPr>
              <w:t>火灾事故为零</w:t>
            </w:r>
            <w:r>
              <w:rPr>
                <w:rFonts w:hint="eastAsia" w:ascii="仿宋" w:hAnsi="仿宋" w:eastAsia="仿宋" w:cs="仿宋"/>
                <w:sz w:val="21"/>
                <w:szCs w:val="21"/>
                <w:lang w:eastAsia="zh-CN"/>
              </w:rPr>
              <w:t>；</w:t>
            </w:r>
          </w:p>
          <w:p>
            <w:pPr>
              <w:snapToGrid w:val="0"/>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重大安全事故为零</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ab/>
            </w:r>
            <w:r>
              <w:rPr>
                <w:rFonts w:hint="eastAsia" w:ascii="仿宋" w:hAnsi="仿宋" w:eastAsia="仿宋" w:cs="仿宋"/>
                <w:sz w:val="21"/>
                <w:szCs w:val="21"/>
                <w:lang w:val="en-US" w:eastAsia="zh-CN"/>
              </w:rPr>
              <w:t xml:space="preserve">        </w:t>
            </w:r>
          </w:p>
          <w:p>
            <w:pPr>
              <w:pStyle w:val="2"/>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w:t>
            </w:r>
            <w:r>
              <w:rPr>
                <w:rFonts w:hint="eastAsia" w:ascii="仿宋" w:hAnsi="仿宋" w:eastAsia="仿宋" w:cs="仿宋"/>
                <w:bCs/>
                <w:sz w:val="21"/>
                <w:szCs w:val="21"/>
              </w:rPr>
              <w:t>高空坠落事故为零</w:t>
            </w:r>
            <w:r>
              <w:rPr>
                <w:rFonts w:hint="eastAsia" w:ascii="仿宋" w:hAnsi="仿宋" w:eastAsia="仿宋" w:cs="仿宋"/>
                <w:bCs/>
                <w:sz w:val="21"/>
                <w:szCs w:val="21"/>
                <w:lang w:val="en-US" w:eastAsia="zh-CN"/>
              </w:rPr>
              <w:t>;</w:t>
            </w:r>
          </w:p>
          <w:p>
            <w:pPr>
              <w:pStyle w:val="2"/>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5、</w:t>
            </w:r>
            <w:r>
              <w:rPr>
                <w:rFonts w:hint="eastAsia" w:ascii="仿宋" w:hAnsi="仿宋" w:eastAsia="仿宋" w:cs="仿宋"/>
                <w:bCs/>
                <w:sz w:val="21"/>
                <w:szCs w:val="21"/>
              </w:rPr>
              <w:t>环境投诉事件为零</w:t>
            </w:r>
            <w:r>
              <w:rPr>
                <w:rFonts w:hint="eastAsia" w:ascii="仿宋" w:hAnsi="仿宋" w:eastAsia="仿宋" w:cs="仿宋"/>
                <w:bCs/>
                <w:sz w:val="21"/>
                <w:szCs w:val="21"/>
                <w:lang w:val="en-US" w:eastAsia="zh-CN"/>
              </w:rPr>
              <w:t>;</w:t>
            </w:r>
          </w:p>
          <w:p>
            <w:pPr>
              <w:pStyle w:val="2"/>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6、</w:t>
            </w:r>
            <w:r>
              <w:rPr>
                <w:rFonts w:hint="eastAsia" w:ascii="仿宋" w:hAnsi="仿宋" w:eastAsia="仿宋" w:cs="仿宋"/>
                <w:bCs/>
                <w:sz w:val="21"/>
                <w:szCs w:val="21"/>
              </w:rPr>
              <w:t>机械伤害事故为零</w:t>
            </w:r>
            <w:r>
              <w:rPr>
                <w:rFonts w:hint="eastAsia" w:ascii="仿宋" w:hAnsi="仿宋" w:eastAsia="仿宋" w:cs="仿宋"/>
                <w:bCs/>
                <w:sz w:val="21"/>
                <w:szCs w:val="21"/>
                <w:lang w:val="en-US" w:eastAsia="zh-CN"/>
              </w:rPr>
              <w:t>;</w:t>
            </w:r>
          </w:p>
          <w:p>
            <w:pPr>
              <w:pStyle w:val="2"/>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7、触电伤害为零。</w:t>
            </w:r>
          </w:p>
          <w:p>
            <w:pPr>
              <w:pStyle w:val="2"/>
              <w:rPr>
                <w:rFonts w:hint="eastAsia" w:ascii="仿宋" w:hAnsi="仿宋" w:eastAsia="仿宋" w:cs="仿宋"/>
                <w:bCs/>
                <w:spacing w:val="10"/>
                <w:kern w:val="2"/>
                <w:sz w:val="21"/>
                <w:szCs w:val="21"/>
                <w:lang w:val="en-US" w:eastAsia="zh-CN" w:bidi="ar-SA"/>
              </w:rPr>
            </w:pPr>
            <w:r>
              <w:rPr>
                <w:rFonts w:hint="eastAsia" w:ascii="仿宋" w:hAnsi="仿宋" w:eastAsia="仿宋" w:cs="仿宋"/>
                <w:sz w:val="21"/>
                <w:szCs w:val="21"/>
                <w:lang w:val="en-US" w:eastAsia="zh-CN"/>
              </w:rPr>
              <w:t>考核周期2022年1-7月，考核人：田姣，考核日期：2022.8.3日，考核目标全部完成。</w:t>
            </w:r>
          </w:p>
        </w:tc>
        <w:tc>
          <w:tcPr>
            <w:tcW w:w="733" w:type="dxa"/>
            <w:vAlign w:val="top"/>
          </w:tcPr>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2160" w:type="dxa"/>
            <w:vAlign w:val="center"/>
          </w:tcPr>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运行控制</w:t>
            </w:r>
          </w:p>
        </w:tc>
        <w:tc>
          <w:tcPr>
            <w:tcW w:w="1067"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E</w:t>
            </w:r>
            <w:r>
              <w:rPr>
                <w:rFonts w:hint="eastAsia" w:ascii="仿宋" w:hAnsi="仿宋" w:eastAsia="仿宋" w:cs="仿宋"/>
                <w:sz w:val="21"/>
                <w:szCs w:val="21"/>
                <w:lang w:val="en-US" w:eastAsia="zh-CN"/>
              </w:rPr>
              <w:t>O</w:t>
            </w:r>
            <w:r>
              <w:rPr>
                <w:rFonts w:hint="eastAsia" w:ascii="仿宋" w:hAnsi="仿宋" w:eastAsia="仿宋" w:cs="仿宋"/>
                <w:sz w:val="21"/>
                <w:szCs w:val="21"/>
              </w:rPr>
              <w:t>8.1</w:t>
            </w:r>
          </w:p>
        </w:tc>
        <w:tc>
          <w:tcPr>
            <w:tcW w:w="10749" w:type="dxa"/>
            <w:vAlign w:val="center"/>
          </w:tcPr>
          <w:p>
            <w:pPr>
              <w:spacing w:line="360" w:lineRule="auto"/>
              <w:ind w:firstLine="420" w:firstLineChars="200"/>
              <w:rPr>
                <w:rFonts w:hint="eastAsia" w:ascii="仿宋" w:hAnsi="仿宋" w:eastAsia="仿宋" w:cs="仿宋"/>
                <w:lang w:val="en-US" w:eastAsia="zh-CN"/>
              </w:rPr>
            </w:pPr>
            <w:r>
              <w:rPr>
                <w:rFonts w:hint="eastAsia" w:ascii="仿宋" w:hAnsi="仿宋" w:eastAsia="仿宋" w:cs="仿宋"/>
              </w:rPr>
              <w:t>本部门应执行的运行控制文件包括：</w:t>
            </w:r>
            <w:r>
              <w:rPr>
                <w:rFonts w:hint="eastAsia" w:ascii="仿宋" w:hAnsi="仿宋" w:eastAsia="仿宋" w:cs="仿宋"/>
                <w:lang w:val="en-US" w:eastAsia="zh-CN"/>
              </w:rPr>
              <w:t>危险源和环境因素识别、风险评价和控制程序；环境和健康安全运行控制程序</w:t>
            </w:r>
            <w:r>
              <w:rPr>
                <w:rFonts w:hint="eastAsia" w:ascii="仿宋" w:hAnsi="仿宋" w:eastAsia="仿宋" w:cs="仿宋"/>
                <w:lang w:val="en-GB" w:eastAsia="zh-CN"/>
              </w:rPr>
              <w:t>、</w:t>
            </w:r>
            <w:r>
              <w:rPr>
                <w:rFonts w:hint="eastAsia" w:ascii="仿宋" w:hAnsi="仿宋" w:eastAsia="仿宋" w:cs="仿宋"/>
                <w:lang w:val="en-US" w:eastAsia="zh-CN"/>
              </w:rPr>
              <w:t>环境和职业健康安全绩效和监视控制程序、</w:t>
            </w:r>
            <w:r>
              <w:rPr>
                <w:rFonts w:hint="eastAsia" w:ascii="仿宋" w:hAnsi="仿宋" w:eastAsia="仿宋" w:cs="仿宋"/>
                <w:lang w:val="en-GB" w:eastAsia="zh-CN"/>
              </w:rPr>
              <w:t>固体废弃物管理</w:t>
            </w:r>
            <w:r>
              <w:rPr>
                <w:rFonts w:hint="eastAsia" w:ascii="仿宋" w:hAnsi="仿宋" w:eastAsia="仿宋" w:cs="仿宋"/>
                <w:lang w:val="en-US" w:eastAsia="zh-CN"/>
              </w:rPr>
              <w:t>规定</w:t>
            </w:r>
            <w:r>
              <w:rPr>
                <w:rFonts w:hint="eastAsia" w:ascii="仿宋" w:hAnsi="仿宋" w:eastAsia="仿宋" w:cs="仿宋"/>
                <w:lang w:val="en-GB" w:eastAsia="zh-CN"/>
              </w:rPr>
              <w:t>、</w:t>
            </w:r>
            <w:r>
              <w:rPr>
                <w:rFonts w:hint="eastAsia" w:ascii="仿宋" w:hAnsi="仿宋" w:eastAsia="仿宋" w:cs="仿宋"/>
                <w:lang w:val="en-US" w:eastAsia="zh-CN"/>
              </w:rPr>
              <w:t>安全管理制度、劳动用品管理规定、节能降耗管理规定等。</w:t>
            </w:r>
          </w:p>
          <w:p>
            <w:pPr>
              <w:spacing w:line="360" w:lineRule="auto"/>
              <w:ind w:firstLine="420" w:firstLineChars="200"/>
              <w:rPr>
                <w:rFonts w:hint="eastAsia" w:ascii="仿宋" w:hAnsi="仿宋" w:eastAsia="仿宋" w:cs="仿宋"/>
              </w:rPr>
            </w:pPr>
            <w:r>
              <w:rPr>
                <w:rFonts w:hint="eastAsia" w:ascii="仿宋" w:hAnsi="仿宋" w:eastAsia="仿宋" w:cs="仿宋"/>
              </w:rPr>
              <w:t>运行控制情况：</w:t>
            </w:r>
          </w:p>
          <w:p>
            <w:pPr>
              <w:spacing w:line="360" w:lineRule="auto"/>
              <w:ind w:firstLine="420" w:firstLineChars="200"/>
              <w:rPr>
                <w:rFonts w:hint="eastAsia" w:ascii="仿宋" w:hAnsi="仿宋" w:eastAsia="仿宋" w:cs="仿宋"/>
              </w:rPr>
            </w:pPr>
            <w:r>
              <w:rPr>
                <w:rFonts w:hint="eastAsia" w:ascii="仿宋" w:hAnsi="仿宋" w:eastAsia="仿宋" w:cs="仿宋"/>
                <w:lang w:val="en-US" w:eastAsia="zh-CN"/>
              </w:rPr>
              <w:t>办公</w:t>
            </w:r>
            <w:r>
              <w:rPr>
                <w:rFonts w:hint="eastAsia" w:ascii="仿宋" w:hAnsi="仿宋" w:eastAsia="仿宋" w:cs="仿宋"/>
              </w:rPr>
              <w:t>区域：污水：不涉及污水，没有污水排放，生活用水排放城市管网。</w:t>
            </w:r>
          </w:p>
          <w:p>
            <w:pPr>
              <w:spacing w:line="360" w:lineRule="auto"/>
              <w:ind w:firstLine="420" w:firstLineChars="200"/>
              <w:rPr>
                <w:rFonts w:hint="eastAsia" w:ascii="仿宋" w:hAnsi="仿宋" w:eastAsia="仿宋" w:cs="仿宋"/>
              </w:rPr>
            </w:pPr>
            <w:r>
              <w:rPr>
                <w:rFonts w:hint="eastAsia" w:ascii="仿宋" w:hAnsi="仿宋" w:eastAsia="仿宋" w:cs="仿宋"/>
              </w:rPr>
              <w:t>噪声：办公现场不产生明显噪声。</w:t>
            </w:r>
          </w:p>
          <w:p>
            <w:pPr>
              <w:spacing w:line="360" w:lineRule="auto"/>
              <w:ind w:firstLine="420" w:firstLineChars="200"/>
              <w:rPr>
                <w:rFonts w:hint="eastAsia" w:ascii="仿宋" w:hAnsi="仿宋" w:eastAsia="仿宋" w:cs="仿宋"/>
              </w:rPr>
            </w:pPr>
            <w:r>
              <w:rPr>
                <w:rFonts w:hint="eastAsia" w:ascii="仿宋" w:hAnsi="仿宋" w:eastAsia="仿宋" w:cs="仿宋"/>
              </w:rPr>
              <w:t>固废：固体废物主要是办公产生废纸张等，配置了纸篓；办公用纸由</w:t>
            </w:r>
            <w:bookmarkStart w:id="0" w:name="_GoBack"/>
            <w:bookmarkEnd w:id="0"/>
            <w:r>
              <w:rPr>
                <w:rFonts w:hint="eastAsia" w:ascii="仿宋" w:hAnsi="仿宋" w:eastAsia="仿宋" w:cs="仿宋"/>
                <w:lang w:eastAsia="zh-CN"/>
              </w:rPr>
              <w:t>经营事业部</w:t>
            </w:r>
            <w:r>
              <w:rPr>
                <w:rFonts w:hint="eastAsia" w:ascii="仿宋" w:hAnsi="仿宋" w:eastAsia="仿宋" w:cs="仿宋"/>
              </w:rPr>
              <w:t>负责，复印、打印耗材都有</w:t>
            </w:r>
            <w:r>
              <w:rPr>
                <w:rFonts w:hint="eastAsia" w:ascii="仿宋" w:hAnsi="仿宋" w:eastAsia="仿宋" w:cs="仿宋"/>
                <w:lang w:eastAsia="zh-CN"/>
              </w:rPr>
              <w:t>经营事业部</w:t>
            </w:r>
            <w:r>
              <w:rPr>
                <w:rFonts w:hint="eastAsia" w:ascii="仿宋" w:hAnsi="仿宋" w:eastAsia="仿宋" w:cs="仿宋"/>
              </w:rPr>
              <w:t>统一负责，集中处置。</w:t>
            </w:r>
          </w:p>
          <w:p>
            <w:pPr>
              <w:spacing w:line="360" w:lineRule="auto"/>
              <w:ind w:firstLine="420" w:firstLineChars="200"/>
              <w:rPr>
                <w:rFonts w:hint="eastAsia" w:ascii="仿宋" w:hAnsi="仿宋" w:eastAsia="仿宋" w:cs="仿宋"/>
              </w:rPr>
            </w:pPr>
            <w:r>
              <w:rPr>
                <w:rFonts w:hint="eastAsia" w:ascii="仿宋" w:hAnsi="仿宋" w:eastAsia="仿宋" w:cs="仿宋"/>
              </w:rPr>
              <w:t>办公过程注意节约用电，做到人走灯灭，电脑长时间不用时关机，下班前要关闭电源，防止触电。</w:t>
            </w:r>
          </w:p>
          <w:p>
            <w:pPr>
              <w:spacing w:line="360" w:lineRule="auto"/>
              <w:ind w:firstLine="420" w:firstLineChars="200"/>
              <w:rPr>
                <w:rFonts w:hint="eastAsia" w:ascii="仿宋" w:hAnsi="仿宋" w:eastAsia="仿宋" w:cs="仿宋"/>
              </w:rPr>
            </w:pPr>
            <w:r>
              <w:rPr>
                <w:rFonts w:hint="eastAsia" w:ascii="仿宋" w:hAnsi="仿宋" w:eastAsia="仿宋" w:cs="仿宋"/>
              </w:rPr>
              <w:t>办公区域禁止吸烟，现场查看办公区域环境整洁、宽敞、办公设备状态良好、无安全隐患。</w:t>
            </w:r>
          </w:p>
          <w:p>
            <w:pPr>
              <w:spacing w:line="360" w:lineRule="auto"/>
              <w:ind w:firstLine="420" w:firstLineChars="200"/>
              <w:rPr>
                <w:rFonts w:hint="eastAsia" w:ascii="仿宋" w:hAnsi="仿宋" w:eastAsia="仿宋" w:cs="仿宋"/>
              </w:rPr>
            </w:pPr>
            <w:r>
              <w:rPr>
                <w:rFonts w:hint="eastAsia" w:ascii="仿宋" w:hAnsi="仿宋" w:eastAsia="仿宋" w:cs="仿宋"/>
              </w:rPr>
              <w:t>工作时间平均每天不超过8小时。</w:t>
            </w:r>
          </w:p>
          <w:p>
            <w:pPr>
              <w:spacing w:line="360" w:lineRule="auto"/>
              <w:ind w:firstLine="420" w:firstLineChars="200"/>
              <w:rPr>
                <w:rFonts w:hint="eastAsia" w:ascii="仿宋" w:hAnsi="仿宋" w:eastAsia="仿宋" w:cs="仿宋"/>
              </w:rPr>
            </w:pPr>
            <w:r>
              <w:rPr>
                <w:rFonts w:hint="eastAsia" w:ascii="仿宋" w:hAnsi="仿宋" w:eastAsia="仿宋" w:cs="仿宋"/>
              </w:rPr>
              <w:t>现场查看办公区域</w:t>
            </w:r>
            <w:r>
              <w:rPr>
                <w:rFonts w:hint="eastAsia" w:ascii="仿宋" w:hAnsi="仿宋" w:eastAsia="仿宋" w:cs="仿宋"/>
                <w:lang w:eastAsia="zh-CN"/>
              </w:rPr>
              <w:t>（</w:t>
            </w:r>
            <w:r>
              <w:rPr>
                <w:rFonts w:hint="eastAsia" w:ascii="仿宋" w:hAnsi="仿宋" w:eastAsia="仿宋" w:cs="仿宋"/>
              </w:rPr>
              <w:t>工程监理</w:t>
            </w:r>
            <w:r>
              <w:rPr>
                <w:rFonts w:hint="eastAsia" w:ascii="仿宋" w:hAnsi="仿宋" w:eastAsia="仿宋" w:cs="仿宋"/>
                <w:lang w:val="en-US" w:eastAsia="zh-CN"/>
              </w:rPr>
              <w:t>现场</w:t>
            </w:r>
            <w:r>
              <w:rPr>
                <w:rFonts w:hint="eastAsia" w:ascii="仿宋" w:hAnsi="仿宋" w:eastAsia="仿宋" w:cs="仿宋"/>
                <w:lang w:eastAsia="zh-CN"/>
              </w:rPr>
              <w:t>）</w:t>
            </w:r>
            <w:r>
              <w:rPr>
                <w:rFonts w:hint="eastAsia" w:ascii="仿宋" w:hAnsi="仿宋" w:eastAsia="仿宋" w:cs="仿宋"/>
              </w:rPr>
              <w:t>配备的</w:t>
            </w:r>
            <w:r>
              <w:rPr>
                <w:rFonts w:hint="eastAsia" w:ascii="仿宋" w:hAnsi="仿宋" w:eastAsia="仿宋" w:cs="仿宋"/>
                <w:lang w:val="en-US" w:eastAsia="zh-CN"/>
              </w:rPr>
              <w:t>消防柜、</w:t>
            </w:r>
            <w:r>
              <w:rPr>
                <w:rFonts w:hint="eastAsia" w:ascii="仿宋" w:hAnsi="仿宋" w:eastAsia="仿宋" w:cs="仿宋"/>
              </w:rPr>
              <w:t>灭火器在有效期内。</w:t>
            </w:r>
          </w:p>
          <w:p>
            <w:pPr>
              <w:spacing w:line="360" w:lineRule="auto"/>
              <w:ind w:firstLine="420" w:firstLineChars="200"/>
              <w:rPr>
                <w:rFonts w:hint="eastAsia" w:ascii="仿宋" w:hAnsi="仿宋" w:eastAsia="仿宋" w:cs="仿宋"/>
              </w:rPr>
            </w:pPr>
            <w:r>
              <w:rPr>
                <w:rFonts w:hint="eastAsia" w:ascii="仿宋" w:hAnsi="仿宋" w:eastAsia="仿宋" w:cs="仿宋"/>
              </w:rPr>
              <w:t>现场查看办公区域，整洁、光线充足、室内空气良好、配置有空调，办公条件较好，办公设备安全状态良好，教育员工正确使用办公设备，现场用电基本规范，无乱拉线现象，防止火灾发生。</w:t>
            </w:r>
          </w:p>
          <w:p>
            <w:pPr>
              <w:spacing w:line="360" w:lineRule="auto"/>
              <w:ind w:firstLine="420" w:firstLineChars="200"/>
              <w:rPr>
                <w:rFonts w:hint="eastAsia" w:ascii="仿宋" w:hAnsi="仿宋" w:eastAsia="仿宋" w:cs="仿宋"/>
              </w:rPr>
            </w:pPr>
            <w:r>
              <w:rPr>
                <w:rFonts w:hint="eastAsia" w:ascii="仿宋" w:hAnsi="仿宋" w:eastAsia="仿宋" w:cs="仿宋"/>
              </w:rPr>
              <w:t>相关方施加影响：在与顾客沟通和</w:t>
            </w:r>
            <w:r>
              <w:rPr>
                <w:rFonts w:hint="eastAsia" w:ascii="仿宋" w:hAnsi="仿宋" w:eastAsia="仿宋" w:cs="仿宋"/>
                <w:lang w:eastAsia="zh-CN"/>
              </w:rPr>
              <w:t>监理</w:t>
            </w:r>
            <w:r>
              <w:rPr>
                <w:rFonts w:hint="eastAsia" w:ascii="仿宋" w:hAnsi="仿宋" w:eastAsia="仿宋" w:cs="仿宋"/>
              </w:rPr>
              <w:t>时，通过选择适当时机向顾客宣传本公司的职业健康安全的方针理念以及本公司的具体做法、成绩等，向顾客施加职业健康安全的影响，增强顾客对本公司的信任程度。</w:t>
            </w:r>
          </w:p>
          <w:p>
            <w:pPr>
              <w:spacing w:line="360" w:lineRule="auto"/>
              <w:ind w:firstLine="420" w:firstLineChars="200"/>
              <w:jc w:val="both"/>
              <w:rPr>
                <w:rFonts w:hint="eastAsia" w:ascii="仿宋" w:hAnsi="仿宋" w:eastAsia="仿宋" w:cs="仿宋"/>
                <w:lang w:eastAsia="zh-CN"/>
              </w:rPr>
            </w:pPr>
            <w:r>
              <w:rPr>
                <w:rFonts w:hint="eastAsia" w:ascii="仿宋" w:hAnsi="仿宋" w:eastAsia="仿宋" w:cs="仿宋"/>
              </w:rPr>
              <w:t>驾驶员要求遵守道路交通安全法规，不违章驾车，驾驶证和车辆定期年审，确保行车安全。</w:t>
            </w:r>
            <w:r>
              <w:rPr>
                <w:rFonts w:hint="eastAsia" w:ascii="仿宋" w:hAnsi="仿宋" w:eastAsia="仿宋" w:cs="仿宋"/>
                <w:lang w:eastAsia="zh-CN"/>
              </w:rPr>
              <w:drawing>
                <wp:inline distT="0" distB="0" distL="114300" distR="114300">
                  <wp:extent cx="3368675" cy="2881630"/>
                  <wp:effectExtent l="0" t="0" r="9525" b="1270"/>
                  <wp:docPr id="1" name="图片 1" descr="微信图片_2022081811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818115814"/>
                          <pic:cNvPicPr>
                            <a:picLocks noChangeAspect="1"/>
                          </pic:cNvPicPr>
                        </pic:nvPicPr>
                        <pic:blipFill>
                          <a:blip r:embed="rId6"/>
                          <a:stretch>
                            <a:fillRect/>
                          </a:stretch>
                        </pic:blipFill>
                        <pic:spPr>
                          <a:xfrm>
                            <a:off x="0" y="0"/>
                            <a:ext cx="3368675" cy="2881630"/>
                          </a:xfrm>
                          <a:prstGeom prst="rect">
                            <a:avLst/>
                          </a:prstGeom>
                        </pic:spPr>
                      </pic:pic>
                    </a:graphicData>
                  </a:graphic>
                </wp:inline>
              </w:drawing>
            </w:r>
            <w:r>
              <w:rPr>
                <w:rFonts w:hint="eastAsia" w:ascii="仿宋" w:hAnsi="仿宋" w:eastAsia="仿宋" w:cs="仿宋"/>
                <w:lang w:eastAsia="zh-CN"/>
              </w:rPr>
              <w:drawing>
                <wp:inline distT="0" distB="0" distL="114300" distR="114300">
                  <wp:extent cx="3220720" cy="2909570"/>
                  <wp:effectExtent l="0" t="0" r="5080" b="11430"/>
                  <wp:docPr id="2" name="图片 2" descr="微信图片_20220818115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818115703"/>
                          <pic:cNvPicPr>
                            <a:picLocks noChangeAspect="1"/>
                          </pic:cNvPicPr>
                        </pic:nvPicPr>
                        <pic:blipFill>
                          <a:blip r:embed="rId7"/>
                          <a:stretch>
                            <a:fillRect/>
                          </a:stretch>
                        </pic:blipFill>
                        <pic:spPr>
                          <a:xfrm>
                            <a:off x="0" y="0"/>
                            <a:ext cx="3220720" cy="2909570"/>
                          </a:xfrm>
                          <a:prstGeom prst="rect">
                            <a:avLst/>
                          </a:prstGeom>
                        </pic:spPr>
                      </pic:pic>
                    </a:graphicData>
                  </a:graphic>
                </wp:inline>
              </w:drawing>
            </w:r>
            <w:r>
              <w:rPr>
                <w:rFonts w:hint="eastAsia" w:ascii="仿宋" w:hAnsi="仿宋" w:eastAsia="仿宋" w:cs="仿宋"/>
                <w:lang w:eastAsia="zh-CN"/>
              </w:rPr>
              <w:drawing>
                <wp:inline distT="0" distB="0" distL="114300" distR="114300">
                  <wp:extent cx="6684010" cy="2723515"/>
                  <wp:effectExtent l="0" t="0" r="8890" b="6985"/>
                  <wp:docPr id="3" name="图片 3" descr="微信图片_2022081811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818115753"/>
                          <pic:cNvPicPr>
                            <a:picLocks noChangeAspect="1"/>
                          </pic:cNvPicPr>
                        </pic:nvPicPr>
                        <pic:blipFill>
                          <a:blip r:embed="rId8"/>
                          <a:stretch>
                            <a:fillRect/>
                          </a:stretch>
                        </pic:blipFill>
                        <pic:spPr>
                          <a:xfrm>
                            <a:off x="0" y="0"/>
                            <a:ext cx="6684010" cy="2723515"/>
                          </a:xfrm>
                          <a:prstGeom prst="rect">
                            <a:avLst/>
                          </a:prstGeom>
                        </pic:spPr>
                      </pic:pic>
                    </a:graphicData>
                  </a:graphic>
                </wp:inline>
              </w:drawing>
            </w:r>
          </w:p>
          <w:p>
            <w:pPr>
              <w:pStyle w:val="2"/>
              <w:rPr>
                <w:rFonts w:hint="eastAsia" w:ascii="仿宋" w:hAnsi="仿宋" w:eastAsia="仿宋" w:cs="仿宋"/>
                <w:lang w:eastAsia="zh-CN"/>
              </w:rPr>
            </w:pPr>
            <w:r>
              <w:rPr>
                <w:rFonts w:hint="eastAsia" w:ascii="仿宋" w:hAnsi="仿宋" w:eastAsia="仿宋" w:cs="仿宋"/>
                <w:lang w:val="en-US" w:eastAsia="zh-CN"/>
              </w:rPr>
              <w:drawing>
                <wp:anchor distT="0" distB="0" distL="114300" distR="114300" simplePos="0" relativeHeight="251658240" behindDoc="0" locked="0" layoutInCell="1" allowOverlap="1">
                  <wp:simplePos x="0" y="0"/>
                  <wp:positionH relativeFrom="column">
                    <wp:posOffset>34290</wp:posOffset>
                  </wp:positionH>
                  <wp:positionV relativeFrom="paragraph">
                    <wp:posOffset>70485</wp:posOffset>
                  </wp:positionV>
                  <wp:extent cx="6637020" cy="2654935"/>
                  <wp:effectExtent l="0" t="0" r="5080" b="12065"/>
                  <wp:wrapNone/>
                  <wp:docPr id="5" name="图片 5" descr="微信图片_20220818120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818120548"/>
                          <pic:cNvPicPr>
                            <a:picLocks noChangeAspect="1"/>
                          </pic:cNvPicPr>
                        </pic:nvPicPr>
                        <pic:blipFill>
                          <a:blip r:embed="rId9"/>
                          <a:stretch>
                            <a:fillRect/>
                          </a:stretch>
                        </pic:blipFill>
                        <pic:spPr>
                          <a:xfrm>
                            <a:off x="0" y="0"/>
                            <a:ext cx="6637020" cy="2654935"/>
                          </a:xfrm>
                          <a:prstGeom prst="rect">
                            <a:avLst/>
                          </a:prstGeom>
                        </pic:spPr>
                      </pic:pic>
                    </a:graphicData>
                  </a:graphic>
                </wp:anchor>
              </w:drawing>
            </w:r>
          </w:p>
          <w:p>
            <w:pPr>
              <w:pStyle w:val="2"/>
              <w:rPr>
                <w:rFonts w:hint="eastAsia" w:ascii="仿宋" w:hAnsi="仿宋" w:eastAsia="仿宋" w:cs="仿宋"/>
                <w:lang w:eastAsia="zh-CN"/>
              </w:rPr>
            </w:pPr>
          </w:p>
          <w:p>
            <w:pPr>
              <w:pStyle w:val="2"/>
              <w:rPr>
                <w:rFonts w:hint="eastAsia" w:ascii="仿宋" w:hAnsi="仿宋" w:eastAsia="仿宋" w:cs="仿宋"/>
                <w:lang w:eastAsia="zh-CN"/>
              </w:rPr>
            </w:pPr>
          </w:p>
          <w:p>
            <w:pPr>
              <w:pStyle w:val="2"/>
              <w:rPr>
                <w:rFonts w:hint="eastAsia" w:ascii="仿宋" w:hAnsi="仿宋" w:eastAsia="仿宋" w:cs="仿宋"/>
                <w:lang w:eastAsia="zh-CN"/>
              </w:rPr>
            </w:pPr>
          </w:p>
          <w:p>
            <w:pPr>
              <w:pStyle w:val="2"/>
              <w:rPr>
                <w:rFonts w:hint="eastAsia" w:ascii="仿宋" w:hAnsi="仿宋" w:eastAsia="仿宋" w:cs="仿宋"/>
                <w:lang w:eastAsia="zh-CN"/>
              </w:rPr>
            </w:pPr>
          </w:p>
          <w:p>
            <w:pPr>
              <w:pStyle w:val="2"/>
              <w:rPr>
                <w:rFonts w:hint="eastAsia" w:ascii="仿宋" w:hAnsi="仿宋" w:eastAsia="仿宋" w:cs="仿宋"/>
                <w:lang w:eastAsia="zh-CN"/>
              </w:rPr>
            </w:pPr>
          </w:p>
          <w:p>
            <w:pPr>
              <w:pStyle w:val="2"/>
              <w:rPr>
                <w:rFonts w:hint="eastAsia" w:ascii="仿宋" w:hAnsi="仿宋" w:eastAsia="仿宋" w:cs="仿宋"/>
                <w:lang w:eastAsia="zh-CN"/>
              </w:rPr>
            </w:pPr>
          </w:p>
          <w:p>
            <w:pPr>
              <w:pStyle w:val="2"/>
              <w:rPr>
                <w:rFonts w:hint="eastAsia" w:ascii="仿宋" w:hAnsi="仿宋" w:eastAsia="仿宋" w:cs="仿宋"/>
                <w:lang w:eastAsia="zh-CN"/>
              </w:rPr>
            </w:pPr>
          </w:p>
          <w:p>
            <w:pPr>
              <w:pStyle w:val="2"/>
              <w:rPr>
                <w:rFonts w:hint="eastAsia" w:ascii="仿宋" w:hAnsi="仿宋" w:eastAsia="仿宋" w:cs="仿宋"/>
                <w:lang w:eastAsia="zh-CN"/>
              </w:rPr>
            </w:pPr>
          </w:p>
          <w:p>
            <w:pPr>
              <w:pStyle w:val="2"/>
              <w:rPr>
                <w:rFonts w:hint="eastAsia" w:ascii="仿宋" w:hAnsi="仿宋" w:eastAsia="仿宋" w:cs="仿宋"/>
                <w:lang w:eastAsia="zh-CN"/>
              </w:rPr>
            </w:pPr>
          </w:p>
          <w:p>
            <w:pPr>
              <w:pStyle w:val="2"/>
              <w:rPr>
                <w:rFonts w:hint="eastAsia" w:ascii="仿宋" w:hAnsi="仿宋" w:eastAsia="仿宋" w:cs="仿宋"/>
                <w:lang w:eastAsia="zh-CN"/>
              </w:rPr>
            </w:pPr>
          </w:p>
          <w:p>
            <w:pPr>
              <w:pStyle w:val="2"/>
              <w:rPr>
                <w:rFonts w:hint="eastAsia" w:ascii="仿宋" w:hAnsi="仿宋" w:eastAsia="仿宋" w:cs="仿宋"/>
                <w:lang w:eastAsia="zh-CN"/>
              </w:rPr>
            </w:pPr>
          </w:p>
          <w:p>
            <w:pPr>
              <w:pStyle w:val="2"/>
              <w:rPr>
                <w:rFonts w:hint="eastAsia" w:ascii="仿宋" w:hAnsi="仿宋" w:eastAsia="仿宋" w:cs="仿宋"/>
                <w:lang w:eastAsia="zh-CN"/>
              </w:rPr>
            </w:pPr>
          </w:p>
          <w:p>
            <w:pPr>
              <w:pStyle w:val="2"/>
              <w:rPr>
                <w:rFonts w:hint="eastAsia" w:ascii="仿宋" w:hAnsi="仿宋" w:eastAsia="仿宋" w:cs="仿宋"/>
                <w:lang w:eastAsia="zh-CN"/>
              </w:rPr>
            </w:pP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drawing>
                <wp:inline distT="0" distB="0" distL="114300" distR="114300">
                  <wp:extent cx="6656070" cy="2920365"/>
                  <wp:effectExtent l="0" t="0" r="11430" b="635"/>
                  <wp:docPr id="6" name="图片 6" descr="微信图片_20220818120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0818120528"/>
                          <pic:cNvPicPr>
                            <a:picLocks noChangeAspect="1"/>
                          </pic:cNvPicPr>
                        </pic:nvPicPr>
                        <pic:blipFill>
                          <a:blip r:embed="rId10"/>
                          <a:stretch>
                            <a:fillRect/>
                          </a:stretch>
                        </pic:blipFill>
                        <pic:spPr>
                          <a:xfrm>
                            <a:off x="0" y="0"/>
                            <a:ext cx="6656070" cy="2920365"/>
                          </a:xfrm>
                          <a:prstGeom prst="rect">
                            <a:avLst/>
                          </a:prstGeom>
                        </pic:spPr>
                      </pic:pic>
                    </a:graphicData>
                  </a:graphic>
                </wp:inline>
              </w:drawing>
            </w:r>
            <w:r>
              <w:rPr>
                <w:rFonts w:hint="eastAsia" w:ascii="仿宋" w:hAnsi="仿宋" w:eastAsia="仿宋" w:cs="仿宋"/>
                <w:lang w:val="en-US" w:eastAsia="zh-CN"/>
              </w:rPr>
              <w:t>监理到施工现场时必须带安全帽。</w:t>
            </w:r>
          </w:p>
          <w:p>
            <w:pPr>
              <w:pStyle w:val="2"/>
              <w:rPr>
                <w:rFonts w:hint="eastAsia" w:ascii="仿宋" w:hAnsi="仿宋" w:eastAsia="仿宋" w:cs="仿宋"/>
                <w:lang w:val="en-US" w:eastAsia="zh-CN"/>
              </w:rPr>
            </w:pPr>
            <w:r>
              <w:rPr>
                <w:rFonts w:hint="eastAsia" w:ascii="仿宋" w:hAnsi="仿宋" w:eastAsia="仿宋" w:cs="仿宋"/>
                <w:bCs w:val="0"/>
                <w:spacing w:val="0"/>
                <w:kern w:val="2"/>
                <w:sz w:val="21"/>
                <w:szCs w:val="21"/>
                <w:lang w:val="en-US" w:eastAsia="zh-CN" w:bidi="ar-SA"/>
              </w:rPr>
              <w:t>员工有交社保。</w:t>
            </w:r>
            <w:r>
              <w:rPr>
                <w:rFonts w:hint="eastAsia" w:ascii="仿宋" w:hAnsi="仿宋" w:eastAsia="仿宋" w:cs="仿宋"/>
                <w:bCs w:val="0"/>
                <w:spacing w:val="0"/>
                <w:kern w:val="2"/>
                <w:sz w:val="21"/>
                <w:szCs w:val="21"/>
                <w:lang w:val="en-US" w:eastAsia="zh-TW" w:bidi="ar-SA"/>
              </w:rPr>
              <w:t>部门运行控制基本符合要求。</w:t>
            </w:r>
          </w:p>
        </w:tc>
        <w:tc>
          <w:tcPr>
            <w:tcW w:w="733" w:type="dxa"/>
          </w:tcPr>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pStyle w:val="8"/>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2160" w:type="dxa"/>
            <w:vAlign w:val="center"/>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rPr>
              <w:t>应急准备和响应</w:t>
            </w:r>
          </w:p>
        </w:tc>
        <w:tc>
          <w:tcPr>
            <w:tcW w:w="1067"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E</w:t>
            </w:r>
            <w:r>
              <w:rPr>
                <w:rFonts w:hint="eastAsia" w:ascii="仿宋" w:hAnsi="仿宋" w:eastAsia="仿宋" w:cs="仿宋"/>
                <w:sz w:val="21"/>
                <w:szCs w:val="21"/>
                <w:lang w:val="en-US" w:eastAsia="zh-CN"/>
              </w:rPr>
              <w:t>O</w:t>
            </w:r>
            <w:r>
              <w:rPr>
                <w:rFonts w:hint="eastAsia" w:ascii="仿宋" w:hAnsi="仿宋" w:eastAsia="仿宋" w:cs="仿宋"/>
                <w:sz w:val="21"/>
                <w:szCs w:val="21"/>
              </w:rPr>
              <w:t>8.2</w:t>
            </w:r>
          </w:p>
          <w:p>
            <w:pPr>
              <w:spacing w:line="360" w:lineRule="auto"/>
              <w:ind w:firstLine="420" w:firstLineChars="200"/>
              <w:rPr>
                <w:rFonts w:hint="eastAsia" w:ascii="仿宋" w:hAnsi="仿宋" w:eastAsia="仿宋" w:cs="仿宋"/>
                <w:sz w:val="21"/>
                <w:szCs w:val="21"/>
                <w:lang w:val="en-US" w:eastAsia="zh-CN"/>
              </w:rPr>
            </w:pPr>
          </w:p>
        </w:tc>
        <w:tc>
          <w:tcPr>
            <w:tcW w:w="10749" w:type="dxa"/>
            <w:vAlign w:val="center"/>
          </w:tcPr>
          <w:p>
            <w:pPr>
              <w:spacing w:line="360" w:lineRule="auto"/>
              <w:ind w:firstLine="420" w:firstLineChars="200"/>
              <w:rPr>
                <w:rFonts w:hint="eastAsia" w:ascii="仿宋" w:hAnsi="仿宋" w:eastAsia="仿宋" w:cs="仿宋"/>
                <w:sz w:val="21"/>
                <w:szCs w:val="21"/>
                <w:lang w:val="zh-CN"/>
              </w:rPr>
            </w:pPr>
            <w:r>
              <w:rPr>
                <w:rFonts w:hint="eastAsia" w:ascii="仿宋" w:hAnsi="仿宋" w:eastAsia="仿宋" w:cs="仿宋"/>
                <w:sz w:val="21"/>
                <w:szCs w:val="21"/>
                <w:lang w:val="zh-CN"/>
              </w:rPr>
              <w:t>公司制定《应急准备与响应控制程序》，预防或减少潜在安全事故或紧急情况造成的影响，对可能发生的各种重要环境危险源的紧急情况做出积极准备和响应，以减少事故造成的影响。</w:t>
            </w:r>
          </w:p>
          <w:p>
            <w:pPr>
              <w:spacing w:line="36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zh-CN"/>
              </w:rPr>
              <w:t>提供了《火灾应急预案》等，包括发生火灾等紧急情况的处置和应急抢救方案等内容。技术事业部参与了由经营事业部组织的应急演练，详见经营事业部记录。</w:t>
            </w:r>
          </w:p>
        </w:tc>
        <w:tc>
          <w:tcPr>
            <w:tcW w:w="733" w:type="dxa"/>
            <w:vAlign w:val="top"/>
          </w:tcPr>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符合</w:t>
            </w:r>
          </w:p>
        </w:tc>
      </w:tr>
    </w:tbl>
    <w:p>
      <w:pPr>
        <w:rPr>
          <w:rFonts w:hint="eastAsia" w:ascii="仿宋" w:hAnsi="仿宋" w:eastAsia="仿宋" w:cs="仿宋"/>
          <w:sz w:val="21"/>
          <w:szCs w:val="21"/>
        </w:rPr>
      </w:pPr>
      <w:r>
        <w:rPr>
          <w:rFonts w:hint="eastAsia" w:ascii="仿宋" w:hAnsi="仿宋" w:eastAsia="仿宋" w:cs="仿宋"/>
          <w:sz w:val="21"/>
          <w:szCs w:val="21"/>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96529"/>
    <w:multiLevelType w:val="multilevel"/>
    <w:tmpl w:val="0D496529"/>
    <w:lvl w:ilvl="0" w:tentative="0">
      <w:start w:val="1"/>
      <w:numFmt w:val="lowerLetter"/>
      <w:lvlText w:val="%1)"/>
      <w:lvlJc w:val="left"/>
      <w:pPr>
        <w:tabs>
          <w:tab w:val="left" w:pos="1004"/>
        </w:tabs>
        <w:ind w:left="1004"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8824087"/>
    <w:multiLevelType w:val="singleLevel"/>
    <w:tmpl w:val="78824087"/>
    <w:lvl w:ilvl="0" w:tentative="0">
      <w:start w:val="1"/>
      <w:numFmt w:val="decimal"/>
      <w:suff w:val="nothing"/>
      <w:lvlText w:val="%1．"/>
      <w:lvlJc w:val="left"/>
    </w:lvl>
  </w:abstractNum>
  <w:abstractNum w:abstractNumId="2">
    <w:nsid w:val="79FE6061"/>
    <w:multiLevelType w:val="multilevel"/>
    <w:tmpl w:val="79FE6061"/>
    <w:lvl w:ilvl="0" w:tentative="0">
      <w:start w:val="1"/>
      <w:numFmt w:val="lowerLetter"/>
      <w:lvlText w:val="%1)"/>
      <w:lvlJc w:val="left"/>
      <w:pPr>
        <w:ind w:left="98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3E5D4C"/>
    <w:rsid w:val="0195552E"/>
    <w:rsid w:val="02090F4F"/>
    <w:rsid w:val="03AD1A32"/>
    <w:rsid w:val="03CF506A"/>
    <w:rsid w:val="07F54118"/>
    <w:rsid w:val="0BAA0F8E"/>
    <w:rsid w:val="0C9028CE"/>
    <w:rsid w:val="0D900995"/>
    <w:rsid w:val="12772BAB"/>
    <w:rsid w:val="13382C11"/>
    <w:rsid w:val="13B06919"/>
    <w:rsid w:val="147C10A3"/>
    <w:rsid w:val="14B16504"/>
    <w:rsid w:val="14DE0976"/>
    <w:rsid w:val="16BF6ECB"/>
    <w:rsid w:val="178B2335"/>
    <w:rsid w:val="1D3B676E"/>
    <w:rsid w:val="1E291F7E"/>
    <w:rsid w:val="21541347"/>
    <w:rsid w:val="22E41532"/>
    <w:rsid w:val="23CF53A6"/>
    <w:rsid w:val="24786807"/>
    <w:rsid w:val="288411D2"/>
    <w:rsid w:val="293D0543"/>
    <w:rsid w:val="2B9222FA"/>
    <w:rsid w:val="2BCA3D8E"/>
    <w:rsid w:val="2DAC6A3A"/>
    <w:rsid w:val="2FA369EC"/>
    <w:rsid w:val="312841EC"/>
    <w:rsid w:val="320D3D23"/>
    <w:rsid w:val="326459D6"/>
    <w:rsid w:val="3377680E"/>
    <w:rsid w:val="33B753A4"/>
    <w:rsid w:val="3505165F"/>
    <w:rsid w:val="359B1F75"/>
    <w:rsid w:val="35F32C55"/>
    <w:rsid w:val="375B75A0"/>
    <w:rsid w:val="37AC637C"/>
    <w:rsid w:val="38775C6A"/>
    <w:rsid w:val="3BFE67C8"/>
    <w:rsid w:val="3DC7484D"/>
    <w:rsid w:val="3DC840E4"/>
    <w:rsid w:val="3EC90DBB"/>
    <w:rsid w:val="40846234"/>
    <w:rsid w:val="426F745B"/>
    <w:rsid w:val="434979F3"/>
    <w:rsid w:val="435B6321"/>
    <w:rsid w:val="43684178"/>
    <w:rsid w:val="44214299"/>
    <w:rsid w:val="443C7806"/>
    <w:rsid w:val="455A672D"/>
    <w:rsid w:val="45B646D5"/>
    <w:rsid w:val="45C5040D"/>
    <w:rsid w:val="4719568A"/>
    <w:rsid w:val="485B0F56"/>
    <w:rsid w:val="49986975"/>
    <w:rsid w:val="49F40812"/>
    <w:rsid w:val="4A2F0B75"/>
    <w:rsid w:val="4B8A5987"/>
    <w:rsid w:val="4BB65B43"/>
    <w:rsid w:val="4C4138D5"/>
    <w:rsid w:val="4DDA357A"/>
    <w:rsid w:val="4EDD18C8"/>
    <w:rsid w:val="4FA63D72"/>
    <w:rsid w:val="50D94FC0"/>
    <w:rsid w:val="522D6267"/>
    <w:rsid w:val="522E3DF1"/>
    <w:rsid w:val="57EF5CDF"/>
    <w:rsid w:val="59101C2D"/>
    <w:rsid w:val="5B2C741B"/>
    <w:rsid w:val="5B773719"/>
    <w:rsid w:val="5C4001D5"/>
    <w:rsid w:val="5D8B7B77"/>
    <w:rsid w:val="5E262C71"/>
    <w:rsid w:val="604148A4"/>
    <w:rsid w:val="612E7F8C"/>
    <w:rsid w:val="64BF78A7"/>
    <w:rsid w:val="655731C7"/>
    <w:rsid w:val="655E7477"/>
    <w:rsid w:val="659808C8"/>
    <w:rsid w:val="659A6675"/>
    <w:rsid w:val="68DB3A27"/>
    <w:rsid w:val="694B1F5C"/>
    <w:rsid w:val="697605B8"/>
    <w:rsid w:val="6A615EE7"/>
    <w:rsid w:val="6B050BB9"/>
    <w:rsid w:val="6C3118E4"/>
    <w:rsid w:val="6CA60556"/>
    <w:rsid w:val="6D5533B5"/>
    <w:rsid w:val="6EF61C1A"/>
    <w:rsid w:val="75B848AE"/>
    <w:rsid w:val="75D55A1D"/>
    <w:rsid w:val="76393166"/>
    <w:rsid w:val="786F578C"/>
    <w:rsid w:val="7A7D03A9"/>
    <w:rsid w:val="7A9F23E5"/>
    <w:rsid w:val="7B605E1F"/>
    <w:rsid w:val="7C3500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semiHidden/>
    <w:qFormat/>
    <w:uiPriority w:val="99"/>
    <w:pPr>
      <w:spacing w:after="120"/>
      <w:ind w:left="420" w:leftChars="200"/>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120" w:after="120"/>
      <w:jc w:val="left"/>
    </w:pPr>
    <w:rPr>
      <w:rFonts w:ascii="Calibri" w:hAnsi="Calibri" w:cs="Calibri"/>
      <w:b/>
      <w:bCs/>
      <w:caps/>
      <w:sz w:val="20"/>
      <w:szCs w:val="20"/>
    </w:rPr>
  </w:style>
  <w:style w:type="paragraph" w:styleId="9">
    <w:name w:val="Body Text First Indent 2"/>
    <w:basedOn w:val="4"/>
    <w:qFormat/>
    <w:uiPriority w:val="99"/>
    <w:pPr>
      <w:spacing w:after="0"/>
      <w:ind w:left="0" w:leftChars="0" w:firstLine="420" w:firstLineChars="200"/>
      <w:jc w:val="left"/>
    </w:pPr>
    <w:rPr>
      <w:rFonts w:ascii="宋体" w:hAnsi="宋体" w:eastAsia="仿宋_GB2312"/>
      <w:color w:val="000000"/>
      <w:sz w:val="28"/>
    </w:rPr>
  </w:style>
  <w:style w:type="character" w:customStyle="1" w:styleId="12">
    <w:name w:val="页眉 Char"/>
    <w:basedOn w:val="11"/>
    <w:link w:val="7"/>
    <w:qFormat/>
    <w:uiPriority w:val="99"/>
    <w:rPr>
      <w:rFonts w:ascii="Times New Roman" w:hAnsi="Times New Roman" w:eastAsia="宋体" w:cs="Times New Roman"/>
      <w:sz w:val="18"/>
      <w:szCs w:val="18"/>
    </w:rPr>
  </w:style>
  <w:style w:type="character" w:customStyle="1" w:styleId="13">
    <w:name w:val="页脚 Char"/>
    <w:basedOn w:val="11"/>
    <w:link w:val="6"/>
    <w:qFormat/>
    <w:uiPriority w:val="99"/>
    <w:rPr>
      <w:rFonts w:ascii="Times New Roman" w:hAnsi="Times New Roman" w:eastAsia="宋体" w:cs="Times New Roman"/>
      <w:sz w:val="18"/>
      <w:szCs w:val="18"/>
    </w:rPr>
  </w:style>
  <w:style w:type="character" w:customStyle="1" w:styleId="14">
    <w:name w:val="批注框文本 Char"/>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hb</cp:lastModifiedBy>
  <dcterms:modified xsi:type="dcterms:W3CDTF">2022-08-18T04:20:38Z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2052-11.1.0.9914</vt:lpwstr>
  </property>
</Properties>
</file>