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大同亚联煤机有限公司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8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大同亚联煤机有限公司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山西省大同经济技术开发区装备制造产业园区云州街1169号</w:t>
            </w:r>
            <w:bookmarkEnd w:id="6"/>
          </w:p>
        </w:tc>
        <w:tc>
          <w:tcPr>
            <w:tcW w:w="820" w:type="dxa"/>
            <w:vMerge w:val="restart"/>
            <w:vAlign w:val="center"/>
          </w:tcPr>
          <w:p>
            <w:r>
              <w:rPr>
                <w:rFonts w:hint="eastAsia"/>
              </w:rPr>
              <w:t>邮编</w:t>
            </w:r>
          </w:p>
        </w:tc>
        <w:tc>
          <w:tcPr>
            <w:tcW w:w="2193" w:type="dxa"/>
          </w:tcPr>
          <w:p>
            <w:bookmarkStart w:id="7" w:name="注册邮编"/>
            <w:r>
              <w:t>037000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山西省大同经济技术开发区装备制造产业园区云州街1169号</w:t>
            </w:r>
            <w:bookmarkEnd w:id="8"/>
          </w:p>
        </w:tc>
        <w:tc>
          <w:tcPr>
            <w:tcW w:w="820" w:type="dxa"/>
            <w:vMerge w:val="continue"/>
            <w:vAlign w:val="center"/>
          </w:tcPr>
          <w:p/>
        </w:tc>
        <w:tc>
          <w:tcPr>
            <w:tcW w:w="2193" w:type="dxa"/>
          </w:tcPr>
          <w:p>
            <w:bookmarkStart w:id="9" w:name="办公邮编"/>
            <w:r>
              <w:t>037000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王建明</w:t>
            </w:r>
            <w:bookmarkEnd w:id="10"/>
          </w:p>
        </w:tc>
        <w:tc>
          <w:tcPr>
            <w:tcW w:w="1313" w:type="dxa"/>
            <w:vAlign w:val="center"/>
          </w:tcPr>
          <w:p>
            <w:r>
              <w:rPr>
                <w:rFonts w:hint="eastAsia"/>
              </w:rPr>
              <w:t>电话.</w:t>
            </w:r>
          </w:p>
        </w:tc>
        <w:tc>
          <w:tcPr>
            <w:tcW w:w="2180" w:type="dxa"/>
            <w:vAlign w:val="center"/>
          </w:tcPr>
          <w:p>
            <w:bookmarkStart w:id="11" w:name="联系人电话"/>
            <w:r>
              <w:t>15135212955</w:t>
            </w:r>
            <w:bookmarkEnd w:id="11"/>
          </w:p>
        </w:tc>
        <w:tc>
          <w:tcPr>
            <w:tcW w:w="820" w:type="dxa"/>
            <w:vAlign w:val="center"/>
          </w:tcPr>
          <w:p>
            <w:r>
              <w:rPr>
                <w:rFonts w:hint="eastAsia"/>
              </w:rPr>
              <w:t>传真</w:t>
            </w:r>
          </w:p>
        </w:tc>
        <w:tc>
          <w:tcPr>
            <w:tcW w:w="2193"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王新春</w:t>
            </w:r>
            <w:bookmarkEnd w:id="13"/>
          </w:p>
        </w:tc>
        <w:tc>
          <w:tcPr>
            <w:tcW w:w="1313" w:type="dxa"/>
            <w:vAlign w:val="center"/>
          </w:tcPr>
          <w:p>
            <w:r>
              <w:rPr>
                <w:rFonts w:hint="eastAsia"/>
              </w:rPr>
              <w:t>管理者代表</w:t>
            </w:r>
          </w:p>
        </w:tc>
        <w:tc>
          <w:tcPr>
            <w:tcW w:w="2180" w:type="dxa"/>
          </w:tcPr>
          <w:p>
            <w:bookmarkStart w:id="14" w:name="管理者代表"/>
            <w:r>
              <w:t>王建明</w:t>
            </w:r>
            <w:bookmarkEnd w:id="14"/>
          </w:p>
        </w:tc>
        <w:tc>
          <w:tcPr>
            <w:tcW w:w="820" w:type="dxa"/>
          </w:tcPr>
          <w:p>
            <w:r>
              <w:rPr>
                <w:rFonts w:hint="eastAsia"/>
              </w:rPr>
              <w:t>邮箱</w:t>
            </w:r>
          </w:p>
        </w:tc>
        <w:tc>
          <w:tcPr>
            <w:tcW w:w="2193" w:type="dxa"/>
          </w:tcPr>
          <w:p>
            <w:r>
              <w:rPr>
                <w:rFonts w:hint="eastAsia"/>
              </w:rPr>
              <w:t>1611825387@qq.com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设备进厂-拆解-工件清洗-制定检修方案-损坏原件测绘维修-焊接-清除飞溅-检验-机加工-装配-验收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89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2022年08月17日 上午至2022年08月18日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restart"/>
            <w:vAlign w:val="center"/>
          </w:tcPr>
          <w:p>
            <w:r>
              <w:rPr>
                <w:rFonts w:hint="eastAsia"/>
              </w:rPr>
              <w:t>审核范围</w:t>
            </w:r>
          </w:p>
        </w:tc>
        <w:tc>
          <w:tcPr>
            <w:tcW w:w="5515" w:type="dxa"/>
            <w:gridSpan w:val="3"/>
            <w:vMerge w:val="restart"/>
            <w:vAlign w:val="center"/>
          </w:tcPr>
          <w:p>
            <w:bookmarkStart w:id="29" w:name="审核范围"/>
            <w:r>
              <w:t>资质范围内矿用机械设备的维修</w:t>
            </w:r>
            <w:bookmarkEnd w:id="29"/>
          </w:p>
        </w:tc>
        <w:tc>
          <w:tcPr>
            <w:tcW w:w="3215" w:type="dxa"/>
            <w:vAlign w:val="center"/>
          </w:tcPr>
          <w:p>
            <w:pPr>
              <w:spacing w:line="240" w:lineRule="auto"/>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3" w:type="dxa"/>
            <w:vMerge w:val="continue"/>
            <w:vAlign w:val="center"/>
          </w:tcPr>
          <w:p/>
        </w:tc>
        <w:tc>
          <w:tcPr>
            <w:tcW w:w="5515" w:type="dxa"/>
            <w:gridSpan w:val="3"/>
            <w:vMerge w:val="continue"/>
            <w:vAlign w:val="center"/>
          </w:tcPr>
          <w:p/>
        </w:tc>
        <w:tc>
          <w:tcPr>
            <w:tcW w:w="3215" w:type="dxa"/>
            <w:vAlign w:val="center"/>
          </w:tcPr>
          <w:p>
            <w:pPr>
              <w:spacing w:line="240" w:lineRule="auto"/>
            </w:pPr>
            <w:bookmarkStart w:id="30" w:name="专业代码"/>
            <w:r>
              <w:t>18.08.00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8.3产品和服务的设计和开发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2022年3月1日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47"/>
        <w:gridCol w:w="102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47" w:type="dxa"/>
            <w:shd w:val="clear" w:color="auto" w:fill="F3F3F3"/>
            <w:tcMar>
              <w:left w:w="57" w:type="dxa"/>
              <w:right w:w="57" w:type="dxa"/>
            </w:tcMar>
          </w:tcPr>
          <w:p>
            <w:r>
              <w:rPr>
                <w:rFonts w:hint="eastAsia"/>
              </w:rPr>
              <w:t>审核范围（产品和过程）</w:t>
            </w:r>
          </w:p>
          <w:p/>
          <w:p/>
        </w:tc>
        <w:tc>
          <w:tcPr>
            <w:tcW w:w="102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宋体" w:hAnsi="宋体" w:eastAsia="宋体" w:cs="宋体"/>
                <w:b w:val="0"/>
                <w:bCs w:val="0"/>
                <w:szCs w:val="21"/>
                <w:lang w:val="de-DE" w:eastAsia="ja-JP"/>
              </w:rPr>
            </w:pPr>
            <w:r>
              <w:rPr>
                <w:rFonts w:hint="eastAsia" w:ascii="宋体" w:hAnsi="宋体" w:eastAsia="宋体" w:cs="宋体"/>
                <w:b w:val="0"/>
                <w:bCs w:val="0"/>
                <w:szCs w:val="21"/>
                <w:lang w:val="de-DE" w:eastAsia="ja-JP"/>
              </w:rPr>
              <w:t>大同亚联煤机有限公司</w:t>
            </w:r>
          </w:p>
          <w:p>
            <w:pPr>
              <w:spacing w:before="40" w:after="40"/>
              <w:rPr>
                <w:rFonts w:hint="eastAsia" w:ascii="宋体" w:hAnsi="宋体" w:eastAsia="宋体" w:cs="宋体"/>
                <w:b w:val="0"/>
                <w:bCs w:val="0"/>
                <w:kern w:val="2"/>
                <w:sz w:val="21"/>
                <w:szCs w:val="21"/>
                <w:lang w:val="de-DE" w:eastAsia="ja-JP" w:bidi="ar-SA"/>
              </w:rPr>
            </w:pPr>
            <w:r>
              <w:rPr>
                <w:rFonts w:hint="eastAsia" w:ascii="宋体" w:hAnsi="宋体" w:eastAsia="宋体" w:cs="宋体"/>
                <w:b w:val="0"/>
                <w:bCs w:val="0"/>
                <w:szCs w:val="21"/>
                <w:lang w:val="de-DE" w:eastAsia="ja-JP"/>
              </w:rPr>
              <w:t>山西省大同经济技术开发区装备制造产业园区云州街1169号</w:t>
            </w:r>
          </w:p>
        </w:tc>
        <w:tc>
          <w:tcPr>
            <w:tcW w:w="2267" w:type="dxa"/>
            <w:vAlign w:val="top"/>
          </w:tcPr>
          <w:p>
            <w:pPr>
              <w:spacing w:before="40" w:after="40"/>
              <w:rPr>
                <w:rFonts w:hint="eastAsia" w:ascii="宋体" w:hAnsi="宋体" w:eastAsia="宋体" w:cs="宋体"/>
                <w:b w:val="0"/>
                <w:bCs w:val="0"/>
                <w:kern w:val="2"/>
                <w:sz w:val="21"/>
                <w:szCs w:val="21"/>
                <w:lang w:val="de-DE" w:eastAsia="ja-JP" w:bidi="ar-SA"/>
              </w:rPr>
            </w:pPr>
            <w:r>
              <w:rPr>
                <w:rFonts w:hint="eastAsia" w:ascii="宋体" w:hAnsi="宋体" w:eastAsia="宋体" w:cs="宋体"/>
                <w:b w:val="0"/>
                <w:bCs w:val="0"/>
                <w:szCs w:val="21"/>
                <w:lang w:val="de-DE" w:eastAsia="ja-JP"/>
              </w:rPr>
              <w:t>大同市经济开发区金龙大街56号</w:t>
            </w:r>
          </w:p>
        </w:tc>
        <w:tc>
          <w:tcPr>
            <w:tcW w:w="571" w:type="dxa"/>
            <w:vAlign w:val="center"/>
          </w:tcPr>
          <w:p>
            <w:pPr>
              <w:spacing w:before="40" w:after="40"/>
              <w:rPr>
                <w:rFonts w:hint="eastAsia" w:ascii="宋体" w:hAnsi="宋体" w:eastAsia="宋体" w:cs="宋体"/>
                <w:b w:val="0"/>
                <w:bCs w:val="0"/>
                <w:lang w:eastAsia="ja-JP"/>
              </w:rPr>
            </w:pPr>
            <w:r>
              <w:rPr>
                <w:rFonts w:hint="eastAsia" w:ascii="宋体" w:hAnsi="宋体" w:eastAsia="宋体" w:cs="宋体"/>
                <w:b w:val="0"/>
                <w:bCs w:val="0"/>
                <w:szCs w:val="21"/>
                <w:lang w:val="en-US" w:eastAsia="zh-CN"/>
              </w:rPr>
              <w:t>15</w:t>
            </w:r>
          </w:p>
        </w:tc>
        <w:tc>
          <w:tcPr>
            <w:tcW w:w="2447" w:type="dxa"/>
            <w:vAlign w:val="center"/>
          </w:tcPr>
          <w:p>
            <w:pPr>
              <w:pStyle w:val="20"/>
              <w:rPr>
                <w:rFonts w:hint="eastAsia" w:ascii="宋体" w:hAnsi="宋体" w:eastAsia="宋体" w:cs="宋体"/>
                <w:b w:val="0"/>
                <w:bCs w:val="0"/>
                <w:lang w:eastAsia="ja-JP"/>
              </w:rPr>
            </w:pPr>
            <w:r>
              <w:rPr>
                <w:rFonts w:hint="eastAsia" w:ascii="宋体" w:hAnsi="宋体" w:eastAsia="宋体" w:cs="宋体"/>
                <w:b w:val="0"/>
                <w:bCs w:val="0"/>
                <w:color w:val="000000"/>
                <w:szCs w:val="21"/>
              </w:rPr>
              <w:t>资质范围内矿用机械设备的维修</w:t>
            </w:r>
          </w:p>
        </w:tc>
        <w:tc>
          <w:tcPr>
            <w:tcW w:w="1025" w:type="dxa"/>
            <w:vAlign w:val="center"/>
          </w:tcPr>
          <w:p>
            <w:pPr>
              <w:spacing w:before="40" w:after="40"/>
              <w:rPr>
                <w:rFonts w:hint="eastAsia" w:ascii="宋体" w:hAnsi="宋体" w:eastAsia="宋体" w:cs="宋体"/>
                <w:b w:val="0"/>
                <w:bCs w:val="0"/>
                <w:lang w:eastAsia="ja-JP"/>
              </w:rPr>
            </w:pPr>
            <w:r>
              <w:rPr>
                <w:rFonts w:hint="eastAsia" w:ascii="宋体" w:hAnsi="宋体" w:eastAsia="宋体" w:cs="宋体"/>
                <w:b w:val="0"/>
                <w:bCs w:val="0"/>
                <w:szCs w:val="21"/>
                <w:lang w:eastAsia="ja-JP"/>
              </w:rPr>
              <w:t>GB/T19001-2016</w:t>
            </w:r>
          </w:p>
        </w:tc>
        <w:tc>
          <w:tcPr>
            <w:tcW w:w="668" w:type="dxa"/>
            <w:shd w:val="clear" w:color="auto" w:fill="FFFFFF"/>
            <w:vAlign w:val="top"/>
          </w:tcPr>
          <w:p>
            <w:pPr>
              <w:rPr>
                <w:rFonts w:hint="eastAsia" w:ascii="宋体" w:hAnsi="宋体" w:eastAsia="宋体" w:cs="宋体"/>
                <w:b w:val="0"/>
                <w:bCs w:val="0"/>
              </w:rPr>
            </w:pPr>
            <w:r>
              <w:rPr>
                <w:rFonts w:hint="eastAsia" w:ascii="宋体" w:hAnsi="宋体" w:eastAsia="宋体" w:cs="宋体"/>
                <w:b w:val="0"/>
                <w:bCs w:val="0"/>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7" w:type="dxa"/>
            <w:vAlign w:val="center"/>
          </w:tcPr>
          <w:p>
            <w:pPr>
              <w:rPr>
                <w:lang w:eastAsia="ja-JP"/>
              </w:rPr>
            </w:pPr>
          </w:p>
        </w:tc>
        <w:tc>
          <w:tcPr>
            <w:tcW w:w="1025"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2022-N1QMS-3210533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郭亚金</w:t>
            </w:r>
          </w:p>
        </w:tc>
        <w:tc>
          <w:tcPr>
            <w:tcW w:w="1089" w:type="dxa"/>
            <w:vAlign w:val="center"/>
          </w:tcPr>
          <w:p>
            <w:r>
              <w:t>组员</w:t>
            </w:r>
          </w:p>
        </w:tc>
        <w:tc>
          <w:tcPr>
            <w:tcW w:w="711" w:type="dxa"/>
            <w:vAlign w:val="center"/>
          </w:tcPr>
          <w:p>
            <w:r>
              <w:t>男</w:t>
            </w:r>
          </w:p>
        </w:tc>
        <w:tc>
          <w:tcPr>
            <w:tcW w:w="3870" w:type="dxa"/>
            <w:vAlign w:val="center"/>
          </w:tcPr>
          <w:p>
            <w:r>
              <w:t>ISC-JSZJ-560</w:t>
            </w:r>
          </w:p>
          <w:p>
            <w:r>
              <w:t>朔州正德科技发展有限公司</w:t>
            </w:r>
          </w:p>
        </w:tc>
        <w:tc>
          <w:tcPr>
            <w:tcW w:w="2179" w:type="dxa"/>
            <w:vAlign w:val="center"/>
          </w:tcPr>
          <w:p>
            <w: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有少量问题存在, 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2764"/>
        <w:gridCol w:w="2764"/>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418" w:type="dxa"/>
            <w:vAlign w:val="center"/>
          </w:tcPr>
          <w:p>
            <w:pPr>
              <w:rPr>
                <w:rFonts w:ascii="宋体"/>
                <w:b/>
                <w:color w:val="0000FF"/>
                <w:szCs w:val="21"/>
              </w:rPr>
            </w:pPr>
            <w:r>
              <w:rPr>
                <w:rFonts w:hint="eastAsia" w:ascii="宋体"/>
                <w:b/>
                <w:color w:val="0000FF"/>
                <w:szCs w:val="21"/>
              </w:rPr>
              <w:t>突发事件的处置措施</w:t>
            </w:r>
          </w:p>
        </w:tc>
        <w:tc>
          <w:tcPr>
            <w:tcW w:w="8519"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418" w:type="dxa"/>
            <w:vMerge w:val="restart"/>
            <w:vAlign w:val="center"/>
          </w:tcPr>
          <w:p>
            <w:pPr>
              <w:rPr>
                <w:rFonts w:ascii="宋体"/>
                <w:b/>
                <w:color w:val="0000FF"/>
                <w:szCs w:val="21"/>
              </w:rPr>
            </w:pPr>
            <w:r>
              <w:rPr>
                <w:rFonts w:hint="eastAsia"/>
                <w:b/>
                <w:bCs/>
                <w:color w:val="0000FF"/>
              </w:rPr>
              <w:t>远程审核的有效性评价（适用时）</w:t>
            </w:r>
          </w:p>
        </w:tc>
        <w:tc>
          <w:tcPr>
            <w:tcW w:w="8519"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418" w:type="dxa"/>
            <w:vMerge w:val="continue"/>
            <w:vAlign w:val="center"/>
          </w:tcPr>
          <w:p>
            <w:pPr>
              <w:rPr>
                <w:rFonts w:ascii="宋体"/>
                <w:b/>
                <w:color w:val="0000FF"/>
                <w:szCs w:val="21"/>
              </w:rPr>
            </w:pPr>
          </w:p>
        </w:tc>
        <w:tc>
          <w:tcPr>
            <w:tcW w:w="8519"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418"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991" w:type="dxa"/>
            <w:tcMar>
              <w:left w:w="113" w:type="dxa"/>
            </w:tcMar>
            <w:vAlign w:val="center"/>
          </w:tcPr>
          <w:p>
            <w:pPr>
              <w:rPr>
                <w:rFonts w:ascii="宋体"/>
                <w:b/>
                <w:color w:val="0000FF"/>
                <w:szCs w:val="21"/>
              </w:rPr>
            </w:pP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主管部门</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供方</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顾客</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消费者</w:t>
                  </w:r>
                </w:p>
              </w:tc>
              <w:tc>
                <w:tcPr>
                  <w:tcW w:w="6912" w:type="dxa"/>
                  <w:vAlign w:val="top"/>
                </w:tcPr>
                <w:p>
                  <w:pPr>
                    <w:shd w:val="clear" w:color="auto" w:fill="C7DAF1" w:themeFill="text2" w:themeFillTint="32"/>
                  </w:pPr>
                  <w:r>
                    <w:rPr>
                      <w:rFonts w:hint="eastAsia"/>
                      <w:color w:val="000000"/>
                      <w:lang w:eastAsia="zh-CN"/>
                    </w:rPr>
                    <w:t>□</w:t>
                  </w: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员工</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投资方</w:t>
                  </w:r>
                </w:p>
              </w:tc>
              <w:tc>
                <w:tcPr>
                  <w:tcW w:w="6912" w:type="dxa"/>
                  <w:vAlign w:val="top"/>
                </w:tcPr>
                <w:p>
                  <w:pPr>
                    <w:shd w:val="clear" w:color="auto" w:fill="C7DAF1" w:themeFill="text2" w:themeFillTint="32"/>
                  </w:pPr>
                  <w:r>
                    <w:rPr>
                      <w:rFonts w:hint="eastAsia"/>
                      <w:color w:val="000000"/>
                      <w:lang w:eastAsia="zh-CN"/>
                    </w:rPr>
                    <w:t>□</w:t>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vAlign w:val="top"/>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产品优质、管理高效、顾客至上、遵信守约。</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客户对产品质量标准提高，材料要求环保材料，以及对供应周期和售后服务的期望值提升，给公司材料采购、生产、质量和售后管理提出新的要求</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加强与客户进行质量标准制定的沟通，统一双方的标准和检测方法；生产部门做好生产计划的安排，保证生产计划的执行；销售部加大客户交流沟通，及时处理客户的需求和意见</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监管部门监管力度的加大，如公司执行不规范，可能存在被查处的风险</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各级部门严格按照公司的规章制度开展相关工作</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原材料市场不稳定，希望签订的年度合同和保底价格，带来的采购和资金风险。</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对公司影响较大的大宗原材料做好年度采购计划</w:t>
                  </w:r>
                  <w:r>
                    <w:rPr>
                      <w:rFonts w:hint="eastAsia" w:ascii="宋体" w:hAnsi="宋体" w:eastAsia="宋体" w:cs="宋体"/>
                      <w:color w:val="auto"/>
                      <w:szCs w:val="24"/>
                      <w:lang w:val="en-US" w:eastAsia="zh-CN"/>
                    </w:rPr>
                    <w:t>。</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产品交付合格率100%</w:t>
                  </w:r>
                </w:p>
              </w:tc>
              <w:tc>
                <w:tcPr>
                  <w:tcW w:w="3136"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GB" w:eastAsia="zh-CN" w:bidi="ar-SA"/>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交付</w:t>
                  </w:r>
                  <w:r>
                    <w:rPr>
                      <w:rFonts w:hint="eastAsia" w:ascii="Times New Roman" w:hAnsi="Times New Roman" w:eastAsia="宋体" w:cs="Times New Roman"/>
                      <w:szCs w:val="21"/>
                    </w:rPr>
                    <w:t>总数/</w:t>
                  </w:r>
                  <w:r>
                    <w:rPr>
                      <w:rFonts w:hint="eastAsia" w:ascii="Times New Roman" w:hAnsi="Times New Roman" w:eastAsia="宋体" w:cs="Times New Roman"/>
                      <w:szCs w:val="21"/>
                      <w:lang w:val="en-US" w:eastAsia="zh-CN"/>
                    </w:rPr>
                    <w:t>交付</w:t>
                  </w:r>
                  <w:r>
                    <w:rPr>
                      <w:rFonts w:hint="eastAsia" w:ascii="Times New Roman" w:hAnsi="Times New Roman" w:eastAsia="宋体" w:cs="Times New Roman"/>
                      <w:szCs w:val="21"/>
                    </w:rPr>
                    <w:t>合格总数）×100%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生产技术部</w:t>
                  </w:r>
                </w:p>
              </w:tc>
              <w:tc>
                <w:tcPr>
                  <w:tcW w:w="1774"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GB" w:eastAsia="zh-CN" w:bidi="ar-SA"/>
                    </w:rPr>
                  </w:pPr>
                  <w:r>
                    <w:rPr>
                      <w:rFonts w:hint="eastAsia"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顾客满意度≥9</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w:t>
                  </w:r>
                </w:p>
              </w:tc>
              <w:tc>
                <w:tcPr>
                  <w:tcW w:w="3136"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（调查回收的顾客满意度分数之和/调查回收的顾客总数目）×100%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9</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rPr>
              <w:t>拆、装缸机、压力机、锯床、立式钻床、电焊机</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sym w:font="Wingdings 2" w:char="0052"/>
            </w:r>
            <w:r>
              <w:rPr>
                <w:rFonts w:hint="eastAsia"/>
              </w:rPr>
              <w:t>未进行定期检验的有：</w:t>
            </w:r>
            <w:r>
              <w:rPr>
                <w:rFonts w:hint="eastAsia"/>
                <w:lang w:val="en-US" w:eastAsia="zh-CN"/>
              </w:rPr>
              <w:t>叉车和行车</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百分表、压力表、千分尺、游标卡尺、钢卷尺）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t>组织</w:t>
            </w:r>
            <w:r>
              <w:rPr>
                <w:rFonts w:hint="eastAsia"/>
              </w:rPr>
              <w:t>已</w:t>
            </w:r>
            <w:r>
              <w:t>确定所需的知识，以运行过程并获得合格产品和服务</w:t>
            </w:r>
          </w:p>
          <w:p>
            <w:pPr>
              <w:shd w:val="clear" w:color="auto" w:fill="C7DAF1"/>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组织已确定在其控制的工作人员所需具备的能力，并采取措施以获得所需的能力，并评价措施的有效性；</w:t>
            </w:r>
          </w:p>
          <w:p>
            <w:pPr>
              <w:shd w:val="clear" w:color="auto" w:fill="C7DAF1"/>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pPr>
            <w:r>
              <w:rPr>
                <w:rFonts w:hint="eastAsia"/>
              </w:rPr>
              <w:t>对国家规定持证上岗的人员资质进行了有效的管理。</w:t>
            </w:r>
          </w:p>
          <w:p>
            <w:pPr>
              <w:shd w:val="clear" w:color="auto" w:fill="C7DAF1"/>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组织已确定与质量管理体系相关的内部和外部沟通。</w:t>
            </w:r>
          </w:p>
          <w:p>
            <w:pPr>
              <w:shd w:val="clear" w:color="auto" w:fill="C7DAF1"/>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pPr>
            <w:r>
              <w:rPr>
                <w:rFonts w:hint="eastAsia"/>
              </w:rPr>
              <w:t>对质量相关的外来文件（法律法规、产品标准）进行了识别和贯彻。</w:t>
            </w:r>
          </w:p>
          <w:p>
            <w:pPr>
              <w:shd w:val="clear" w:color="auto" w:fill="C7DAF1"/>
            </w:pPr>
            <w:r>
              <w:rPr>
                <w:rFonts w:hint="eastAsia"/>
              </w:rPr>
              <w:sym w:font="Wingdings 2" w:char="0052"/>
            </w:r>
            <w:r>
              <w:rPr>
                <w:rFonts w:hint="eastAsia"/>
              </w:rPr>
              <w:t>法律法规获取充分，□法律法规获取有遗漏，缺少：</w:t>
            </w:r>
          </w:p>
          <w:p>
            <w:pPr>
              <w:shd w:val="clear" w:color="auto" w:fill="C7DAF1"/>
            </w:pPr>
          </w:p>
          <w:p>
            <w:pPr>
              <w:shd w:val="clear" w:color="auto" w:fill="C7DAF1"/>
            </w:pPr>
            <w:r>
              <w:rPr>
                <w:rFonts w:hint="eastAsia"/>
              </w:rPr>
              <w:t>对QMS和产品相关的运行记录进行了保留、储存、保护、检索查询、处置等管理。</w:t>
            </w:r>
          </w:p>
          <w:p>
            <w:pPr>
              <w:shd w:val="clear" w:color="auto" w:fill="C7DAF1"/>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pPr>
            <w:r>
              <w:rPr>
                <w:rFonts w:hint="eastAsia"/>
              </w:rPr>
              <w:t>组织为对产品和服务提供满足的要求，已对产品和服务提供的过程（见4.4）进行策划、实施和控制。策划文件包括：</w:t>
            </w:r>
          </w:p>
          <w:p>
            <w:pPr>
              <w:shd w:val="clear" w:color="auto" w:fill="C7DAF1"/>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组织建立并实施了与顾客沟通；如产品和服务的信息、顾客投诉、顾客财产、应急措施等。</w:t>
            </w:r>
          </w:p>
          <w:p>
            <w:pPr>
              <w:shd w:val="clear" w:color="auto" w:fill="C7DAF1"/>
            </w:pPr>
            <w:r>
              <w:rPr>
                <w:rFonts w:hint="eastAsia"/>
              </w:rPr>
              <w:t>组织对产品和服务要求进行了评审，确保有能力向顾客提供满足要求的产品和服务。</w:t>
            </w:r>
          </w:p>
          <w:p>
            <w:pPr>
              <w:shd w:val="clear" w:color="auto" w:fill="C7DAF1"/>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组织建立、实施和保持了适当的设计和开发过程，以确保后续的产品和服务的提供。（适用时）</w:t>
            </w:r>
          </w:p>
          <w:p>
            <w:pPr>
              <w:shd w:val="clear" w:color="auto" w:fill="C7DAF1"/>
            </w:pPr>
            <w:r>
              <w:rPr>
                <w:rFonts w:hint="eastAsia"/>
              </w:rPr>
              <w:t>审核期间内设计和开发新产品/项目名称：</w:t>
            </w:r>
            <w:r>
              <w:rPr>
                <w:rFonts w:hint="eastAsia"/>
                <w:u w:val="single"/>
              </w:rPr>
              <w:t>（</w:t>
            </w:r>
            <w:r>
              <w:rPr>
                <w:rFonts w:hint="eastAsia"/>
              </w:rPr>
              <w:t>举1例）</w:t>
            </w:r>
          </w:p>
          <w:p>
            <w:pPr>
              <w:shd w:val="clear" w:color="auto" w:fill="C7DAF1"/>
            </w:pPr>
            <w:r>
              <w:rPr>
                <w:rFonts w:hint="eastAsia"/>
              </w:rPr>
              <w:t>该项目的设计和开发的输入、输出、变更进行了控制。</w:t>
            </w:r>
          </w:p>
          <w:p>
            <w:pPr>
              <w:shd w:val="clear" w:color="auto" w:fill="C7DAF1"/>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组织对外部提供的过程、产品和服务的供方按照对产品/服务质量的类型和程度实施控制。</w:t>
            </w:r>
          </w:p>
          <w:p>
            <w:pPr>
              <w:shd w:val="clear" w:color="auto" w:fill="C7DAF1"/>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309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tcPr>
                <w:p>
                  <w:pPr>
                    <w:shd w:val="clear" w:color="auto" w:fill="C7DAF1" w:themeFill="text2" w:themeFillTint="32"/>
                    <w:jc w:val="left"/>
                  </w:pPr>
                  <w:r>
                    <w:rPr>
                      <w:rFonts w:hint="eastAsia"/>
                    </w:rPr>
                    <w:t>产品/服务名称</w:t>
                  </w:r>
                </w:p>
              </w:tc>
              <w:tc>
                <w:tcPr>
                  <w:tcW w:w="3092"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资质范围内矿用机械设备的维修</w:t>
                  </w:r>
                </w:p>
              </w:tc>
              <w:tc>
                <w:tcPr>
                  <w:tcW w:w="3092" w:type="dxa"/>
                  <w:vAlign w:val="top"/>
                </w:tcPr>
                <w:p>
                  <w:pPr>
                    <w:rPr>
                      <w:rFonts w:ascii="Times New Roman" w:hAnsi="Times New Roman" w:eastAsia="宋体" w:cs="Times New Roman"/>
                      <w:kern w:val="2"/>
                      <w:sz w:val="21"/>
                      <w:szCs w:val="24"/>
                      <w:u w:val="none"/>
                      <w:lang w:val="en-US" w:eastAsia="zh-CN" w:bidi="ar-SA"/>
                    </w:rPr>
                  </w:pPr>
                  <w:r>
                    <w:rPr>
                      <w:rFonts w:hint="eastAsia"/>
                      <w:color w:val="000000"/>
                      <w:u w:val="none"/>
                    </w:rPr>
                    <w:t>焊接</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u w:val="none"/>
                      <w:lang w:val="en-US" w:eastAsia="zh-CN" w:bidi="ar-SA"/>
                    </w:rPr>
                  </w:pPr>
                  <w:r>
                    <w:rPr>
                      <w:rFonts w:hint="eastAsia"/>
                      <w:color w:val="000000"/>
                      <w:u w:val="none"/>
                    </w:rPr>
                    <w:t>（电流；电压；焊丝直径、焊接外观等）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tcPr>
                <w:p>
                  <w:pPr>
                    <w:shd w:val="clear" w:color="auto" w:fill="C7DAF1" w:themeFill="text2" w:themeFillTint="32"/>
                    <w:jc w:val="left"/>
                  </w:pPr>
                </w:p>
              </w:tc>
              <w:tc>
                <w:tcPr>
                  <w:tcW w:w="3092"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tcPr>
                <w:p>
                  <w:pPr>
                    <w:shd w:val="clear" w:color="auto" w:fill="C7DAF1" w:themeFill="text2" w:themeFillTint="32"/>
                    <w:jc w:val="left"/>
                  </w:pPr>
                </w:p>
              </w:tc>
              <w:tc>
                <w:tcPr>
                  <w:tcW w:w="3092"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组织在生产和服务提供的整个过程中对产品和监视和测量状态进行标识和追溯。</w:t>
            </w:r>
          </w:p>
          <w:p>
            <w:pPr>
              <w:shd w:val="clear" w:color="auto" w:fill="C7DAF1"/>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组织爱护在组织控制下或使用顾客或外部供方的财产。</w:t>
            </w:r>
          </w:p>
          <w:p>
            <w:pPr>
              <w:shd w:val="clear" w:color="auto" w:fill="C7DAF1"/>
            </w:pPr>
            <w:r>
              <w:rPr>
                <w:rFonts w:hint="eastAsia"/>
              </w:rPr>
              <w:t>目前的顾客或外部供方财产包括：</w:t>
            </w:r>
          </w:p>
          <w:p>
            <w:pPr>
              <w:shd w:val="clear" w:color="auto" w:fill="C7DAF1"/>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组织应在生产和服务提供期间对输出进行必要防护，以确保符合要求。</w:t>
            </w:r>
          </w:p>
          <w:p>
            <w:pPr>
              <w:shd w:val="clear" w:color="auto" w:fill="C7DAF1"/>
            </w:pPr>
            <w:r>
              <w:rPr>
                <w:rFonts w:hint="eastAsia"/>
              </w:rPr>
              <w:t>可包括标识、处置、污染控制、包装、储存、传输或运输以及保护。</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组织应满足与产品和服务相关的交付后活动的要求。</w:t>
            </w:r>
          </w:p>
          <w:p>
            <w:pPr>
              <w:shd w:val="clear" w:color="auto" w:fill="C7DAF1"/>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A3"/>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组织对生产和服务提供的更改进行必要的评审和控制，以确保持续地符合要求。</w:t>
            </w:r>
          </w:p>
          <w:p>
            <w:pPr>
              <w:shd w:val="clear" w:color="auto" w:fill="C7DAF1"/>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组织在适当阶段实施策划的安排，以验证产品和服务的要求已得到满足。</w:t>
            </w:r>
          </w:p>
          <w:p>
            <w:pPr>
              <w:shd w:val="clear" w:color="auto" w:fill="C7DAF1"/>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A3"/>
            </w:r>
            <w:r>
              <w:rPr>
                <w:rFonts w:hint="eastAsia"/>
              </w:rPr>
              <w:t>型式检验</w:t>
            </w:r>
            <w:r>
              <w:rPr>
                <w:rFonts w:hint="eastAsia" w:ascii="Wingdings" w:hAnsi="Wingdings"/>
                <w:lang w:eastAsia="zh-CN"/>
              </w:rPr>
              <w:t>□</w:t>
            </w:r>
            <w:r>
              <w:rPr>
                <w:rFonts w:hint="eastAsia"/>
              </w:rPr>
              <w:t>其他</w:t>
            </w:r>
          </w:p>
          <w:p>
            <w:pPr>
              <w:shd w:val="clear" w:color="auto" w:fill="C7DAF1"/>
            </w:pPr>
            <w:r>
              <w:rPr>
                <w:rFonts w:hint="eastAsia"/>
              </w:rPr>
              <w:t>《型式检验报告》，如：。</w:t>
            </w:r>
          </w:p>
          <w:p>
            <w:pPr>
              <w:shd w:val="clear" w:color="auto" w:fill="C7DAF1"/>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组织确保对不符合要求的输出进行识别和控制，以防止非预期的使用或交付。</w:t>
            </w:r>
          </w:p>
          <w:p>
            <w:pPr>
              <w:shd w:val="clear" w:color="auto" w:fill="C7DAF1"/>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通过年度策划于2022年7月10日实施了质量管理体系内部审核，对质量管理体系的符合性和有效性进行了审核。内审发现的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最高管理者已按策划的时间间隔，在2022年7月19日对组织的质量管理体系进行了评审，以确保其持续的适宜性、充分性和有效性；管理评审输入、输出均按要求提供。并对提出的改进措施进行了落实。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624"/>
        <w:gridCol w:w="625"/>
        <w:gridCol w:w="625"/>
        <w:gridCol w:w="624"/>
        <w:gridCol w:w="625"/>
        <w:gridCol w:w="625"/>
        <w:gridCol w:w="624"/>
        <w:gridCol w:w="625"/>
        <w:gridCol w:w="625"/>
        <w:gridCol w:w="624"/>
        <w:gridCol w:w="625"/>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rPr>
                <w:lang w:eastAsia="ja-JP"/>
              </w:rPr>
            </w:pPr>
            <w:r>
              <w:rPr>
                <w:rFonts w:hint="eastAsia"/>
                <w:lang w:val="en-GB"/>
              </w:rPr>
              <w:t>标准条款</w:t>
            </w:r>
          </w:p>
        </w:tc>
        <w:tc>
          <w:tcPr>
            <w:tcW w:w="624" w:type="dxa"/>
            <w:vAlign w:val="center"/>
          </w:tcPr>
          <w:p>
            <w:pPr>
              <w:shd w:val="clear" w:color="auto" w:fill="C7DAF1" w:themeFill="text2" w:themeFillTint="32"/>
              <w:rPr>
                <w:lang w:eastAsia="ja-JP"/>
              </w:rPr>
            </w:pPr>
            <w:r>
              <w:rPr>
                <w:rFonts w:hint="eastAsia"/>
              </w:rPr>
              <w:t>4.1</w:t>
            </w:r>
          </w:p>
        </w:tc>
        <w:tc>
          <w:tcPr>
            <w:tcW w:w="625" w:type="dxa"/>
            <w:vAlign w:val="center"/>
          </w:tcPr>
          <w:p>
            <w:pPr>
              <w:shd w:val="clear" w:color="auto" w:fill="C7DAF1" w:themeFill="text2" w:themeFillTint="32"/>
              <w:rPr>
                <w:lang w:eastAsia="ja-JP"/>
              </w:rPr>
            </w:pPr>
            <w:r>
              <w:rPr>
                <w:rFonts w:hint="eastAsia"/>
              </w:rPr>
              <w:t>4.2</w:t>
            </w:r>
          </w:p>
        </w:tc>
        <w:tc>
          <w:tcPr>
            <w:tcW w:w="625" w:type="dxa"/>
            <w:vAlign w:val="center"/>
          </w:tcPr>
          <w:p>
            <w:pPr>
              <w:shd w:val="clear" w:color="auto" w:fill="C7DAF1" w:themeFill="text2" w:themeFillTint="32"/>
              <w:rPr>
                <w:lang w:eastAsia="ja-JP"/>
              </w:rPr>
            </w:pPr>
            <w:r>
              <w:rPr>
                <w:rFonts w:hint="eastAsia"/>
              </w:rPr>
              <w:t>4.3</w:t>
            </w:r>
          </w:p>
        </w:tc>
        <w:tc>
          <w:tcPr>
            <w:tcW w:w="624" w:type="dxa"/>
            <w:vAlign w:val="center"/>
          </w:tcPr>
          <w:p>
            <w:pPr>
              <w:shd w:val="clear" w:color="auto" w:fill="C7DAF1" w:themeFill="text2" w:themeFillTint="32"/>
              <w:rPr>
                <w:lang w:eastAsia="ja-JP"/>
              </w:rPr>
            </w:pPr>
            <w:r>
              <w:rPr>
                <w:rFonts w:hint="eastAsia"/>
              </w:rPr>
              <w:t>4.4</w:t>
            </w:r>
          </w:p>
        </w:tc>
        <w:tc>
          <w:tcPr>
            <w:tcW w:w="625" w:type="dxa"/>
            <w:vAlign w:val="center"/>
          </w:tcPr>
          <w:p>
            <w:pPr>
              <w:shd w:val="clear" w:color="auto" w:fill="C7DAF1" w:themeFill="text2" w:themeFillTint="32"/>
              <w:rPr>
                <w:lang w:eastAsia="ja-JP"/>
              </w:rPr>
            </w:pPr>
            <w:r>
              <w:rPr>
                <w:rFonts w:hint="eastAsia"/>
              </w:rPr>
              <w:t>5.1</w:t>
            </w:r>
          </w:p>
        </w:tc>
        <w:tc>
          <w:tcPr>
            <w:tcW w:w="625" w:type="dxa"/>
            <w:vAlign w:val="center"/>
          </w:tcPr>
          <w:p>
            <w:pPr>
              <w:shd w:val="clear" w:color="auto" w:fill="C7DAF1" w:themeFill="text2" w:themeFillTint="32"/>
              <w:rPr>
                <w:lang w:eastAsia="ja-JP"/>
              </w:rPr>
            </w:pPr>
            <w:r>
              <w:rPr>
                <w:rFonts w:hint="eastAsia"/>
              </w:rPr>
              <w:t>5.2</w:t>
            </w:r>
          </w:p>
        </w:tc>
        <w:tc>
          <w:tcPr>
            <w:tcW w:w="624" w:type="dxa"/>
            <w:vAlign w:val="center"/>
          </w:tcPr>
          <w:p>
            <w:pPr>
              <w:shd w:val="clear" w:color="auto" w:fill="C7DAF1" w:themeFill="text2" w:themeFillTint="32"/>
              <w:rPr>
                <w:lang w:eastAsia="ja-JP"/>
              </w:rPr>
            </w:pPr>
            <w:r>
              <w:rPr>
                <w:rFonts w:hint="eastAsia"/>
              </w:rPr>
              <w:t>5.3</w:t>
            </w:r>
          </w:p>
        </w:tc>
        <w:tc>
          <w:tcPr>
            <w:tcW w:w="625" w:type="dxa"/>
            <w:vAlign w:val="center"/>
          </w:tcPr>
          <w:p>
            <w:pPr>
              <w:shd w:val="clear" w:color="auto" w:fill="C7DAF1" w:themeFill="text2" w:themeFillTint="32"/>
              <w:rPr>
                <w:lang w:eastAsia="ja-JP"/>
              </w:rPr>
            </w:pPr>
            <w:r>
              <w:rPr>
                <w:rFonts w:hint="eastAsia"/>
              </w:rPr>
              <w:t>6.1</w:t>
            </w:r>
          </w:p>
        </w:tc>
        <w:tc>
          <w:tcPr>
            <w:tcW w:w="625" w:type="dxa"/>
            <w:vAlign w:val="center"/>
          </w:tcPr>
          <w:p>
            <w:pPr>
              <w:shd w:val="clear" w:color="auto" w:fill="C7DAF1" w:themeFill="text2" w:themeFillTint="32"/>
              <w:rPr>
                <w:lang w:eastAsia="ja-JP"/>
              </w:rPr>
            </w:pPr>
            <w:r>
              <w:rPr>
                <w:rFonts w:hint="eastAsia"/>
              </w:rPr>
              <w:t>6.2</w:t>
            </w:r>
          </w:p>
        </w:tc>
        <w:tc>
          <w:tcPr>
            <w:tcW w:w="624" w:type="dxa"/>
            <w:vAlign w:val="center"/>
          </w:tcPr>
          <w:p>
            <w:pPr>
              <w:shd w:val="clear" w:color="auto" w:fill="C7DAF1" w:themeFill="text2" w:themeFillTint="32"/>
              <w:rPr>
                <w:lang w:eastAsia="ja-JP"/>
              </w:rPr>
            </w:pPr>
            <w:r>
              <w:rPr>
                <w:rFonts w:hint="eastAsia"/>
              </w:rPr>
              <w:t>6.3</w:t>
            </w:r>
          </w:p>
        </w:tc>
        <w:tc>
          <w:tcPr>
            <w:tcW w:w="625" w:type="dxa"/>
            <w:shd w:val="clear" w:color="auto" w:fill="BFBFBF"/>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rPr>
                <w:lang w:eastAsia="ja-JP"/>
              </w:rPr>
            </w:pPr>
            <w:r>
              <w:rPr>
                <w:rFonts w:hint="eastAsia"/>
                <w:lang w:val="en-GB"/>
              </w:rPr>
              <w:t>评价*)</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shd w:val="clear" w:color="auto" w:fill="BFBFBF"/>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pPr>
            <w:r>
              <w:rPr>
                <w:rFonts w:hint="eastAsia"/>
              </w:rPr>
              <w:t>不符合数量</w:t>
            </w:r>
          </w:p>
        </w:tc>
        <w:tc>
          <w:tcPr>
            <w:tcW w:w="624"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4"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4"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4" w:type="dxa"/>
            <w:vAlign w:val="center"/>
          </w:tcPr>
          <w:p>
            <w:pPr>
              <w:shd w:val="clear" w:color="auto" w:fill="C7DAF1" w:themeFill="text2" w:themeFillTint="32"/>
              <w:rPr>
                <w:lang w:eastAsia="ja-JP"/>
              </w:rPr>
            </w:pPr>
          </w:p>
        </w:tc>
        <w:tc>
          <w:tcPr>
            <w:tcW w:w="625" w:type="dxa"/>
            <w:shd w:val="clear" w:color="auto" w:fill="BFBFBF"/>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rPr>
                <w:lang w:eastAsia="ja-JP"/>
              </w:rPr>
            </w:pPr>
            <w:r>
              <w:rPr>
                <w:rFonts w:hint="eastAsia"/>
                <w:lang w:val="en-GB"/>
              </w:rPr>
              <w:t>标准条款</w:t>
            </w:r>
          </w:p>
        </w:tc>
        <w:tc>
          <w:tcPr>
            <w:tcW w:w="624" w:type="dxa"/>
            <w:vAlign w:val="center"/>
          </w:tcPr>
          <w:p>
            <w:pPr>
              <w:shd w:val="clear" w:color="auto" w:fill="C7DAF1" w:themeFill="text2" w:themeFillTint="32"/>
              <w:rPr>
                <w:lang w:eastAsia="ja-JP"/>
              </w:rPr>
            </w:pPr>
            <w:r>
              <w:rPr>
                <w:rFonts w:hint="eastAsia"/>
              </w:rPr>
              <w:t>7.1</w:t>
            </w:r>
          </w:p>
        </w:tc>
        <w:tc>
          <w:tcPr>
            <w:tcW w:w="625" w:type="dxa"/>
            <w:vAlign w:val="center"/>
          </w:tcPr>
          <w:p>
            <w:pPr>
              <w:shd w:val="clear" w:color="auto" w:fill="C7DAF1" w:themeFill="text2" w:themeFillTint="32"/>
              <w:rPr>
                <w:lang w:eastAsia="ja-JP"/>
              </w:rPr>
            </w:pPr>
            <w:r>
              <w:rPr>
                <w:rFonts w:hint="eastAsia"/>
              </w:rPr>
              <w:t>7.2</w:t>
            </w:r>
          </w:p>
        </w:tc>
        <w:tc>
          <w:tcPr>
            <w:tcW w:w="625" w:type="dxa"/>
            <w:vAlign w:val="center"/>
          </w:tcPr>
          <w:p>
            <w:pPr>
              <w:shd w:val="clear" w:color="auto" w:fill="C7DAF1" w:themeFill="text2" w:themeFillTint="32"/>
              <w:rPr>
                <w:lang w:eastAsia="ja-JP"/>
              </w:rPr>
            </w:pPr>
            <w:r>
              <w:rPr>
                <w:rFonts w:hint="eastAsia"/>
              </w:rPr>
              <w:t>7.3</w:t>
            </w:r>
          </w:p>
        </w:tc>
        <w:tc>
          <w:tcPr>
            <w:tcW w:w="624" w:type="dxa"/>
            <w:vAlign w:val="center"/>
          </w:tcPr>
          <w:p>
            <w:pPr>
              <w:shd w:val="clear" w:color="auto" w:fill="C7DAF1" w:themeFill="text2" w:themeFillTint="32"/>
              <w:rPr>
                <w:lang w:eastAsia="ja-JP"/>
              </w:rPr>
            </w:pPr>
            <w:r>
              <w:rPr>
                <w:rFonts w:hint="eastAsia"/>
              </w:rPr>
              <w:t>7.4</w:t>
            </w:r>
          </w:p>
        </w:tc>
        <w:tc>
          <w:tcPr>
            <w:tcW w:w="625" w:type="dxa"/>
            <w:vAlign w:val="center"/>
          </w:tcPr>
          <w:p>
            <w:pPr>
              <w:shd w:val="clear" w:color="auto" w:fill="C7DAF1" w:themeFill="text2" w:themeFillTint="32"/>
              <w:rPr>
                <w:lang w:eastAsia="ja-JP"/>
              </w:rPr>
            </w:pPr>
            <w:r>
              <w:rPr>
                <w:rFonts w:hint="eastAsia"/>
              </w:rPr>
              <w:t>7.5</w:t>
            </w:r>
          </w:p>
        </w:tc>
        <w:tc>
          <w:tcPr>
            <w:tcW w:w="625" w:type="dxa"/>
            <w:vAlign w:val="center"/>
          </w:tcPr>
          <w:p>
            <w:pPr>
              <w:shd w:val="clear" w:color="auto" w:fill="C7DAF1" w:themeFill="text2" w:themeFillTint="32"/>
              <w:rPr>
                <w:lang w:eastAsia="ja-JP"/>
              </w:rPr>
            </w:pPr>
            <w:r>
              <w:rPr>
                <w:rFonts w:hint="eastAsia"/>
              </w:rPr>
              <w:t>8.1</w:t>
            </w:r>
          </w:p>
        </w:tc>
        <w:tc>
          <w:tcPr>
            <w:tcW w:w="624" w:type="dxa"/>
            <w:vAlign w:val="center"/>
          </w:tcPr>
          <w:p>
            <w:pPr>
              <w:shd w:val="clear" w:color="auto" w:fill="C7DAF1" w:themeFill="text2" w:themeFillTint="32"/>
              <w:rPr>
                <w:lang w:eastAsia="ja-JP"/>
              </w:rPr>
            </w:pPr>
            <w:r>
              <w:rPr>
                <w:rFonts w:hint="eastAsia"/>
              </w:rPr>
              <w:t>8.2</w:t>
            </w:r>
          </w:p>
        </w:tc>
        <w:tc>
          <w:tcPr>
            <w:tcW w:w="625" w:type="dxa"/>
            <w:vAlign w:val="center"/>
          </w:tcPr>
          <w:p>
            <w:pPr>
              <w:shd w:val="clear" w:color="auto" w:fill="C7DAF1" w:themeFill="text2" w:themeFillTint="32"/>
              <w:rPr>
                <w:lang w:eastAsia="ja-JP"/>
              </w:rPr>
            </w:pPr>
            <w:r>
              <w:rPr>
                <w:rFonts w:hint="eastAsia"/>
              </w:rPr>
              <w:t>8.3</w:t>
            </w:r>
          </w:p>
        </w:tc>
        <w:tc>
          <w:tcPr>
            <w:tcW w:w="625" w:type="dxa"/>
            <w:vAlign w:val="center"/>
          </w:tcPr>
          <w:p>
            <w:pPr>
              <w:shd w:val="clear" w:color="auto" w:fill="C7DAF1" w:themeFill="text2" w:themeFillTint="32"/>
              <w:rPr>
                <w:lang w:eastAsia="ja-JP"/>
              </w:rPr>
            </w:pPr>
            <w:r>
              <w:rPr>
                <w:rFonts w:hint="eastAsia"/>
              </w:rPr>
              <w:t>8.4</w:t>
            </w:r>
          </w:p>
        </w:tc>
        <w:tc>
          <w:tcPr>
            <w:tcW w:w="624" w:type="dxa"/>
            <w:vAlign w:val="center"/>
          </w:tcPr>
          <w:p>
            <w:pPr>
              <w:shd w:val="clear" w:color="auto" w:fill="C7DAF1" w:themeFill="text2" w:themeFillTint="32"/>
              <w:rPr>
                <w:lang w:eastAsia="ja-JP"/>
              </w:rPr>
            </w:pPr>
            <w:r>
              <w:rPr>
                <w:rFonts w:hint="eastAsia"/>
              </w:rPr>
              <w:t>8.5</w:t>
            </w:r>
          </w:p>
        </w:tc>
        <w:tc>
          <w:tcPr>
            <w:tcW w:w="625" w:type="dxa"/>
            <w:vAlign w:val="center"/>
          </w:tcPr>
          <w:p>
            <w:pPr>
              <w:shd w:val="clear" w:color="auto" w:fill="C7DAF1" w:themeFill="text2" w:themeFillTint="32"/>
              <w:rPr>
                <w:lang w:eastAsia="ja-JP"/>
              </w:rPr>
            </w:pPr>
            <w:r>
              <w:rPr>
                <w:rFonts w:hint="eastAsia"/>
              </w:rPr>
              <w:t>8.6</w:t>
            </w:r>
          </w:p>
        </w:tc>
        <w:tc>
          <w:tcPr>
            <w:tcW w:w="625"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rPr>
                <w:lang w:eastAsia="ja-JP"/>
              </w:rPr>
            </w:pPr>
            <w:r>
              <w:rPr>
                <w:rFonts w:hint="eastAsia"/>
                <w:lang w:val="en-GB"/>
              </w:rPr>
              <w:t>评价*)</w:t>
            </w:r>
          </w:p>
        </w:tc>
        <w:tc>
          <w:tcPr>
            <w:tcW w:w="624"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rPr>
                <w:lang w:eastAsia="ja-JP"/>
              </w:rPr>
            </w:pPr>
            <w:r>
              <w:rPr>
                <w:rFonts w:hint="eastAsia"/>
              </w:rPr>
              <w:t>不符合数量</w:t>
            </w:r>
          </w:p>
        </w:tc>
        <w:tc>
          <w:tcPr>
            <w:tcW w:w="62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5"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4"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4" w:type="dxa"/>
            <w:tcBorders>
              <w:bottom w:val="single" w:color="auto" w:sz="4" w:space="0"/>
            </w:tcBorders>
            <w:vAlign w:val="center"/>
          </w:tcPr>
          <w:p>
            <w:pPr>
              <w:shd w:val="clear" w:color="auto" w:fill="C7DAF1" w:themeFill="text2" w:themeFillTint="32"/>
              <w:rPr>
                <w:lang w:eastAsia="ja-JP"/>
              </w:rPr>
            </w:pPr>
          </w:p>
        </w:tc>
        <w:tc>
          <w:tcPr>
            <w:tcW w:w="625" w:type="dxa"/>
            <w:tcBorders>
              <w:bottom w:val="single" w:color="auto" w:sz="4" w:space="0"/>
            </w:tcBorders>
            <w:vAlign w:val="center"/>
          </w:tcPr>
          <w:p>
            <w:pPr>
              <w:shd w:val="clear" w:color="auto" w:fill="C7DAF1" w:themeFill="text2" w:themeFillTint="32"/>
              <w:rPr>
                <w:lang w:eastAsia="ja-JP"/>
              </w:rPr>
            </w:pPr>
          </w:p>
        </w:tc>
        <w:tc>
          <w:tcPr>
            <w:tcW w:w="625" w:type="dxa"/>
            <w:tcBorders>
              <w:bottom w:val="single" w:color="auto" w:sz="4" w:space="0"/>
            </w:tcBorders>
            <w:vAlign w:val="center"/>
          </w:tcPr>
          <w:p>
            <w:pPr>
              <w:shd w:val="clear" w:color="auto" w:fill="C7DAF1" w:themeFill="text2" w:themeFillTint="32"/>
              <w:rPr>
                <w:lang w:eastAsia="ja-JP"/>
              </w:rPr>
            </w:pPr>
          </w:p>
        </w:tc>
        <w:tc>
          <w:tcPr>
            <w:tcW w:w="624" w:type="dxa"/>
            <w:tcBorders>
              <w:bottom w:val="single" w:color="auto" w:sz="4" w:space="0"/>
            </w:tcBorders>
            <w:vAlign w:val="center"/>
          </w:tcPr>
          <w:p>
            <w:pPr>
              <w:shd w:val="clear" w:color="auto" w:fill="C7DAF1" w:themeFill="text2" w:themeFillTint="32"/>
              <w:rPr>
                <w:lang w:eastAsia="ja-JP"/>
              </w:rPr>
            </w:pPr>
          </w:p>
        </w:tc>
        <w:tc>
          <w:tcPr>
            <w:tcW w:w="625" w:type="dxa"/>
            <w:tcBorders>
              <w:bottom w:val="single" w:color="auto" w:sz="4" w:space="0"/>
            </w:tcBorders>
            <w:vAlign w:val="center"/>
          </w:tcPr>
          <w:p>
            <w:pPr>
              <w:shd w:val="clear" w:color="auto" w:fill="C7DAF1" w:themeFill="text2" w:themeFillTint="32"/>
              <w:rPr>
                <w:lang w:eastAsia="ja-JP"/>
              </w:rPr>
            </w:pPr>
          </w:p>
        </w:tc>
        <w:tc>
          <w:tcPr>
            <w:tcW w:w="625"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rPr>
                <w:lang w:eastAsia="ja-JP"/>
              </w:rPr>
            </w:pPr>
            <w:r>
              <w:rPr>
                <w:rFonts w:hint="eastAsia"/>
                <w:lang w:val="en-GB"/>
              </w:rPr>
              <w:t>标准条款</w:t>
            </w:r>
          </w:p>
        </w:tc>
        <w:tc>
          <w:tcPr>
            <w:tcW w:w="624" w:type="dxa"/>
            <w:vAlign w:val="center"/>
          </w:tcPr>
          <w:p>
            <w:pPr>
              <w:shd w:val="clear" w:color="auto" w:fill="C7DAF1" w:themeFill="text2" w:themeFillTint="32"/>
              <w:rPr>
                <w:lang w:eastAsia="ja-JP"/>
              </w:rPr>
            </w:pPr>
            <w:r>
              <w:rPr>
                <w:rFonts w:hint="eastAsia"/>
              </w:rPr>
              <w:t>9.1</w:t>
            </w:r>
          </w:p>
        </w:tc>
        <w:tc>
          <w:tcPr>
            <w:tcW w:w="625" w:type="dxa"/>
            <w:vAlign w:val="center"/>
          </w:tcPr>
          <w:p>
            <w:pPr>
              <w:shd w:val="clear" w:color="auto" w:fill="C7DAF1" w:themeFill="text2" w:themeFillTint="32"/>
              <w:rPr>
                <w:lang w:eastAsia="ja-JP"/>
              </w:rPr>
            </w:pPr>
            <w:r>
              <w:rPr>
                <w:rFonts w:hint="eastAsia"/>
              </w:rPr>
              <w:t>9.2</w:t>
            </w:r>
          </w:p>
        </w:tc>
        <w:tc>
          <w:tcPr>
            <w:tcW w:w="625" w:type="dxa"/>
            <w:vAlign w:val="center"/>
          </w:tcPr>
          <w:p>
            <w:pPr>
              <w:shd w:val="clear" w:color="auto" w:fill="C7DAF1" w:themeFill="text2" w:themeFillTint="32"/>
              <w:rPr>
                <w:lang w:eastAsia="ja-JP"/>
              </w:rPr>
            </w:pPr>
            <w:r>
              <w:rPr>
                <w:rFonts w:hint="eastAsia"/>
              </w:rPr>
              <w:t>9.3</w:t>
            </w:r>
          </w:p>
        </w:tc>
        <w:tc>
          <w:tcPr>
            <w:tcW w:w="624" w:type="dxa"/>
            <w:vAlign w:val="center"/>
          </w:tcPr>
          <w:p>
            <w:pPr>
              <w:shd w:val="clear" w:color="auto" w:fill="C7DAF1" w:themeFill="text2" w:themeFillTint="32"/>
              <w:rPr>
                <w:lang w:eastAsia="ja-JP"/>
              </w:rPr>
            </w:pPr>
            <w:r>
              <w:rPr>
                <w:rFonts w:hint="eastAsia"/>
              </w:rPr>
              <w:t>10.1</w:t>
            </w:r>
          </w:p>
        </w:tc>
        <w:tc>
          <w:tcPr>
            <w:tcW w:w="625" w:type="dxa"/>
            <w:vAlign w:val="center"/>
          </w:tcPr>
          <w:p>
            <w:pPr>
              <w:shd w:val="clear" w:color="auto" w:fill="C7DAF1" w:themeFill="text2" w:themeFillTint="32"/>
              <w:rPr>
                <w:lang w:eastAsia="ja-JP"/>
              </w:rPr>
            </w:pPr>
            <w:r>
              <w:rPr>
                <w:rFonts w:hint="eastAsia"/>
              </w:rPr>
              <w:t>10.2</w:t>
            </w:r>
          </w:p>
        </w:tc>
        <w:tc>
          <w:tcPr>
            <w:tcW w:w="625" w:type="dxa"/>
            <w:vAlign w:val="center"/>
          </w:tcPr>
          <w:p>
            <w:pPr>
              <w:shd w:val="clear" w:color="auto" w:fill="C7DAF1" w:themeFill="text2" w:themeFillTint="32"/>
              <w:rPr>
                <w:lang w:eastAsia="ja-JP"/>
              </w:rPr>
            </w:pPr>
            <w:r>
              <w:rPr>
                <w:rFonts w:hint="eastAsia"/>
              </w:rPr>
              <w:t>10.3</w:t>
            </w:r>
          </w:p>
        </w:tc>
        <w:tc>
          <w:tcPr>
            <w:tcW w:w="624"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4"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18" w:type="dxa"/>
            <w:vAlign w:val="center"/>
          </w:tcPr>
          <w:p>
            <w:pPr>
              <w:shd w:val="clear" w:color="auto" w:fill="C7DAF1" w:themeFill="text2" w:themeFillTint="32"/>
              <w:rPr>
                <w:lang w:eastAsia="ja-JP"/>
              </w:rPr>
            </w:pPr>
            <w:r>
              <w:rPr>
                <w:rFonts w:hint="eastAsia"/>
                <w:lang w:val="en-GB"/>
              </w:rPr>
              <w:t>评价*)</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5" w:type="dxa"/>
            <w:vAlign w:val="center"/>
          </w:tcPr>
          <w:p>
            <w:pPr>
              <w:shd w:val="clear" w:color="auto" w:fill="C7DAF1" w:themeFill="text2" w:themeFillTint="32"/>
              <w:rPr>
                <w:lang w:eastAsia="ja-JP"/>
              </w:rPr>
            </w:pPr>
            <w:r>
              <w:rPr>
                <w:rFonts w:hint="eastAsia"/>
                <w:lang w:val="en-US" w:eastAsia="zh-CN"/>
              </w:rPr>
              <w:t>1</w:t>
            </w:r>
          </w:p>
        </w:tc>
        <w:tc>
          <w:tcPr>
            <w:tcW w:w="624"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4"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318" w:type="dxa"/>
            <w:vAlign w:val="center"/>
          </w:tcPr>
          <w:p>
            <w:pPr>
              <w:shd w:val="clear" w:color="auto" w:fill="C7DAF1" w:themeFill="text2" w:themeFillTint="32"/>
              <w:rPr>
                <w:lang w:eastAsia="ja-JP"/>
              </w:rPr>
            </w:pPr>
            <w:r>
              <w:rPr>
                <w:rFonts w:hint="eastAsia"/>
              </w:rPr>
              <w:t>不符合数量</w:t>
            </w:r>
          </w:p>
        </w:tc>
        <w:tc>
          <w:tcPr>
            <w:tcW w:w="624"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4"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5" w:type="dxa"/>
            <w:vAlign w:val="center"/>
          </w:tcPr>
          <w:p>
            <w:pPr>
              <w:shd w:val="clear" w:color="auto" w:fill="C7DAF1" w:themeFill="text2" w:themeFillTint="32"/>
              <w:rPr>
                <w:lang w:eastAsia="ja-JP"/>
              </w:rPr>
            </w:pPr>
          </w:p>
        </w:tc>
        <w:tc>
          <w:tcPr>
            <w:tcW w:w="624"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4"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c>
          <w:tcPr>
            <w:tcW w:w="625"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xNTRhZmMwYTZhMGE0NzY5YTQ4OGYyNzNkZGE0NDYifQ=="/>
  </w:docVars>
  <w:rsids>
    <w:rsidRoot w:val="00000000"/>
    <w:rsid w:val="0ACC6EFB"/>
    <w:rsid w:val="111749F9"/>
    <w:rsid w:val="2B015733"/>
    <w:rsid w:val="34BB6629"/>
    <w:rsid w:val="40447BB9"/>
    <w:rsid w:val="50BA5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18610</Words>
  <Characters>19290</Characters>
  <Lines>150</Lines>
  <Paragraphs>42</Paragraphs>
  <TotalTime>2</TotalTime>
  <ScaleCrop>false</ScaleCrop>
  <LinksUpToDate>false</LinksUpToDate>
  <CharactersWithSpaces>19411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2022-09-16T16:17:24Z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