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158"/>
        <w:gridCol w:w="21"/>
        <w:gridCol w:w="930"/>
        <w:gridCol w:w="9"/>
        <w:gridCol w:w="1"/>
        <w:gridCol w:w="744"/>
        <w:gridCol w:w="8"/>
        <w:gridCol w:w="9248"/>
        <w:gridCol w:w="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3"/>
            <w:vMerge w:val="restart"/>
            <w:vAlign w:val="center"/>
          </w:tcPr>
          <w:p>
            <w:pPr>
              <w:rPr>
                <w:sz w:val="24"/>
                <w:szCs w:val="24"/>
              </w:rPr>
            </w:pPr>
            <w:r>
              <w:rPr>
                <w:rFonts w:hint="eastAsia"/>
                <w:sz w:val="24"/>
                <w:szCs w:val="24"/>
              </w:rPr>
              <w:t>涉及</w:t>
            </w:r>
          </w:p>
          <w:p>
            <w:r>
              <w:rPr>
                <w:rFonts w:hint="eastAsia"/>
                <w:sz w:val="24"/>
                <w:szCs w:val="24"/>
              </w:rPr>
              <w:t>条款</w:t>
            </w:r>
          </w:p>
        </w:tc>
        <w:tc>
          <w:tcPr>
            <w:tcW w:w="10006" w:type="dxa"/>
            <w:gridSpan w:val="5"/>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lang w:val="en-US" w:eastAsia="zh-CN"/>
              </w:rPr>
              <w:t>主管领导</w:t>
            </w:r>
            <w:r>
              <w:rPr>
                <w:rFonts w:hint="eastAsia"/>
                <w:sz w:val="24"/>
                <w:szCs w:val="24"/>
              </w:rPr>
              <w:t>：</w:t>
            </w:r>
            <w:r>
              <w:rPr>
                <w:rFonts w:hint="eastAsia"/>
                <w:sz w:val="24"/>
                <w:szCs w:val="24"/>
                <w:lang w:val="en-US" w:eastAsia="zh-CN"/>
              </w:rPr>
              <w:t xml:space="preserve">王世伟  </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申红英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3" w:type="dxa"/>
            <w:gridSpan w:val="2"/>
            <w:vMerge w:val="continue"/>
            <w:vAlign w:val="center"/>
          </w:tcPr>
          <w:p/>
        </w:tc>
        <w:tc>
          <w:tcPr>
            <w:tcW w:w="960" w:type="dxa"/>
            <w:gridSpan w:val="3"/>
            <w:vMerge w:val="continue"/>
            <w:vAlign w:val="center"/>
          </w:tcPr>
          <w:p/>
        </w:tc>
        <w:tc>
          <w:tcPr>
            <w:tcW w:w="10006" w:type="dxa"/>
            <w:gridSpan w:val="5"/>
            <w:vAlign w:val="center"/>
          </w:tcPr>
          <w:p>
            <w:pPr>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rFonts w:hint="eastAsia"/>
                <w:sz w:val="24"/>
                <w:szCs w:val="24"/>
              </w:rPr>
              <w:t>审核日期：</w:t>
            </w:r>
            <w:r>
              <w:rPr>
                <w:sz w:val="24"/>
                <w:szCs w:val="24"/>
              </w:rPr>
              <w:t>20</w:t>
            </w:r>
            <w:r>
              <w:rPr>
                <w:rFonts w:hint="eastAsia"/>
                <w:sz w:val="24"/>
                <w:szCs w:val="24"/>
                <w:lang w:val="en-US" w:eastAsia="zh-CN"/>
              </w:rPr>
              <w:t>22-08-15日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3" w:type="dxa"/>
            <w:gridSpan w:val="2"/>
            <w:vMerge w:val="continue"/>
            <w:vAlign w:val="center"/>
          </w:tcPr>
          <w:p/>
        </w:tc>
        <w:tc>
          <w:tcPr>
            <w:tcW w:w="960" w:type="dxa"/>
            <w:gridSpan w:val="3"/>
            <w:vMerge w:val="continue"/>
            <w:vAlign w:val="center"/>
          </w:tcPr>
          <w:p/>
        </w:tc>
        <w:tc>
          <w:tcPr>
            <w:tcW w:w="10006" w:type="dxa"/>
            <w:gridSpan w:val="5"/>
            <w:vAlign w:val="center"/>
          </w:tcPr>
          <w:p>
            <w:pPr>
              <w:tabs>
                <w:tab w:val="left" w:pos="709"/>
              </w:tabs>
              <w:ind w:right="57"/>
              <w:jc w:val="left"/>
              <w:rPr>
                <w:rFonts w:hint="eastAsia"/>
              </w:rPr>
            </w:pPr>
            <w:r>
              <w:rPr>
                <w:rFonts w:hint="eastAsia"/>
              </w:rPr>
              <w:t>审核条款：</w:t>
            </w:r>
          </w:p>
          <w:p>
            <w:pPr>
              <w:tabs>
                <w:tab w:val="left" w:pos="709"/>
              </w:tabs>
              <w:ind w:right="57"/>
              <w:jc w:val="left"/>
              <w:rPr>
                <w:rFonts w:hint="eastAsia"/>
              </w:rPr>
            </w:pPr>
            <w:r>
              <w:rPr>
                <w:rFonts w:hint="eastAsia"/>
              </w:rPr>
              <w:t>FSMS：4.1/4.2/4.3/4.4/5.1/5.2/5.3/6.1/6.2/6.3/7.1.1/</w:t>
            </w:r>
            <w:r>
              <w:t>7.4</w:t>
            </w:r>
            <w:r>
              <w:rPr>
                <w:rFonts w:hint="eastAsia"/>
              </w:rPr>
              <w:t>/9.1.1</w:t>
            </w:r>
            <w:r>
              <w:t>/</w:t>
            </w:r>
            <w:r>
              <w:rPr>
                <w:rFonts w:hint="eastAsia"/>
                <w:lang w:val="en-US" w:eastAsia="zh-CN"/>
              </w:rPr>
              <w:t>9.2/</w:t>
            </w:r>
            <w:r>
              <w:rPr>
                <w:rFonts w:hint="eastAsia"/>
              </w:rPr>
              <w:t>9.3/10.2/10.3</w:t>
            </w:r>
          </w:p>
          <w:p>
            <w:pPr>
              <w:pStyle w:val="2"/>
              <w:rPr>
                <w:rFonts w:hint="eastAsia"/>
                <w:lang w:val="en-US" w:eastAsia="zh-CN"/>
              </w:rPr>
            </w:pPr>
            <w:r>
              <w:rPr>
                <w:rFonts w:hint="eastAsia"/>
                <w:lang w:val="en-US" w:eastAsia="zh-CN"/>
              </w:rPr>
              <w:t>证书恢复确认</w:t>
            </w:r>
          </w:p>
          <w:p>
            <w:pPr>
              <w:pStyle w:val="2"/>
            </w:pPr>
            <w:r>
              <w:rPr>
                <w:rFonts w:hint="eastAsia"/>
              </w:rPr>
              <w:t>标准/规范/法规的执行情况、上次审核不符合项的验证、认证证书、标志的使用情 况、投诉或事故、监督抽查情况、体系变 动、初审不符合项验证等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6" w:hRule="atLeast"/>
        </w:trPr>
        <w:tc>
          <w:tcPr>
            <w:tcW w:w="2163" w:type="dxa"/>
            <w:gridSpan w:val="2"/>
            <w:shd w:val="clear" w:color="auto" w:fill="auto"/>
            <w:vAlign w:val="center"/>
          </w:tcPr>
          <w:p>
            <w:r>
              <w:rPr>
                <w:rFonts w:hint="eastAsia"/>
                <w:lang w:val="en-US" w:eastAsia="zh-CN"/>
              </w:rPr>
              <w:t>证书暂停恢复的各项要求</w:t>
            </w:r>
          </w:p>
        </w:tc>
        <w:tc>
          <w:tcPr>
            <w:tcW w:w="961" w:type="dxa"/>
            <w:gridSpan w:val="4"/>
            <w:shd w:val="clear" w:color="auto" w:fill="auto"/>
            <w:vAlign w:val="center"/>
          </w:tcPr>
          <w:p/>
        </w:tc>
        <w:tc>
          <w:tcPr>
            <w:tcW w:w="10005" w:type="dxa"/>
            <w:gridSpan w:val="4"/>
            <w:shd w:val="clear" w:color="auto" w:fill="auto"/>
            <w:vAlign w:val="center"/>
          </w:tcPr>
          <w:p>
            <w:pPr>
              <w:pStyle w:val="5"/>
              <w:spacing w:line="360" w:lineRule="auto"/>
              <w:rPr>
                <w:rFonts w:hint="default"/>
                <w:b/>
                <w:bCs/>
                <w:color w:val="0000FF"/>
                <w:lang w:val="en-US" w:eastAsia="zh-CN"/>
              </w:rPr>
            </w:pPr>
            <w:r>
              <w:rPr>
                <w:rFonts w:hint="default"/>
                <w:b/>
                <w:bCs/>
                <w:color w:val="0000FF"/>
                <w:lang w:val="en-US" w:eastAsia="zh-CN"/>
              </w:rPr>
              <w:t>证书恢复确认内容：</w:t>
            </w:r>
          </w:p>
          <w:p>
            <w:pPr>
              <w:pStyle w:val="5"/>
              <w:spacing w:line="360" w:lineRule="auto"/>
              <w:rPr>
                <w:rFonts w:hint="eastAsia"/>
                <w:color w:val="0000FF"/>
                <w:lang w:val="en-US" w:eastAsia="zh-CN"/>
              </w:rPr>
            </w:pPr>
            <w:r>
              <w:rPr>
                <w:rFonts w:hint="eastAsia"/>
                <w:color w:val="0000FF"/>
                <w:lang w:val="en-US" w:eastAsia="zh-CN"/>
              </w:rPr>
              <w:t>与企业负责人及代表确认：</w:t>
            </w:r>
          </w:p>
          <w:p>
            <w:pPr>
              <w:pStyle w:val="5"/>
              <w:numPr>
                <w:ilvl w:val="0"/>
                <w:numId w:val="1"/>
              </w:numPr>
              <w:spacing w:line="360" w:lineRule="auto"/>
              <w:rPr>
                <w:rFonts w:hint="eastAsia"/>
                <w:color w:val="0000FF"/>
                <w:lang w:val="en-US" w:eastAsia="zh-CN"/>
              </w:rPr>
            </w:pPr>
            <w:r>
              <w:rPr>
                <w:rFonts w:hint="default"/>
                <w:color w:val="0000FF"/>
                <w:lang w:val="en-US" w:eastAsia="zh-CN"/>
              </w:rPr>
              <w:t>企业</w:t>
            </w:r>
            <w:r>
              <w:rPr>
                <w:rFonts w:hint="eastAsia"/>
                <w:color w:val="0000FF"/>
                <w:lang w:val="en-US" w:eastAsia="zh-CN"/>
              </w:rPr>
              <w:t>基本具备</w:t>
            </w:r>
            <w:r>
              <w:rPr>
                <w:rFonts w:hint="default"/>
                <w:color w:val="0000FF"/>
                <w:lang w:val="en-US" w:eastAsia="zh-CN"/>
              </w:rPr>
              <w:t>执行相关法律法规及其他要求的能力</w:t>
            </w:r>
            <w:r>
              <w:rPr>
                <w:rFonts w:hint="eastAsia"/>
                <w:color w:val="0000FF"/>
                <w:lang w:val="en-US" w:eastAsia="zh-CN"/>
              </w:rPr>
              <w:t>；</w:t>
            </w:r>
          </w:p>
          <w:p>
            <w:pPr>
              <w:pStyle w:val="5"/>
              <w:numPr>
                <w:ilvl w:val="0"/>
                <w:numId w:val="1"/>
              </w:numPr>
              <w:spacing w:line="360" w:lineRule="auto"/>
              <w:rPr>
                <w:rFonts w:hint="eastAsia"/>
                <w:color w:val="0000FF"/>
                <w:lang w:val="en-US" w:eastAsia="zh-CN"/>
              </w:rPr>
            </w:pPr>
            <w:r>
              <w:rPr>
                <w:rFonts w:hint="eastAsia"/>
                <w:color w:val="0000FF"/>
                <w:lang w:val="en-US" w:eastAsia="zh-CN"/>
              </w:rPr>
              <w:t>证书暂停期间监管部门未</w:t>
            </w:r>
            <w:r>
              <w:rPr>
                <w:rFonts w:hint="default"/>
                <w:color w:val="0000FF"/>
                <w:lang w:val="en-US" w:eastAsia="zh-CN"/>
              </w:rPr>
              <w:t>对企业质量、环境、安全监督抽查情况</w:t>
            </w:r>
            <w:r>
              <w:rPr>
                <w:rFonts w:hint="eastAsia"/>
                <w:color w:val="0000FF"/>
                <w:lang w:val="en-US" w:eastAsia="zh-CN"/>
              </w:rPr>
              <w:t>，无不符合情况；</w:t>
            </w:r>
          </w:p>
          <w:p>
            <w:pPr>
              <w:pStyle w:val="5"/>
              <w:numPr>
                <w:ilvl w:val="0"/>
                <w:numId w:val="1"/>
              </w:numPr>
              <w:spacing w:line="360" w:lineRule="auto"/>
              <w:rPr>
                <w:rFonts w:hint="eastAsia"/>
                <w:color w:val="0000FF"/>
                <w:lang w:val="en-US" w:eastAsia="zh-CN"/>
              </w:rPr>
            </w:pPr>
            <w:r>
              <w:rPr>
                <w:rFonts w:hint="eastAsia"/>
                <w:color w:val="0000FF"/>
                <w:lang w:val="en-US" w:eastAsia="zh-CN"/>
              </w:rPr>
              <w:t>暂停期间未发生</w:t>
            </w:r>
            <w:r>
              <w:rPr>
                <w:rFonts w:hint="default"/>
                <w:color w:val="0000FF"/>
                <w:lang w:val="en-US" w:eastAsia="zh-CN"/>
              </w:rPr>
              <w:t>重大质量环境安全事故、</w:t>
            </w:r>
            <w:r>
              <w:rPr>
                <w:rFonts w:hint="eastAsia"/>
                <w:color w:val="0000FF"/>
                <w:lang w:val="en-US" w:eastAsia="zh-CN"/>
              </w:rPr>
              <w:t>未发生</w:t>
            </w:r>
            <w:r>
              <w:rPr>
                <w:rFonts w:hint="default"/>
                <w:color w:val="0000FF"/>
                <w:lang w:val="en-US" w:eastAsia="zh-CN"/>
              </w:rPr>
              <w:t>主管部门处罚、通报情况</w:t>
            </w:r>
            <w:r>
              <w:rPr>
                <w:rFonts w:hint="eastAsia"/>
                <w:color w:val="0000FF"/>
                <w:lang w:val="en-US" w:eastAsia="zh-CN"/>
              </w:rPr>
              <w:t>；</w:t>
            </w:r>
          </w:p>
          <w:p>
            <w:pPr>
              <w:pStyle w:val="5"/>
              <w:numPr>
                <w:ilvl w:val="0"/>
                <w:numId w:val="1"/>
              </w:numPr>
              <w:spacing w:line="360" w:lineRule="auto"/>
              <w:rPr>
                <w:rFonts w:hint="eastAsia"/>
                <w:color w:val="0000FF"/>
                <w:lang w:val="en-US" w:eastAsia="zh-CN"/>
              </w:rPr>
            </w:pPr>
            <w:r>
              <w:rPr>
                <w:rFonts w:hint="default"/>
                <w:color w:val="0000FF"/>
                <w:lang w:val="en-US" w:eastAsia="zh-CN"/>
              </w:rPr>
              <w:t>体系运行</w:t>
            </w:r>
            <w:r>
              <w:rPr>
                <w:rFonts w:hint="eastAsia"/>
                <w:color w:val="0000FF"/>
                <w:lang w:val="en-US" w:eastAsia="zh-CN"/>
              </w:rPr>
              <w:t>基本正常；</w:t>
            </w:r>
          </w:p>
          <w:p>
            <w:pPr>
              <w:pStyle w:val="5"/>
              <w:numPr>
                <w:ilvl w:val="0"/>
                <w:numId w:val="1"/>
              </w:numPr>
              <w:spacing w:line="360" w:lineRule="auto"/>
              <w:rPr>
                <w:rFonts w:hint="eastAsia"/>
                <w:color w:val="0000FF"/>
                <w:lang w:val="en-US" w:eastAsia="zh-CN"/>
              </w:rPr>
            </w:pPr>
            <w:r>
              <w:rPr>
                <w:rFonts w:hint="default"/>
                <w:color w:val="0000FF"/>
                <w:lang w:val="en-US" w:eastAsia="zh-CN"/>
              </w:rPr>
              <w:t>组织</w:t>
            </w:r>
            <w:r>
              <w:rPr>
                <w:rFonts w:hint="eastAsia"/>
                <w:color w:val="0000FF"/>
                <w:lang w:val="en-US" w:eastAsia="zh-CN"/>
              </w:rPr>
              <w:t>经营场所未发生变化、各部门主要负责人发生变化，人员能力评价见7.2条款审核记录；</w:t>
            </w:r>
          </w:p>
          <w:p>
            <w:pPr>
              <w:pStyle w:val="5"/>
              <w:numPr>
                <w:ilvl w:val="0"/>
                <w:numId w:val="1"/>
              </w:numPr>
              <w:spacing w:line="360" w:lineRule="auto"/>
              <w:rPr>
                <w:rFonts w:hint="eastAsia"/>
                <w:color w:val="0000FF"/>
                <w:highlight w:val="none"/>
                <w:lang w:val="en-US" w:eastAsia="zh-CN"/>
              </w:rPr>
            </w:pPr>
            <w:r>
              <w:rPr>
                <w:rFonts w:hint="default"/>
                <w:color w:val="0000FF"/>
                <w:highlight w:val="none"/>
                <w:lang w:val="en-US" w:eastAsia="zh-CN"/>
              </w:rPr>
              <w:t>暂停期间</w:t>
            </w:r>
            <w:r>
              <w:rPr>
                <w:rFonts w:hint="eastAsia"/>
                <w:color w:val="0000FF"/>
                <w:highlight w:val="none"/>
                <w:lang w:val="en-US" w:eastAsia="zh-CN"/>
              </w:rPr>
              <w:t>组织标示未使用</w:t>
            </w:r>
            <w:r>
              <w:rPr>
                <w:rFonts w:hint="default"/>
                <w:color w:val="0000FF"/>
                <w:highlight w:val="none"/>
                <w:lang w:val="en-US" w:eastAsia="zh-CN"/>
              </w:rPr>
              <w:t>证书</w:t>
            </w:r>
            <w:r>
              <w:rPr>
                <w:rFonts w:hint="eastAsia"/>
                <w:color w:val="0000FF"/>
                <w:highlight w:val="none"/>
                <w:lang w:val="en-US" w:eastAsia="zh-CN"/>
              </w:rPr>
              <w:t>，也未发生</w:t>
            </w:r>
            <w:r>
              <w:rPr>
                <w:rFonts w:hint="default"/>
                <w:color w:val="0000FF"/>
                <w:highlight w:val="none"/>
                <w:lang w:val="en-US" w:eastAsia="zh-CN"/>
              </w:rPr>
              <w:t>重大服务投诉情况等</w:t>
            </w:r>
            <w:r>
              <w:rPr>
                <w:rFonts w:hint="eastAsia"/>
                <w:color w:val="0000FF"/>
                <w:highlight w:val="none"/>
                <w:lang w:val="en-US" w:eastAsia="zh-CN"/>
              </w:rPr>
              <w:t>。</w:t>
            </w:r>
          </w:p>
          <w:p>
            <w:pPr>
              <w:pStyle w:val="5"/>
              <w:numPr>
                <w:ilvl w:val="0"/>
                <w:numId w:val="1"/>
              </w:numPr>
              <w:spacing w:line="360" w:lineRule="auto"/>
              <w:rPr>
                <w:rFonts w:hint="default"/>
                <w:lang w:val="en-US" w:eastAsia="zh-CN"/>
              </w:rPr>
            </w:pPr>
            <w:r>
              <w:rPr>
                <w:rFonts w:hint="eastAsia"/>
                <w:color w:val="0000FF"/>
                <w:lang w:val="en-US" w:eastAsia="zh-CN"/>
              </w:rPr>
              <w:t>监督暂停期间证书使用及管理基本规范，</w:t>
            </w:r>
            <w:r>
              <w:rPr>
                <w:rFonts w:hint="eastAsia"/>
                <w:color w:val="0000FF"/>
                <w:u w:val="single"/>
                <w:lang w:val="en-US" w:eastAsia="zh-CN"/>
              </w:rPr>
              <w:t>具体见《暂停恢复确认表》</w:t>
            </w:r>
          </w:p>
        </w:tc>
        <w:tc>
          <w:tcPr>
            <w:tcW w:w="1585" w:type="dxa"/>
            <w:shd w:val="clear" w:color="auto" w:fill="auto"/>
          </w:tcPr>
          <w:p>
            <w:r>
              <w:rPr>
                <w:rFonts w:hint="eastAsia"/>
                <w:lang w:val="en-US" w:eastAsia="zh-CN"/>
              </w:rPr>
              <w:t>基本满足证书暂停恢复的各项要求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3" w:type="dxa"/>
            <w:gridSpan w:val="2"/>
            <w:shd w:val="clear" w:color="auto" w:fill="auto"/>
            <w:vAlign w:val="center"/>
          </w:tcPr>
          <w:p>
            <w:pPr>
              <w:rPr>
                <w:rFonts w:hint="default"/>
                <w:lang w:val="en-US" w:eastAsia="zh-CN"/>
              </w:rPr>
            </w:pPr>
            <w:r>
              <w:rPr>
                <w:rFonts w:hint="eastAsia"/>
                <w:lang w:val="en-US" w:eastAsia="zh-CN"/>
              </w:rPr>
              <w:t>监督审核确认</w:t>
            </w:r>
          </w:p>
        </w:tc>
        <w:tc>
          <w:tcPr>
            <w:tcW w:w="961" w:type="dxa"/>
            <w:gridSpan w:val="4"/>
            <w:shd w:val="clear" w:color="auto" w:fill="auto"/>
            <w:vAlign w:val="center"/>
          </w:tcPr>
          <w:p/>
        </w:tc>
        <w:tc>
          <w:tcPr>
            <w:tcW w:w="10005" w:type="dxa"/>
            <w:gridSpan w:val="4"/>
            <w:shd w:val="clear" w:color="auto" w:fill="auto"/>
            <w:vAlign w:val="center"/>
          </w:tcPr>
          <w:p>
            <w:pPr>
              <w:pStyle w:val="5"/>
              <w:spacing w:line="360" w:lineRule="auto"/>
              <w:rPr>
                <w:rFonts w:hint="eastAsia"/>
                <w:b/>
                <w:bCs/>
                <w:lang w:val="en-US" w:eastAsia="zh-CN"/>
              </w:rPr>
            </w:pPr>
            <w:r>
              <w:rPr>
                <w:rFonts w:hint="eastAsia"/>
                <w:b/>
                <w:bCs/>
                <w:lang w:val="en-US" w:eastAsia="zh-CN"/>
              </w:rPr>
              <w:t>1）认证范围：</w:t>
            </w:r>
          </w:p>
          <w:p>
            <w:pPr>
              <w:pStyle w:val="5"/>
              <w:spacing w:line="360" w:lineRule="auto"/>
              <w:ind w:firstLine="180" w:firstLineChars="100"/>
              <w:rPr>
                <w:rFonts w:hint="eastAsia"/>
                <w:color w:val="0000FF"/>
                <w:lang w:val="en-US" w:eastAsia="zh-CN"/>
              </w:rPr>
            </w:pPr>
            <w:r>
              <w:rPr>
                <w:rFonts w:hint="eastAsia"/>
                <w:color w:val="0000FF"/>
                <w:lang w:val="en-US" w:eastAsia="zh-CN"/>
              </w:rPr>
              <w:t>未发生变化</w:t>
            </w:r>
          </w:p>
          <w:p>
            <w:pPr>
              <w:pStyle w:val="5"/>
              <w:spacing w:line="360" w:lineRule="auto"/>
              <w:rPr>
                <w:rFonts w:hint="eastAsia"/>
                <w:b/>
                <w:bCs/>
                <w:lang w:val="en-US" w:eastAsia="zh-CN"/>
              </w:rPr>
            </w:pPr>
            <w:r>
              <w:rPr>
                <w:rFonts w:hint="eastAsia"/>
                <w:b/>
                <w:bCs/>
                <w:lang w:val="en-US" w:eastAsia="zh-CN"/>
              </w:rPr>
              <w:t>2）资质证书：</w:t>
            </w:r>
          </w:p>
          <w:p>
            <w:pPr>
              <w:pStyle w:val="5"/>
              <w:spacing w:line="360" w:lineRule="auto"/>
              <w:ind w:firstLine="180" w:firstLineChars="100"/>
              <w:rPr>
                <w:rFonts w:hint="default"/>
                <w:lang w:val="en-US" w:eastAsia="zh-CN"/>
              </w:rPr>
            </w:pPr>
            <w:r>
              <w:rPr>
                <w:rFonts w:hint="eastAsia"/>
                <w:color w:val="0000FF"/>
                <w:lang w:val="en-US" w:eastAsia="zh-CN"/>
              </w:rPr>
              <w:t>法人变更，已收集最新版资质</w:t>
            </w:r>
          </w:p>
          <w:p>
            <w:pPr>
              <w:pStyle w:val="5"/>
              <w:spacing w:line="360" w:lineRule="auto"/>
              <w:rPr>
                <w:rFonts w:hint="eastAsia"/>
                <w:b/>
                <w:bCs/>
                <w:lang w:val="en-US" w:eastAsia="zh-CN"/>
              </w:rPr>
            </w:pPr>
            <w:r>
              <w:rPr>
                <w:rFonts w:hint="eastAsia"/>
                <w:b/>
                <w:bCs/>
                <w:lang w:val="en-US" w:eastAsia="zh-CN"/>
              </w:rPr>
              <w:t>3）初审不符合项验证</w:t>
            </w:r>
          </w:p>
          <w:p>
            <w:pPr>
              <w:pStyle w:val="5"/>
              <w:spacing w:line="360" w:lineRule="auto"/>
              <w:ind w:firstLine="180" w:firstLineChars="100"/>
              <w:rPr>
                <w:rFonts w:hint="default"/>
                <w:color w:val="0000FF"/>
                <w:highlight w:val="none"/>
                <w:lang w:val="en-US" w:eastAsia="zh-CN"/>
              </w:rPr>
            </w:pPr>
            <w:r>
              <w:rPr>
                <w:rFonts w:hint="eastAsia"/>
                <w:color w:val="0000FF"/>
                <w:highlight w:val="none"/>
                <w:lang w:val="en-US" w:eastAsia="zh-CN"/>
              </w:rPr>
              <w:t>初审开具不符合项：3项，经验证已关闭。</w:t>
            </w:r>
          </w:p>
          <w:p>
            <w:pPr>
              <w:pStyle w:val="5"/>
              <w:numPr>
                <w:ilvl w:val="0"/>
                <w:numId w:val="0"/>
              </w:numPr>
              <w:spacing w:line="360" w:lineRule="auto"/>
              <w:ind w:leftChars="0"/>
              <w:rPr>
                <w:rFonts w:hint="eastAsia"/>
                <w:color w:val="auto"/>
                <w:highlight w:val="none"/>
                <w:lang w:val="en-US" w:eastAsia="zh-CN"/>
              </w:rPr>
            </w:pPr>
            <w:r>
              <w:rPr>
                <w:rFonts w:hint="eastAsia"/>
                <w:highlight w:val="none"/>
                <w:lang w:val="en-US" w:eastAsia="zh-CN"/>
              </w:rPr>
              <w:t>4）组织人数未发生较大变化</w:t>
            </w:r>
            <w:r>
              <w:rPr>
                <w:rFonts w:hint="eastAsia"/>
                <w:color w:val="auto"/>
                <w:highlight w:val="none"/>
                <w:lang w:val="en-US" w:eastAsia="zh-CN"/>
              </w:rPr>
              <w:t>；</w:t>
            </w:r>
          </w:p>
          <w:p>
            <w:pPr>
              <w:pStyle w:val="5"/>
              <w:numPr>
                <w:ilvl w:val="0"/>
                <w:numId w:val="0"/>
              </w:numPr>
              <w:spacing w:line="360" w:lineRule="auto"/>
              <w:ind w:leftChars="0"/>
              <w:rPr>
                <w:rFonts w:hint="default"/>
                <w:color w:val="auto"/>
                <w:lang w:val="en-US" w:eastAsia="zh-CN"/>
              </w:rPr>
            </w:pPr>
            <w:r>
              <w:rPr>
                <w:rFonts w:hint="eastAsia"/>
                <w:color w:val="auto"/>
                <w:highlight w:val="none"/>
                <w:lang w:val="en-US" w:eastAsia="zh-CN"/>
              </w:rPr>
              <w:t>5）资质证书使用情况：询问证书只用于投标，未做他用，未发生处罚等情况，证书暂停期间，企业及相关负责人表示未使用。</w:t>
            </w:r>
          </w:p>
        </w:tc>
        <w:tc>
          <w:tcPr>
            <w:tcW w:w="1585" w:type="dxa"/>
            <w:shd w:val="clear" w:color="auto" w:fill="auto"/>
          </w:tcPr>
          <w:p>
            <w:pPr>
              <w:rPr>
                <w:rFonts w:hint="eastAsia" w:eastAsia="宋体"/>
                <w:lang w:eastAsia="zh-CN"/>
              </w:rPr>
            </w:pPr>
            <w:r>
              <w:rPr>
                <w:rFonts w:hint="eastAsia"/>
                <w:lang w:eastAsia="zh-CN"/>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rPr>
                <w:highlight w:val="none"/>
              </w:rPr>
            </w:pPr>
            <w:r>
              <w:rPr>
                <w:rFonts w:hint="eastAsia"/>
                <w:highlight w:val="none"/>
              </w:rPr>
              <w:t>理解组织及其环境</w:t>
            </w:r>
          </w:p>
        </w:tc>
        <w:tc>
          <w:tcPr>
            <w:tcW w:w="960" w:type="dxa"/>
            <w:gridSpan w:val="3"/>
            <w:vMerge w:val="restart"/>
          </w:tcPr>
          <w:p>
            <w:pPr>
              <w:rPr>
                <w:highlight w:val="none"/>
              </w:rPr>
            </w:pPr>
            <w:r>
              <w:rPr>
                <w:rFonts w:hint="eastAsia"/>
                <w:highlight w:val="none"/>
              </w:rPr>
              <w:t>F4.1</w:t>
            </w:r>
          </w:p>
        </w:tc>
        <w:tc>
          <w:tcPr>
            <w:tcW w:w="745" w:type="dxa"/>
            <w:gridSpan w:val="2"/>
          </w:tcPr>
          <w:p>
            <w:pPr>
              <w:rPr>
                <w:highlight w:val="none"/>
              </w:rPr>
            </w:pPr>
            <w:r>
              <w:rPr>
                <w:rFonts w:hint="eastAsia"/>
                <w:highlight w:val="none"/>
              </w:rPr>
              <w:t>文件名称</w:t>
            </w:r>
          </w:p>
        </w:tc>
        <w:tc>
          <w:tcPr>
            <w:tcW w:w="9261" w:type="dxa"/>
            <w:gridSpan w:val="3"/>
          </w:tcPr>
          <w:p>
            <w:pPr>
              <w:rPr>
                <w:rFonts w:hint="eastAsia" w:eastAsia="宋体"/>
                <w:highlight w:val="none"/>
                <w:lang w:eastAsia="zh-CN"/>
              </w:rPr>
            </w:pPr>
            <w:r>
              <w:rPr>
                <w:rFonts w:hint="eastAsia"/>
                <w:highlight w:val="none"/>
              </w:rPr>
              <w:t>如：</w:t>
            </w:r>
            <w:r>
              <w:rPr>
                <w:highlight w:val="none"/>
              </w:rPr>
              <w:sym w:font="Wingdings" w:char="00FE"/>
            </w:r>
            <w:r>
              <w:rPr>
                <w:rFonts w:hint="eastAsia"/>
                <w:highlight w:val="none"/>
              </w:rPr>
              <w:t>管理手册第4.1条款</w:t>
            </w:r>
          </w:p>
        </w:tc>
        <w:tc>
          <w:tcPr>
            <w:tcW w:w="1585"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gridSpan w:val="2"/>
            <w:vMerge w:val="continue"/>
          </w:tcPr>
          <w:p>
            <w:pPr>
              <w:rPr>
                <w:highlight w:val="none"/>
              </w:rPr>
            </w:pPr>
          </w:p>
        </w:tc>
        <w:tc>
          <w:tcPr>
            <w:tcW w:w="960" w:type="dxa"/>
            <w:gridSpan w:val="3"/>
            <w:vMerge w:val="continue"/>
          </w:tcPr>
          <w:p>
            <w:pPr>
              <w:rPr>
                <w:highlight w:val="none"/>
              </w:rPr>
            </w:pPr>
          </w:p>
        </w:tc>
        <w:tc>
          <w:tcPr>
            <w:tcW w:w="745" w:type="dxa"/>
            <w:gridSpan w:val="2"/>
          </w:tcPr>
          <w:p>
            <w:pPr>
              <w:rPr>
                <w:highlight w:val="none"/>
              </w:rPr>
            </w:pPr>
            <w:r>
              <w:rPr>
                <w:rFonts w:hint="eastAsia"/>
                <w:highlight w:val="none"/>
              </w:rPr>
              <w:t>运行证据</w:t>
            </w:r>
          </w:p>
        </w:tc>
        <w:tc>
          <w:tcPr>
            <w:tcW w:w="9261" w:type="dxa"/>
            <w:gridSpan w:val="3"/>
          </w:tcPr>
          <w:p>
            <w:pPr>
              <w:rPr>
                <w:color w:val="000000"/>
                <w:szCs w:val="21"/>
                <w:highlight w:val="none"/>
              </w:rPr>
            </w:pPr>
            <w:r>
              <w:rPr>
                <w:rFonts w:hint="eastAsia"/>
                <w:color w:val="000000"/>
                <w:szCs w:val="21"/>
                <w:highlight w:val="none"/>
              </w:rPr>
              <w:t>与最高管理者沟通：</w:t>
            </w:r>
          </w:p>
          <w:p>
            <w:pPr>
              <w:rPr>
                <w:color w:val="000000"/>
                <w:szCs w:val="21"/>
                <w:highlight w:val="none"/>
              </w:rPr>
            </w:pPr>
            <w:r>
              <w:rPr>
                <w:rFonts w:hint="eastAsia"/>
                <w:color w:val="000000"/>
                <w:szCs w:val="21"/>
                <w:highlight w:val="none"/>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highlight w:val="none"/>
                    </w:rPr>
                  </w:pPr>
                  <w:r>
                    <w:rPr>
                      <w:rFonts w:hint="eastAsia"/>
                      <w:highlight w:val="none"/>
                    </w:rPr>
                    <w:t>外部环境</w:t>
                  </w:r>
                </w:p>
              </w:tc>
              <w:tc>
                <w:tcPr>
                  <w:tcW w:w="67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 xml:space="preserve">网络安全 </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highlight w:val="none"/>
                    </w:rPr>
                  </w:pPr>
                  <w:r>
                    <w:rPr>
                      <w:rFonts w:hint="eastAsia"/>
                      <w:highlight w:val="none"/>
                    </w:rPr>
                    <w:t>列举主要的内容</w:t>
                  </w:r>
                </w:p>
              </w:tc>
              <w:tc>
                <w:tcPr>
                  <w:tcW w:w="6781" w:type="dxa"/>
                </w:tcPr>
                <w:p>
                  <w:pPr>
                    <w:rPr>
                      <w:rFonts w:hint="eastAsia"/>
                      <w:highlight w:val="none"/>
                      <w:lang w:val="en-US" w:eastAsia="zh-CN"/>
                    </w:rPr>
                  </w:pPr>
                  <w:r>
                    <w:rPr>
                      <w:rFonts w:hint="eastAsia"/>
                      <w:highlight w:val="none"/>
                      <w:lang w:val="en-US" w:eastAsia="zh-CN"/>
                    </w:rPr>
                    <w:t>市场竞争比较大；</w:t>
                  </w:r>
                </w:p>
                <w:p>
                  <w:pPr>
                    <w:pStyle w:val="2"/>
                    <w:ind w:left="0" w:leftChars="0" w:firstLine="0" w:firstLineChars="0"/>
                    <w:rPr>
                      <w:rFonts w:hint="default"/>
                      <w:highlight w:val="none"/>
                      <w:lang w:val="en-US" w:eastAsia="zh-CN"/>
                    </w:rPr>
                  </w:pPr>
                  <w:r>
                    <w:rPr>
                      <w:rFonts w:hint="eastAsia"/>
                      <w:highlight w:val="none"/>
                      <w:lang w:val="en-US" w:eastAsia="zh-CN"/>
                    </w:rPr>
                    <w:t>疫情有较大影响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highlight w:val="none"/>
                    </w:rPr>
                  </w:pPr>
                  <w:r>
                    <w:rPr>
                      <w:rFonts w:hint="eastAsia"/>
                      <w:highlight w:val="none"/>
                    </w:rPr>
                    <w:t>内部环境</w:t>
                  </w:r>
                </w:p>
              </w:tc>
              <w:tc>
                <w:tcPr>
                  <w:tcW w:w="67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绩效 </w:t>
                  </w:r>
                  <w:r>
                    <w:rPr>
                      <w:rFonts w:hint="eastAsia"/>
                      <w:highlight w:val="none"/>
                    </w:rPr>
                    <w:sym w:font="Wingdings 2" w:char="00A3"/>
                  </w:r>
                  <w:r>
                    <w:rPr>
                      <w:rFonts w:hint="eastAsia"/>
                      <w:highlight w:val="none"/>
                    </w:rPr>
                    <w:t xml:space="preserve">工艺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highlight w:val="none"/>
                    </w:rPr>
                  </w:pPr>
                  <w:r>
                    <w:rPr>
                      <w:rFonts w:hint="eastAsia"/>
                      <w:highlight w:val="none"/>
                    </w:rPr>
                    <w:t>列举主要的内容</w:t>
                  </w:r>
                </w:p>
              </w:tc>
              <w:tc>
                <w:tcPr>
                  <w:tcW w:w="6781" w:type="dxa"/>
                </w:tcPr>
                <w:p>
                  <w:pPr>
                    <w:rPr>
                      <w:rFonts w:hint="default"/>
                      <w:highlight w:val="none"/>
                      <w:lang w:val="en-US" w:eastAsia="zh-CN"/>
                    </w:rPr>
                  </w:pPr>
                  <w:r>
                    <w:rPr>
                      <w:rFonts w:hint="eastAsia"/>
                      <w:highlight w:val="none"/>
                      <w:lang w:val="en-US" w:eastAsia="zh-CN"/>
                    </w:rPr>
                    <w:t>关注基础设置，人员能力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highlight w:val="none"/>
                    </w:rPr>
                  </w:pPr>
                  <w:r>
                    <w:rPr>
                      <w:rFonts w:hint="eastAsia"/>
                      <w:color w:val="000000"/>
                      <w:szCs w:val="21"/>
                      <w:highlight w:val="none"/>
                    </w:rPr>
                    <w:t>组织优势说明</w:t>
                  </w:r>
                </w:p>
              </w:tc>
              <w:tc>
                <w:tcPr>
                  <w:tcW w:w="6781" w:type="dxa"/>
                </w:tcPr>
                <w:p>
                  <w:pPr>
                    <w:pStyle w:val="5"/>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食材供方稳定、成本控制较好；</w:t>
                  </w:r>
                </w:p>
                <w:p>
                  <w:pPr>
                    <w:pStyle w:val="5"/>
                    <w:rPr>
                      <w:rFonts w:hint="default"/>
                      <w:highlight w:val="none"/>
                      <w:lang w:val="en-US" w:eastAsia="zh-CN"/>
                    </w:rPr>
                  </w:pPr>
                  <w:r>
                    <w:rPr>
                      <w:rFonts w:hint="eastAsia" w:ascii="Times New Roman" w:hAnsi="Times New Roman" w:eastAsia="宋体" w:cs="Times New Roman"/>
                      <w:kern w:val="2"/>
                      <w:sz w:val="21"/>
                      <w:szCs w:val="20"/>
                      <w:highlight w:val="none"/>
                      <w:lang w:val="en-US" w:eastAsia="zh-CN" w:bidi="ar-SA"/>
                    </w:rPr>
                    <w:t>餐饮行业经营多年，经验丰富</w:t>
                  </w:r>
                  <w:r>
                    <w:rPr>
                      <w:rFonts w:hint="eastAsia" w:cs="Times New Roman"/>
                      <w:kern w:val="2"/>
                      <w:sz w:val="21"/>
                      <w:szCs w:val="20"/>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highlight w:val="none"/>
                    </w:rPr>
                  </w:pPr>
                  <w:r>
                    <w:rPr>
                      <w:rFonts w:hint="eastAsia"/>
                      <w:color w:val="000000"/>
                      <w:szCs w:val="21"/>
                      <w:highlight w:val="none"/>
                    </w:rPr>
                    <w:t>组织劣势说明</w:t>
                  </w:r>
                </w:p>
              </w:tc>
              <w:tc>
                <w:tcPr>
                  <w:tcW w:w="6781" w:type="dxa"/>
                </w:tcPr>
                <w:p>
                  <w:pPr>
                    <w:rPr>
                      <w:rFonts w:hint="eastAsia"/>
                      <w:highlight w:val="none"/>
                      <w:lang w:val="en-US" w:eastAsia="zh-CN"/>
                    </w:rPr>
                  </w:pPr>
                  <w:r>
                    <w:rPr>
                      <w:rFonts w:hint="eastAsia"/>
                      <w:highlight w:val="none"/>
                      <w:lang w:val="en-US" w:eastAsia="zh-CN"/>
                    </w:rPr>
                    <w:t>目前还处于上升期，对食品安全相关知识的学习还需加强；</w:t>
                  </w:r>
                </w:p>
                <w:p>
                  <w:pPr>
                    <w:pStyle w:val="2"/>
                    <w:ind w:left="0" w:leftChars="0" w:firstLine="0" w:firstLineChars="0"/>
                    <w:rPr>
                      <w:rFonts w:hint="default"/>
                      <w:highlight w:val="none"/>
                      <w:lang w:val="en-US" w:eastAsia="zh-CN"/>
                    </w:rPr>
                  </w:pPr>
                  <w:r>
                    <w:rPr>
                      <w:rFonts w:hint="eastAsia"/>
                      <w:highlight w:val="none"/>
                      <w:lang w:val="en-US" w:eastAsia="zh-CN"/>
                    </w:rPr>
                    <w:t>目前客户量还不够大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rPr>
                      <w:highlight w:val="none"/>
                    </w:rPr>
                  </w:pPr>
                  <w:r>
                    <w:rPr>
                      <w:rFonts w:hint="eastAsia"/>
                      <w:color w:val="000000"/>
                      <w:szCs w:val="21"/>
                      <w:highlight w:val="none"/>
                    </w:rPr>
                    <w:t>主要风险的说明</w:t>
                  </w:r>
                </w:p>
              </w:tc>
              <w:tc>
                <w:tcPr>
                  <w:tcW w:w="6781" w:type="dxa"/>
                </w:tcPr>
                <w:p>
                  <w:pPr>
                    <w:rPr>
                      <w:rFonts w:hint="default" w:eastAsia="宋体"/>
                      <w:highlight w:val="none"/>
                      <w:lang w:val="en-US" w:eastAsia="zh-CN"/>
                    </w:rPr>
                  </w:pPr>
                  <w:r>
                    <w:rPr>
                      <w:rFonts w:hint="eastAsia"/>
                      <w:highlight w:val="none"/>
                      <w:lang w:val="en-US" w:eastAsia="zh-CN"/>
                    </w:rPr>
                    <w:t>食品安全中毒、顾客投诉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tcPr>
                <w:p>
                  <w:pPr>
                    <w:rPr>
                      <w:highlight w:val="none"/>
                    </w:rPr>
                  </w:pPr>
                  <w:r>
                    <w:rPr>
                      <w:rFonts w:hint="eastAsia"/>
                      <w:color w:val="000000"/>
                      <w:szCs w:val="21"/>
                      <w:highlight w:val="none"/>
                    </w:rPr>
                    <w:t>机遇的说明</w:t>
                  </w:r>
                </w:p>
              </w:tc>
              <w:tc>
                <w:tcPr>
                  <w:tcW w:w="6781" w:type="dxa"/>
                </w:tcPr>
                <w:p>
                  <w:pPr>
                    <w:rPr>
                      <w:rFonts w:hint="eastAsia" w:ascii="宋体" w:hAnsi="宋体" w:cs="宋体"/>
                      <w:szCs w:val="21"/>
                      <w:highlight w:val="none"/>
                      <w:lang w:val="en-US" w:eastAsia="zh-CN"/>
                    </w:rPr>
                  </w:pPr>
                  <w:r>
                    <w:rPr>
                      <w:rFonts w:hint="eastAsia" w:ascii="宋体" w:hAnsi="宋体" w:cs="宋体"/>
                      <w:szCs w:val="21"/>
                      <w:highlight w:val="none"/>
                    </w:rPr>
                    <w:t>利用现有</w:t>
                  </w:r>
                  <w:r>
                    <w:rPr>
                      <w:rFonts w:hint="eastAsia" w:ascii="宋体" w:hAnsi="宋体" w:cs="宋体"/>
                      <w:szCs w:val="21"/>
                      <w:highlight w:val="none"/>
                      <w:lang w:val="en-US" w:eastAsia="zh-CN"/>
                    </w:rPr>
                    <w:t>的多年餐饮管理经验，并结合体系持续实施，提高整体管理能力；</w:t>
                  </w:r>
                </w:p>
                <w:p>
                  <w:pPr>
                    <w:rPr>
                      <w:highlight w:val="none"/>
                    </w:rPr>
                  </w:pPr>
                  <w:r>
                    <w:rPr>
                      <w:rFonts w:hint="eastAsia" w:ascii="宋体" w:hAnsi="宋体" w:cs="宋体"/>
                      <w:szCs w:val="21"/>
                      <w:highlight w:val="none"/>
                      <w:lang w:val="en-US" w:eastAsia="zh-CN"/>
                    </w:rPr>
                    <w:t>赢得更多市场，</w:t>
                  </w:r>
                  <w:r>
                    <w:rPr>
                      <w:rFonts w:hint="eastAsia" w:ascii="宋体" w:hAnsi="宋体" w:cs="宋体"/>
                      <w:szCs w:val="21"/>
                      <w:highlight w:val="none"/>
                    </w:rPr>
                    <w:t>扩大服务范围</w:t>
                  </w:r>
                </w:p>
              </w:tc>
            </w:tr>
          </w:tbl>
          <w:p>
            <w:pPr>
              <w:rPr>
                <w:color w:val="000000"/>
                <w:szCs w:val="21"/>
                <w:highlight w:val="none"/>
              </w:rPr>
            </w:pPr>
          </w:p>
          <w:p>
            <w:pPr>
              <w:rPr>
                <w:color w:val="000000"/>
                <w:szCs w:val="21"/>
                <w:highlight w:val="none"/>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《组织环境和相关方分析及应对措施清单》</w:t>
            </w:r>
            <w:r>
              <w:rPr>
                <w:rFonts w:hint="eastAsia" w:ascii="宋体" w:hAnsi="宋体"/>
                <w:highlight w:val="none"/>
                <w:lang w:eastAsia="zh-CN"/>
              </w:rPr>
              <w:t>、</w:t>
            </w:r>
            <w:r>
              <w:rPr>
                <w:rFonts w:hint="eastAsia"/>
                <w:highlight w:val="none"/>
              </w:rPr>
              <w:sym w:font="Wingdings" w:char="00A8"/>
            </w:r>
            <w:r>
              <w:rPr>
                <w:rFonts w:hint="eastAsia"/>
                <w:highlight w:val="none"/>
              </w:rPr>
              <w:t>《</w:t>
            </w:r>
            <w:r>
              <w:rPr>
                <w:rFonts w:hint="eastAsia"/>
                <w:highlight w:val="none"/>
                <w:lang w:val="en-US" w:eastAsia="zh-CN"/>
              </w:rPr>
              <w:t>PEST分析企业外部环境因素及应对措施</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rPr>
                <w:highlight w:val="none"/>
              </w:rPr>
            </w:pPr>
            <w:r>
              <w:rPr>
                <w:rFonts w:hint="eastAsia"/>
                <w:highlight w:val="none"/>
              </w:rPr>
              <w:t>理解相关方的需求和期望</w:t>
            </w:r>
          </w:p>
        </w:tc>
        <w:tc>
          <w:tcPr>
            <w:tcW w:w="960" w:type="dxa"/>
            <w:gridSpan w:val="3"/>
            <w:vMerge w:val="restart"/>
          </w:tcPr>
          <w:p>
            <w:pPr>
              <w:rPr>
                <w:highlight w:val="none"/>
              </w:rPr>
            </w:pPr>
            <w:r>
              <w:rPr>
                <w:rFonts w:hint="eastAsia"/>
                <w:highlight w:val="none"/>
              </w:rPr>
              <w:t>F4.2</w:t>
            </w:r>
          </w:p>
        </w:tc>
        <w:tc>
          <w:tcPr>
            <w:tcW w:w="745" w:type="dxa"/>
            <w:gridSpan w:val="2"/>
          </w:tcPr>
          <w:p>
            <w:pPr>
              <w:rPr>
                <w:highlight w:val="none"/>
              </w:rPr>
            </w:pPr>
            <w:r>
              <w:rPr>
                <w:rFonts w:hint="eastAsia"/>
                <w:highlight w:val="none"/>
              </w:rPr>
              <w:t>文件名称</w:t>
            </w:r>
          </w:p>
        </w:tc>
        <w:tc>
          <w:tcPr>
            <w:tcW w:w="9261" w:type="dxa"/>
            <w:gridSpan w:val="3"/>
          </w:tcPr>
          <w:p>
            <w:pPr>
              <w:keepNext w:val="0"/>
              <w:keepLines w:val="0"/>
              <w:widowControl/>
              <w:suppressLineNumbers w:val="0"/>
              <w:jc w:val="left"/>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《相关方需求和期望控制程序》、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管理手册第4.2条款</w:t>
            </w:r>
            <w:r>
              <w:rPr>
                <w:rFonts w:hint="eastAsia"/>
                <w:highlight w:val="none"/>
                <w:lang w:eastAsia="zh-CN"/>
              </w:rPr>
              <w:t>、</w:t>
            </w:r>
          </w:p>
          <w:p>
            <w:pPr>
              <w:rPr>
                <w:rFonts w:hint="eastAsia" w:eastAsia="宋体"/>
                <w:highlight w:val="none"/>
                <w:lang w:eastAsia="zh-CN"/>
              </w:rPr>
            </w:pPr>
          </w:p>
        </w:tc>
        <w:tc>
          <w:tcPr>
            <w:tcW w:w="1585" w:type="dxa"/>
            <w:vMerge w:val="restart"/>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3" w:type="dxa"/>
            <w:gridSpan w:val="2"/>
            <w:vMerge w:val="continue"/>
          </w:tcPr>
          <w:p>
            <w:pPr>
              <w:rPr>
                <w:highlight w:val="none"/>
              </w:rPr>
            </w:pPr>
          </w:p>
        </w:tc>
        <w:tc>
          <w:tcPr>
            <w:tcW w:w="960" w:type="dxa"/>
            <w:gridSpan w:val="3"/>
            <w:vMerge w:val="continue"/>
          </w:tcPr>
          <w:p>
            <w:pPr>
              <w:rPr>
                <w:highlight w:val="none"/>
              </w:rPr>
            </w:pPr>
          </w:p>
        </w:tc>
        <w:tc>
          <w:tcPr>
            <w:tcW w:w="745" w:type="dxa"/>
            <w:gridSpan w:val="2"/>
          </w:tcPr>
          <w:p>
            <w:pPr>
              <w:rPr>
                <w:highlight w:val="none"/>
              </w:rPr>
            </w:pPr>
            <w:r>
              <w:rPr>
                <w:rFonts w:hint="eastAsia"/>
                <w:highlight w:val="none"/>
              </w:rPr>
              <w:t>运行证据</w:t>
            </w:r>
          </w:p>
        </w:tc>
        <w:tc>
          <w:tcPr>
            <w:tcW w:w="9261" w:type="dxa"/>
            <w:gridSpan w:val="3"/>
          </w:tcPr>
          <w:p>
            <w:pPr>
              <w:rPr>
                <w:rFonts w:hint="default" w:eastAsia="宋体"/>
                <w:color w:val="000000"/>
                <w:szCs w:val="21"/>
                <w:highlight w:val="none"/>
                <w:lang w:val="en-US" w:eastAsia="zh-CN"/>
              </w:rPr>
            </w:pPr>
            <w:r>
              <w:rPr>
                <w:rFonts w:hint="eastAsia"/>
                <w:color w:val="000000"/>
                <w:szCs w:val="21"/>
                <w:highlight w:val="none"/>
                <w:lang w:val="en-US" w:eastAsia="zh-CN"/>
              </w:rPr>
              <w:t>现场沟通抽查：</w:t>
            </w:r>
          </w:p>
          <w:tbl>
            <w:tblPr>
              <w:tblStyle w:val="9"/>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eastAsia"/>
                      <w:highlight w:val="none"/>
                      <w:lang w:val="en-US" w:eastAsia="zh-CN"/>
                    </w:rPr>
                  </w:pPr>
                  <w:r>
                    <w:rPr>
                      <w:rFonts w:hint="eastAsia"/>
                      <w:highlight w:val="none"/>
                      <w:lang w:val="en-US" w:eastAsia="zh-CN"/>
                    </w:rPr>
                    <w:t>邢台经济开发区市场监督管理局、</w:t>
                  </w:r>
                </w:p>
                <w:p>
                  <w:pPr>
                    <w:pStyle w:val="2"/>
                    <w:ind w:left="0" w:leftChars="0" w:firstLine="0" w:firstLineChars="0"/>
                    <w:rPr>
                      <w:rFonts w:hint="default"/>
                      <w:highlight w:val="none"/>
                      <w:lang w:val="en-US" w:eastAsia="zh-CN"/>
                    </w:rPr>
                  </w:pPr>
                  <w:r>
                    <w:rPr>
                      <w:rFonts w:hint="eastAsia"/>
                      <w:highlight w:val="none"/>
                      <w:lang w:val="en-US" w:eastAsia="zh-CN"/>
                    </w:rPr>
                    <w:t>邢台是经济开发区社会事务局</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11"/>
                    <w:rPr>
                      <w:rFonts w:hint="default"/>
                      <w:highlight w:val="none"/>
                      <w:lang w:val="en-US" w:eastAsia="zh-CN"/>
                    </w:rPr>
                  </w:pPr>
                  <w:r>
                    <w:rPr>
                      <w:rFonts w:hint="default"/>
                      <w:highlight w:val="none"/>
                      <w:lang w:val="en-US" w:eastAsia="zh-CN"/>
                    </w:rPr>
                    <w:t>开原胜利牧业有限公司</w:t>
                  </w:r>
                  <w:r>
                    <w:rPr>
                      <w:rFonts w:hint="eastAsia"/>
                      <w:highlight w:val="none"/>
                      <w:lang w:val="en-US" w:eastAsia="zh-CN"/>
                    </w:rPr>
                    <w:t>、</w:t>
                  </w:r>
                  <w:r>
                    <w:rPr>
                      <w:rFonts w:hint="eastAsia" w:ascii="Times New Roman" w:hAnsi="Times New Roman" w:eastAsia="宋体" w:cs="Times New Roman"/>
                      <w:bCs w:val="0"/>
                      <w:spacing w:val="0"/>
                      <w:kern w:val="2"/>
                      <w:sz w:val="21"/>
                      <w:highlight w:val="none"/>
                      <w:lang w:val="en-US" w:eastAsia="zh-CN" w:bidi="ar-SA"/>
                    </w:rPr>
                    <w:t>冀中能源邢台矿业集团有限责任公司油脂分公司、南和县宸岳蔬菜经销处</w:t>
                  </w:r>
                  <w:r>
                    <w:rPr>
                      <w:rFonts w:hint="eastAsia" w:ascii="Times New Roman" w:hAnsi="Times New Roman" w:cs="Times New Roman"/>
                      <w:bCs w:val="0"/>
                      <w:spacing w:val="0"/>
                      <w:kern w:val="2"/>
                      <w:sz w:val="21"/>
                      <w:highlight w:val="none"/>
                      <w:lang w:val="en-US" w:eastAsia="zh-CN" w:bidi="ar-SA"/>
                    </w:rPr>
                    <w:t>等</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eastAsia"/>
                      <w:highlight w:val="none"/>
                      <w:lang w:val="en-US" w:eastAsia="zh-CN"/>
                    </w:rPr>
                    <w:t>学校师生、公交公司员工</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学校师生</w:t>
                  </w:r>
                </w:p>
              </w:tc>
              <w:tc>
                <w:tcPr>
                  <w:tcW w:w="5190"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szCs w:val="24"/>
                      <w:highlight w:val="none"/>
                    </w:rPr>
                  </w:pPr>
                  <w:r>
                    <w:rPr>
                      <w:rFonts w:hint="eastAsia"/>
                      <w:szCs w:val="24"/>
                      <w:highlight w:val="none"/>
                    </w:rPr>
                    <w:t>雇员</w:t>
                  </w:r>
                </w:p>
              </w:tc>
              <w:tc>
                <w:tcPr>
                  <w:tcW w:w="5190" w:type="dxa"/>
                </w:tcPr>
                <w:p>
                  <w:pPr>
                    <w:rPr>
                      <w:highlight w:val="none"/>
                    </w:rPr>
                  </w:pPr>
                  <w:r>
                    <w:rPr>
                      <w:rFonts w:hint="eastAsia"/>
                      <w:highlight w:val="none"/>
                    </w:rPr>
                    <w:t>☑组织的持续经营、自我发展</w:t>
                  </w:r>
                </w:p>
                <w:p>
                  <w:pP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投资方</w:t>
                  </w:r>
                </w:p>
              </w:tc>
              <w:tc>
                <w:tcPr>
                  <w:tcW w:w="2240" w:type="dxa"/>
                </w:tcPr>
                <w:p>
                  <w:pPr>
                    <w:rPr>
                      <w:rFonts w:hint="eastAsia" w:eastAsia="宋体"/>
                      <w:highlight w:val="none"/>
                      <w:lang w:eastAsia="zh-CN"/>
                    </w:rPr>
                  </w:pPr>
                  <w:r>
                    <w:rPr>
                      <w:rFonts w:hint="eastAsia"/>
                      <w:highlight w:val="none"/>
                      <w:lang w:val="en-US" w:eastAsia="zh-CN"/>
                    </w:rPr>
                    <w:t>自然人</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52"/>
                  </w:r>
                  <w:r>
                    <w:rPr>
                      <w:rFonts w:hint="eastAsia"/>
                      <w:highlight w:val="none"/>
                    </w:rPr>
                    <w:t>社区</w:t>
                  </w:r>
                </w:p>
              </w:tc>
              <w:tc>
                <w:tcPr>
                  <w:tcW w:w="2240" w:type="dxa"/>
                </w:tcPr>
                <w:p>
                  <w:pPr>
                    <w:rPr>
                      <w:rFonts w:hint="default" w:eastAsia="宋体"/>
                      <w:highlight w:val="none"/>
                      <w:lang w:val="en-US" w:eastAsia="zh-CN"/>
                    </w:rPr>
                  </w:pPr>
                  <w:r>
                    <w:rPr>
                      <w:rFonts w:hint="eastAsia"/>
                      <w:highlight w:val="none"/>
                      <w:lang w:val="en-US" w:eastAsia="zh-CN"/>
                    </w:rPr>
                    <w:t>开发区工业园区</w:t>
                  </w:r>
                </w:p>
              </w:tc>
              <w:tc>
                <w:tcPr>
                  <w:tcW w:w="5190" w:type="dxa"/>
                </w:tcPr>
                <w:p>
                  <w:pPr>
                    <w:rPr>
                      <w:highlight w:val="none"/>
                    </w:rPr>
                  </w:pPr>
                  <w:r>
                    <w:rPr>
                      <w:rFonts w:hint="eastAsia"/>
                      <w:highlight w:val="none"/>
                    </w:rPr>
                    <w:sym w:font="Wingdings 2" w:char="0052"/>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Pr>
              <w:rPr>
                <w:color w:val="000000"/>
                <w:szCs w:val="21"/>
                <w:highlight w:val="none"/>
              </w:rPr>
            </w:pPr>
          </w:p>
          <w:p>
            <w:pPr>
              <w:rPr>
                <w:color w:val="000000"/>
                <w:szCs w:val="21"/>
                <w:highlight w:val="none"/>
              </w:rPr>
            </w:pPr>
            <w:r>
              <w:rPr>
                <w:rFonts w:hint="eastAsia"/>
                <w:color w:val="000000"/>
                <w:szCs w:val="21"/>
                <w:highlight w:val="none"/>
              </w:rPr>
              <w:t>主要证据体现在</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《相关方需求和期望清单》、</w:t>
            </w:r>
            <w:r>
              <w:rPr>
                <w:rFonts w:hint="eastAsia"/>
                <w:highlight w:val="none"/>
              </w:rPr>
              <w:sym w:font="Wingdings" w:char="00A8"/>
            </w:r>
            <w:r>
              <w:rPr>
                <w:rFonts w:hint="eastAsia"/>
                <w:highlight w:val="none"/>
              </w:rPr>
              <w:t xml:space="preserve">《相关方的需求和期望分析表》、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3" w:type="dxa"/>
            <w:gridSpan w:val="2"/>
            <w:vMerge w:val="restart"/>
            <w:shd w:val="clear" w:color="auto" w:fill="EBF1DE" w:themeFill="accent3" w:themeFillTint="32"/>
          </w:tcPr>
          <w:p>
            <w:r>
              <w:rPr>
                <w:rFonts w:hint="eastAsia"/>
              </w:rPr>
              <w:t>确定食品安全管理体系的范围</w:t>
            </w:r>
          </w:p>
        </w:tc>
        <w:tc>
          <w:tcPr>
            <w:tcW w:w="960" w:type="dxa"/>
            <w:gridSpan w:val="3"/>
            <w:vMerge w:val="restart"/>
            <w:shd w:val="clear" w:color="auto" w:fill="EBF1DE" w:themeFill="accent3" w:themeFillTint="32"/>
          </w:tcPr>
          <w:p>
            <w:r>
              <w:rPr>
                <w:rFonts w:hint="eastAsia"/>
              </w:rPr>
              <w:t>F4.3</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sym w:font="Wingdings" w:char="00FE"/>
            </w:r>
            <w:r>
              <w:rPr>
                <w:rFonts w:hint="eastAsia"/>
              </w:rPr>
              <w:t>管理手册第4.3条款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r>
              <w:rPr>
                <w:rFonts w:hint="eastAsia"/>
              </w:rPr>
              <w:t>组织应明确相关管理体系的范围；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范围的项目</w:t>
                  </w:r>
                </w:p>
              </w:tc>
              <w:tc>
                <w:tcPr>
                  <w:tcW w:w="5446" w:type="dxa"/>
                </w:tcPr>
                <w:p>
                  <w:pPr>
                    <w:rPr>
                      <w:highlight w:val="none"/>
                    </w:rPr>
                  </w:pPr>
                  <w:r>
                    <w:rPr>
                      <w:rFonts w:hint="eastAsia"/>
                      <w:highlight w:val="none"/>
                    </w:rPr>
                    <w:t>内容描述</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rPr>
                      <w:highlight w:val="none"/>
                    </w:rPr>
                  </w:pPr>
                  <w:r>
                    <w:rPr>
                      <w:rFonts w:hint="eastAsia"/>
                      <w:highlight w:val="none"/>
                    </w:rPr>
                    <w:t>产品/服务的活动</w:t>
                  </w:r>
                </w:p>
              </w:tc>
              <w:tc>
                <w:tcPr>
                  <w:tcW w:w="5446" w:type="dxa"/>
                </w:tcPr>
                <w:p>
                  <w:pPr>
                    <w:rPr>
                      <w:szCs w:val="21"/>
                      <w:highlight w:val="none"/>
                    </w:rPr>
                  </w:pPr>
                  <w:r>
                    <w:rPr>
                      <w:sz w:val="20"/>
                    </w:rPr>
                    <w:t>热食类食品制售（集体用餐配送）</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 xml:space="preserve">审核范围描述 </w:t>
                  </w:r>
                </w:p>
              </w:tc>
              <w:tc>
                <w:tcPr>
                  <w:tcW w:w="5446" w:type="dxa"/>
                </w:tcPr>
                <w:p>
                  <w:pPr>
                    <w:autoSpaceDE w:val="0"/>
                    <w:autoSpaceDN w:val="0"/>
                    <w:adjustRightInd w:val="0"/>
                    <w:jc w:val="left"/>
                    <w:rPr>
                      <w:highlight w:val="none"/>
                    </w:rPr>
                  </w:pPr>
                  <w:bookmarkStart w:id="0" w:name="审核范围"/>
                  <w:r>
                    <w:rPr>
                      <w:sz w:val="20"/>
                    </w:rPr>
                    <w:t>位于河北省邢台经济开发区王快镇西楼下社区兴泰大街与建业路交叉口西行50米路北河北嘉业餐饮服务有限公司中央厨房的热食类食品制售（集体用餐配送）</w:t>
                  </w:r>
                  <w:bookmarkEnd w:id="0"/>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注册地址</w:t>
                  </w:r>
                </w:p>
              </w:tc>
              <w:tc>
                <w:tcPr>
                  <w:tcW w:w="5446" w:type="dxa"/>
                  <w:vAlign w:val="center"/>
                </w:tcPr>
                <w:p>
                  <w:pPr>
                    <w:rPr>
                      <w:rFonts w:ascii="Times New Roman" w:hAnsi="Times New Roman" w:eastAsia="宋体" w:cs="Times New Roman"/>
                      <w:kern w:val="2"/>
                      <w:sz w:val="21"/>
                      <w:szCs w:val="21"/>
                      <w:lang w:val="en-US" w:eastAsia="zh-CN" w:bidi="ar-SA"/>
                    </w:rPr>
                  </w:pPr>
                  <w:bookmarkStart w:id="1" w:name="注册地址"/>
                  <w:r>
                    <w:rPr>
                      <w:rFonts w:asciiTheme="minorEastAsia" w:hAnsiTheme="minorEastAsia" w:eastAsiaTheme="minorEastAsia"/>
                      <w:sz w:val="20"/>
                    </w:rPr>
                    <w:t>河北省邢台经济开发区王快镇西楼下社区兴泰大街与建业路交叉口西行50米路北</w:t>
                  </w:r>
                  <w:bookmarkEnd w:id="1"/>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rPr>
                      <w:highlight w:val="none"/>
                    </w:rPr>
                  </w:pPr>
                  <w:r>
                    <w:rPr>
                      <w:rFonts w:hint="eastAsia"/>
                      <w:highlight w:val="none"/>
                    </w:rPr>
                    <w:t>经营地址</w:t>
                  </w:r>
                </w:p>
              </w:tc>
              <w:tc>
                <w:tcPr>
                  <w:tcW w:w="5446" w:type="dxa"/>
                  <w:vAlign w:val="center"/>
                </w:tcPr>
                <w:p>
                  <w:pPr>
                    <w:rPr>
                      <w:rFonts w:ascii="Times New Roman" w:hAnsi="Times New Roman" w:eastAsia="宋体" w:cs="Times New Roman"/>
                      <w:kern w:val="2"/>
                      <w:sz w:val="21"/>
                      <w:szCs w:val="21"/>
                      <w:lang w:val="en-US" w:eastAsia="zh-CN" w:bidi="ar-SA"/>
                    </w:rPr>
                  </w:pPr>
                  <w:r>
                    <w:rPr>
                      <w:rFonts w:asciiTheme="minorEastAsia" w:hAnsiTheme="minorEastAsia" w:eastAsiaTheme="minorEastAsia"/>
                      <w:sz w:val="20"/>
                    </w:rPr>
                    <w:t>河北省邢台经济开发区王快镇西楼下社区兴泰大街与建业路交叉口西行50米路北</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临时现场</w:t>
                  </w:r>
                </w:p>
              </w:tc>
              <w:tc>
                <w:tcPr>
                  <w:tcW w:w="5446" w:type="dxa"/>
                </w:tcPr>
                <w:p>
                  <w:pPr>
                    <w:rPr>
                      <w:highlight w:val="none"/>
                    </w:rPr>
                  </w:pPr>
                  <w:r>
                    <w:rPr>
                      <w:rFonts w:hint="eastAsia"/>
                      <w:highlight w:val="none"/>
                    </w:rPr>
                    <w:t>——</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多场所</w:t>
                  </w:r>
                </w:p>
              </w:tc>
              <w:tc>
                <w:tcPr>
                  <w:tcW w:w="5446" w:type="dxa"/>
                </w:tcPr>
                <w:p>
                  <w:pPr>
                    <w:rPr>
                      <w:highlight w:val="none"/>
                    </w:rPr>
                  </w:pPr>
                  <w:r>
                    <w:rPr>
                      <w:rFonts w:hint="eastAsia"/>
                      <w:highlight w:val="none"/>
                    </w:rPr>
                    <w:t>——</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rPr>
                      <w:highlight w:val="none"/>
                    </w:rPr>
                  </w:pPr>
                  <w:r>
                    <w:rPr>
                      <w:rFonts w:hint="eastAsia"/>
                      <w:highlight w:val="none"/>
                    </w:rPr>
                    <w:t>组织单元（部门/分支）</w:t>
                  </w:r>
                </w:p>
              </w:tc>
              <w:tc>
                <w:tcPr>
                  <w:tcW w:w="544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与组织结构图一致</w:t>
                  </w:r>
                </w:p>
                <w:p>
                  <w:pPr>
                    <w:rPr>
                      <w:highlight w:val="none"/>
                      <w:u w:val="single"/>
                    </w:rPr>
                  </w:pPr>
                  <w:r>
                    <w:rPr>
                      <w:rFonts w:hint="eastAsia"/>
                      <w:highlight w:val="none"/>
                    </w:rPr>
                    <w:sym w:font="Wingdings" w:char="00A8"/>
                  </w:r>
                  <w:r>
                    <w:rPr>
                      <w:rFonts w:hint="eastAsia"/>
                      <w:highlight w:val="none"/>
                    </w:rPr>
                    <w:t xml:space="preserve">分支机构，如： </w:t>
                  </w:r>
                  <w:r>
                    <w:rPr>
                      <w:rFonts w:hint="eastAsia"/>
                      <w:highlight w:val="none"/>
                      <w:u w:val="single"/>
                    </w:rPr>
                    <w:t xml:space="preserve">                  </w:t>
                  </w:r>
                </w:p>
                <w:p>
                  <w:pPr>
                    <w:rPr>
                      <w:highlight w:val="none"/>
                    </w:rPr>
                  </w:pPr>
                  <w:r>
                    <w:rPr>
                      <w:rFonts w:hint="eastAsia"/>
                      <w:highlight w:val="none"/>
                    </w:rPr>
                    <w:sym w:font="Wingdings" w:char="00A8"/>
                  </w:r>
                  <w:r>
                    <w:rPr>
                      <w:rFonts w:hint="eastAsia"/>
                      <w:highlight w:val="none"/>
                    </w:rPr>
                    <w:t xml:space="preserve">临时场所，如： </w:t>
                  </w:r>
                  <w:r>
                    <w:rPr>
                      <w:rFonts w:hint="eastAsia"/>
                      <w:highlight w:val="none"/>
                      <w:u w:val="single"/>
                    </w:rPr>
                    <w:t xml:space="preserve">            </w:t>
                  </w:r>
                  <w:r>
                    <w:rPr>
                      <w:highlight w:val="none"/>
                      <w:u w:val="single"/>
                    </w:rPr>
                    <w:t xml:space="preserve">   </w:t>
                  </w:r>
                  <w:r>
                    <w:rPr>
                      <w:rFonts w:hint="eastAsia"/>
                      <w:highlight w:val="none"/>
                      <w:u w:val="single"/>
                    </w:rPr>
                    <w:t xml:space="preserve">   </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时间</w:t>
                  </w:r>
                </w:p>
              </w:tc>
              <w:tc>
                <w:tcPr>
                  <w:tcW w:w="5446" w:type="dxa"/>
                </w:tcPr>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体系建立以来</w:t>
                  </w:r>
                  <w:r>
                    <w:rPr>
                      <w:rFonts w:hint="eastAsia"/>
                      <w:highlight w:val="none"/>
                      <w:lang w:val="en-US" w:eastAsia="zh-CN"/>
                    </w:rPr>
                    <w:t xml:space="preserve"> </w:t>
                  </w:r>
                </w:p>
                <w:p>
                  <w:pPr>
                    <w:rPr>
                      <w:rFonts w:hint="default" w:eastAsia="宋体"/>
                      <w:highlight w:val="none"/>
                      <w:lang w:val="en-US" w:eastAsia="zh-CN"/>
                    </w:rPr>
                  </w:pPr>
                  <w:r>
                    <w:rPr>
                      <w:rFonts w:hint="eastAsia"/>
                      <w:highlight w:val="none"/>
                    </w:rPr>
                    <w:sym w:font="Wingdings" w:char="00FE"/>
                  </w:r>
                  <w:r>
                    <w:rPr>
                      <w:rFonts w:hint="eastAsia"/>
                      <w:highlight w:val="none"/>
                      <w:lang w:val="en-US" w:eastAsia="zh-CN"/>
                    </w:rPr>
                    <w:t xml:space="preserve"> 近一年以来，未发生变化 </w:t>
                  </w:r>
                </w:p>
              </w:tc>
              <w:tc>
                <w:tcPr>
                  <w:tcW w:w="1686" w:type="dxa"/>
                </w:tcPr>
                <w:p>
                  <w:pPr>
                    <w:rPr>
                      <w:highlight w:val="none"/>
                    </w:rPr>
                  </w:pPr>
                </w:p>
              </w:tc>
            </w:tr>
          </w:tbl>
          <w:p/>
          <w:p>
            <w:pPr>
              <w:rPr>
                <w:color w:val="000000"/>
                <w:szCs w:val="21"/>
              </w:rPr>
            </w:pPr>
            <w:r>
              <w:rPr>
                <w:rFonts w:hint="eastAsia"/>
                <w:color w:val="000000"/>
                <w:szCs w:val="21"/>
              </w:rPr>
              <w:t>在企业的管理手册中有描述。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pPr>
              <w:jc w:val="left"/>
            </w:pPr>
            <w:r>
              <w:rPr>
                <w:rFonts w:hint="eastAsia"/>
              </w:rPr>
              <w:t>食品安全管理体系及其过程</w:t>
            </w:r>
          </w:p>
        </w:tc>
        <w:tc>
          <w:tcPr>
            <w:tcW w:w="960" w:type="dxa"/>
            <w:gridSpan w:val="3"/>
            <w:vMerge w:val="restart"/>
            <w:shd w:val="clear" w:color="auto" w:fill="EBF1DE" w:themeFill="accent3" w:themeFillTint="32"/>
          </w:tcPr>
          <w:p>
            <w:r>
              <w:rPr>
                <w:rFonts w:hint="eastAsia"/>
              </w:rPr>
              <w:t xml:space="preserve"> F4.4 </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default" w:eastAsia="宋体"/>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w:t>
            </w:r>
            <w:r>
              <w:rPr>
                <w:rFonts w:hint="eastAsia"/>
                <w:lang w:val="en-US" w:eastAsia="zh-CN"/>
              </w:rPr>
              <w:t xml:space="preserve"> </w:t>
            </w:r>
            <w:r>
              <w:rPr>
                <w:rFonts w:hint="eastAsia"/>
              </w:rPr>
              <w:t xml:space="preserve"> □危害分析 □制订PRP和OPRP、HACCP计划 □生产/服务过程  □产品运输 </w:t>
            </w:r>
          </w:p>
          <w:p>
            <w:pPr>
              <w:spacing w:before="40" w:after="40"/>
              <w:jc w:val="left"/>
              <w:rPr>
                <w:rFonts w:hint="eastAsia" w:eastAsia="宋体"/>
                <w:lang w:val="en-US" w:eastAsia="zh-CN"/>
              </w:rPr>
            </w:pPr>
            <w:r>
              <w:rPr>
                <w:rFonts w:hint="eastAsia"/>
              </w:rPr>
              <w:t xml:space="preserve">□设备维修 </w:t>
            </w:r>
            <w:r>
              <w:rPr>
                <w:rFonts w:hint="eastAsia"/>
                <w:lang w:val="en-US" w:eastAsia="zh-CN"/>
              </w:rPr>
              <w:t xml:space="preserve"> </w:t>
            </w:r>
            <w:r>
              <w:rPr>
                <w:rFonts w:hint="eastAsia"/>
              </w:rPr>
              <w:t xml:space="preserve"> □人员培训 □PRP和OPRP、HACCP验证 </w:t>
            </w:r>
            <w:r>
              <w:rPr>
                <w:rFonts w:hint="eastAsia"/>
                <w:highlight w:val="none"/>
              </w:rPr>
              <w:t xml:space="preserve"> ☑其他—</w:t>
            </w:r>
            <w:r>
              <w:rPr>
                <w:rFonts w:hint="eastAsia"/>
                <w:highlight w:val="none"/>
                <w:lang w:val="en-US" w:eastAsia="zh-CN"/>
              </w:rPr>
              <w:t>无</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r>
              <w:rPr>
                <w:rFonts w:hint="eastAsia"/>
              </w:rPr>
              <w:t>领导作用与承诺</w:t>
            </w:r>
          </w:p>
        </w:tc>
        <w:tc>
          <w:tcPr>
            <w:tcW w:w="960" w:type="dxa"/>
            <w:gridSpan w:val="3"/>
            <w:vMerge w:val="restart"/>
            <w:shd w:val="clear" w:color="auto" w:fill="EBF1DE" w:themeFill="accent3" w:themeFillTint="32"/>
          </w:tcPr>
          <w:p>
            <w:r>
              <w:rPr>
                <w:rFonts w:hint="eastAsia"/>
              </w:rPr>
              <w:t>F5.1</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sym w:font="Wingdings" w:char="00FE"/>
            </w:r>
            <w:r>
              <w:rPr>
                <w:rFonts w:hint="eastAsia"/>
              </w:rPr>
              <w:t>管理手册第5.1条款  和“</w:t>
            </w:r>
            <w:r>
              <w:rPr>
                <w:rFonts w:hint="eastAsia"/>
                <w:lang w:val="en-US" w:eastAsia="zh-CN"/>
              </w:rPr>
              <w:t>5.3条款</w:t>
            </w:r>
            <w:r>
              <w:rPr>
                <w:rFonts w:hint="eastAsia"/>
              </w:rPr>
              <w:t>”</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r>
              <w:rPr>
                <w:rFonts w:hint="eastAsia"/>
              </w:rPr>
              <w:t>食品安全方针</w:t>
            </w:r>
          </w:p>
        </w:tc>
        <w:tc>
          <w:tcPr>
            <w:tcW w:w="960" w:type="dxa"/>
            <w:gridSpan w:val="3"/>
            <w:vMerge w:val="restart"/>
            <w:shd w:val="clear" w:color="auto" w:fill="EBF1DE" w:themeFill="accent3" w:themeFillTint="32"/>
          </w:tcPr>
          <w:p>
            <w:r>
              <w:rPr>
                <w:rFonts w:hint="eastAsia"/>
              </w:rPr>
              <w:t>F5.2</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pPr>
              <w:rPr>
                <w:rFonts w:hint="eastAsia"/>
              </w:rPr>
            </w:pPr>
            <w:r>
              <w:rPr>
                <w:rFonts w:hint="eastAsia"/>
                <w:color w:val="000000"/>
                <w:szCs w:val="21"/>
              </w:rPr>
              <w:t xml:space="preserve"> </w:t>
            </w:r>
            <w:r>
              <w:rPr>
                <w:rFonts w:hint="eastAsia"/>
              </w:rPr>
              <w:t>最高管理者制定了文件化的管理体系方针：</w:t>
            </w:r>
          </w:p>
          <w:p>
            <w:pPr>
              <w:pStyle w:val="11"/>
            </w:pPr>
          </w:p>
          <w:p>
            <w:pPr>
              <w:pStyle w:val="7"/>
              <w:rPr>
                <w:rFonts w:hint="eastAsia"/>
                <w:b/>
                <w:bCs/>
                <w:sz w:val="24"/>
                <w:szCs w:val="24"/>
                <w:u w:val="single"/>
              </w:rPr>
            </w:pPr>
            <w:r>
              <w:rPr>
                <w:rFonts w:hint="eastAsia"/>
                <w:b/>
                <w:bCs/>
                <w:sz w:val="24"/>
                <w:szCs w:val="24"/>
                <w:u w:val="single"/>
              </w:rPr>
              <w:t>企业用心、孩子开心、家长舒心、学校省心、政府放心</w:t>
            </w:r>
          </w:p>
          <w:p>
            <w:pPr>
              <w:pStyle w:val="7"/>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r>
              <w:rPr>
                <w:rFonts w:hint="eastAsia"/>
              </w:rPr>
              <w:t>组织的岗位、职责和权限</w:t>
            </w:r>
          </w:p>
          <w:p/>
        </w:tc>
        <w:tc>
          <w:tcPr>
            <w:tcW w:w="960" w:type="dxa"/>
            <w:gridSpan w:val="3"/>
            <w:vMerge w:val="restart"/>
            <w:shd w:val="clear" w:color="auto" w:fill="EBF1DE" w:themeFill="accent3" w:themeFillTint="32"/>
          </w:tcPr>
          <w:p>
            <w:r>
              <w:rPr>
                <w:rFonts w:hint="eastAsia"/>
              </w:rPr>
              <w:t>F5.3</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w:t>
            </w:r>
            <w:r>
              <w:rPr>
                <w:rFonts w:hint="eastAsia"/>
                <w:lang w:val="en-US" w:eastAsia="zh-CN"/>
              </w:rPr>
              <w:t>食品安全管理体系职能分配表</w:t>
            </w:r>
            <w:r>
              <w:rPr>
                <w:rFonts w:hint="eastAsia"/>
              </w:rPr>
              <w:t>”</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生产部、综合部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运营部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综合部</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1831" w:type="dxa"/>
                </w:tcPr>
                <w:p/>
              </w:tc>
              <w:tc>
                <w:tcPr>
                  <w:tcW w:w="2691" w:type="dxa"/>
                </w:tcPr>
                <w:p/>
              </w:tc>
              <w:tc>
                <w:tcPr>
                  <w:tcW w:w="2261" w:type="dxa"/>
                </w:tcP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3" w:type="dxa"/>
            <w:gridSpan w:val="2"/>
            <w:shd w:val="clear" w:color="auto" w:fill="EBF1DE" w:themeFill="accent3" w:themeFillTint="32"/>
          </w:tcPr>
          <w:p/>
        </w:tc>
        <w:tc>
          <w:tcPr>
            <w:tcW w:w="960" w:type="dxa"/>
            <w:gridSpan w:val="3"/>
            <w:shd w:val="clear" w:color="auto" w:fill="EBF1DE" w:themeFill="accent3" w:themeFillTint="32"/>
          </w:tcPr>
          <w:p/>
        </w:tc>
        <w:tc>
          <w:tcPr>
            <w:tcW w:w="745" w:type="dxa"/>
            <w:gridSpan w:val="2"/>
            <w:shd w:val="clear" w:color="auto" w:fill="EBF1DE" w:themeFill="accent3" w:themeFillTint="32"/>
          </w:tcPr>
          <w:p/>
        </w:tc>
        <w:tc>
          <w:tcPr>
            <w:tcW w:w="9261" w:type="dxa"/>
            <w:gridSpan w:val="3"/>
            <w:shd w:val="clear" w:color="auto" w:fill="EBF1DE" w:themeFill="accent3" w:themeFillTint="32"/>
          </w:tcPr>
          <w:p>
            <w:pPr>
              <w:rPr>
                <w:rFonts w:hint="eastAsia"/>
                <w:highlight w:val="none"/>
                <w:u w:val="single"/>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ascii="宋体" w:hAnsi="宋体"/>
                <w:b/>
                <w:bCs/>
                <w:szCs w:val="21"/>
                <w:highlight w:val="none"/>
                <w:u w:val="single"/>
                <w:lang w:val="en-US" w:eastAsia="zh-CN"/>
              </w:rPr>
              <w:t>王世伟 先生</w:t>
            </w:r>
            <w:r>
              <w:rPr>
                <w:rFonts w:hint="eastAsia"/>
                <w:highlight w:val="none"/>
                <w:u w:val="single"/>
                <w:lang w:val="en-US" w:eastAsia="zh-CN"/>
              </w:rPr>
              <w:t xml:space="preserve"> </w:t>
            </w:r>
          </w:p>
          <w:p>
            <w:pPr>
              <w:pStyle w:val="7"/>
              <w:rPr>
                <w:rFonts w:hint="eastAsia"/>
                <w:lang w:val="en-US" w:eastAsia="zh-CN"/>
              </w:rPr>
            </w:pP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食品安全组长</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食品安全小组成员 </w:t>
            </w:r>
            <w:r>
              <w:t>报告与FSMS有关的问题</w:t>
            </w:r>
            <w:r>
              <w:rPr>
                <w:rFonts w:hint="eastAsia"/>
              </w:rPr>
              <w:t>。</w:t>
            </w:r>
          </w:p>
        </w:tc>
        <w:tc>
          <w:tcPr>
            <w:tcW w:w="1585" w:type="dxa"/>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pPr>
              <w:rPr>
                <w:color w:val="000000"/>
                <w:szCs w:val="21"/>
                <w:highlight w:val="none"/>
              </w:rPr>
            </w:pPr>
            <w:r>
              <w:rPr>
                <w:rFonts w:hint="eastAsia"/>
                <w:color w:val="000000"/>
                <w:szCs w:val="21"/>
                <w:highlight w:val="none"/>
              </w:rPr>
              <w:t>应对风险和机遇的措施</w:t>
            </w:r>
          </w:p>
          <w:p>
            <w:pPr>
              <w:rPr>
                <w:highlight w:val="none"/>
              </w:rPr>
            </w:pPr>
          </w:p>
        </w:tc>
        <w:tc>
          <w:tcPr>
            <w:tcW w:w="960" w:type="dxa"/>
            <w:gridSpan w:val="3"/>
            <w:vMerge w:val="restart"/>
            <w:shd w:val="clear" w:color="auto" w:fill="EBF1DE" w:themeFill="accent3" w:themeFillTint="32"/>
          </w:tcPr>
          <w:p>
            <w:pPr>
              <w:rPr>
                <w:highlight w:val="none"/>
              </w:rPr>
            </w:pPr>
            <w:r>
              <w:rPr>
                <w:rFonts w:hint="eastAsia"/>
                <w:color w:val="000000"/>
                <w:szCs w:val="21"/>
                <w:highlight w:val="none"/>
              </w:rPr>
              <w:t>F6.1.1</w:t>
            </w:r>
          </w:p>
        </w:tc>
        <w:tc>
          <w:tcPr>
            <w:tcW w:w="745" w:type="dxa"/>
            <w:gridSpan w:val="2"/>
            <w:shd w:val="clear" w:color="auto" w:fill="EBF1DE" w:themeFill="accent3" w:themeFillTint="32"/>
          </w:tcPr>
          <w:p>
            <w:pPr>
              <w:rPr>
                <w:highlight w:val="none"/>
              </w:rPr>
            </w:pPr>
            <w:r>
              <w:rPr>
                <w:rFonts w:hint="eastAsia"/>
                <w:highlight w:val="none"/>
              </w:rPr>
              <w:t>文件名称</w:t>
            </w:r>
          </w:p>
        </w:tc>
        <w:tc>
          <w:tcPr>
            <w:tcW w:w="9261" w:type="dxa"/>
            <w:gridSpan w:val="3"/>
            <w:shd w:val="clear" w:color="auto" w:fill="EBF1DE" w:themeFill="accent3" w:themeFillTint="32"/>
          </w:tcPr>
          <w:p>
            <w:pPr>
              <w:keepNext w:val="0"/>
              <w:keepLines w:val="0"/>
              <w:widowControl/>
              <w:suppressLineNumbers w:val="0"/>
              <w:jc w:val="left"/>
              <w:rPr>
                <w:highlight w:val="none"/>
              </w:rPr>
            </w:pPr>
            <w:r>
              <w:rPr>
                <w:rFonts w:hint="eastAsia"/>
                <w:highlight w:val="none"/>
              </w:rPr>
              <w:t>如：</w:t>
            </w:r>
            <w:r>
              <w:rPr>
                <w:rFonts w:hint="eastAsia"/>
                <w:highlight w:val="none"/>
              </w:rPr>
              <w:sym w:font="Wingdings" w:char="00FE"/>
            </w:r>
            <w:r>
              <w:rPr>
                <w:rFonts w:hint="eastAsia"/>
                <w:highlight w:val="none"/>
              </w:rPr>
              <w:t>管理手册第6.1条款、</w:t>
            </w:r>
            <w:r>
              <w:rPr>
                <w:rFonts w:hint="eastAsia" w:ascii="Times New Roman" w:hAnsi="Times New Roman" w:eastAsia="宋体" w:cs="Times New Roman"/>
                <w:highlight w:val="none"/>
              </w:rPr>
              <w:sym w:font="Wingdings" w:char="00A8"/>
            </w:r>
            <w:r>
              <w:rPr>
                <w:rFonts w:hint="eastAsia" w:ascii="Times New Roman" w:hAnsi="Times New Roman" w:eastAsia="宋体" w:cs="Times New Roman"/>
                <w:highlight w:val="none"/>
                <w:lang w:val="en-US" w:eastAsia="zh-CN"/>
              </w:rPr>
              <w:t>《风险和机遇控制程序》</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3" w:type="dxa"/>
            <w:gridSpan w:val="2"/>
            <w:vMerge w:val="continue"/>
            <w:shd w:val="clear" w:color="auto" w:fill="EBF1DE" w:themeFill="accent3" w:themeFillTint="32"/>
          </w:tcPr>
          <w:p>
            <w:pPr>
              <w:rPr>
                <w:highlight w:val="none"/>
              </w:rPr>
            </w:pPr>
          </w:p>
        </w:tc>
        <w:tc>
          <w:tcPr>
            <w:tcW w:w="960" w:type="dxa"/>
            <w:gridSpan w:val="3"/>
            <w:vMerge w:val="continue"/>
            <w:shd w:val="clear" w:color="auto" w:fill="EBF1DE" w:themeFill="accent3" w:themeFillTint="32"/>
          </w:tcPr>
          <w:p>
            <w:pPr>
              <w:rPr>
                <w:highlight w:val="none"/>
              </w:rPr>
            </w:pPr>
          </w:p>
        </w:tc>
        <w:tc>
          <w:tcPr>
            <w:tcW w:w="745" w:type="dxa"/>
            <w:gridSpan w:val="2"/>
            <w:shd w:val="clear" w:color="auto" w:fill="EBF1DE" w:themeFill="accent3" w:themeFillTint="32"/>
          </w:tcPr>
          <w:p>
            <w:pPr>
              <w:rPr>
                <w:highlight w:val="none"/>
              </w:rPr>
            </w:pPr>
            <w:r>
              <w:rPr>
                <w:rFonts w:hint="eastAsia"/>
                <w:highlight w:val="none"/>
              </w:rPr>
              <w:t>运行证据</w:t>
            </w:r>
          </w:p>
        </w:tc>
        <w:tc>
          <w:tcPr>
            <w:tcW w:w="9261" w:type="dxa"/>
            <w:gridSpan w:val="3"/>
            <w:shd w:val="clear" w:color="auto" w:fill="EBF1DE" w:themeFill="accent3" w:themeFillTint="32"/>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头脑风暴法</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FMEA（潜在失效模式分析）</w:t>
            </w:r>
            <w:r>
              <w:rPr>
                <w:rFonts w:hint="eastAsia"/>
                <w:highlight w:val="none"/>
                <w:lang w:val="en-US" w:eastAsia="zh-CN"/>
              </w:rPr>
              <w:t xml:space="preserve">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列举2~3项应对主要风险的描述：         </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highlight w:val="none"/>
                    </w:rPr>
                  </w:pPr>
                  <w:r>
                    <w:rPr>
                      <w:rFonts w:hint="eastAsia"/>
                      <w:highlight w:val="none"/>
                    </w:rPr>
                    <w:t>主要的风险描述</w:t>
                  </w:r>
                </w:p>
              </w:tc>
              <w:tc>
                <w:tcPr>
                  <w:tcW w:w="425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360" w:lineRule="exact"/>
                    <w:jc w:val="left"/>
                    <w:textAlignment w:val="center"/>
                    <w:rPr>
                      <w:rFonts w:hint="default" w:ascii="宋体" w:hAnsi="宋体" w:cs="宋体"/>
                      <w:color w:val="000000"/>
                      <w:kern w:val="0"/>
                      <w:szCs w:val="21"/>
                      <w:highlight w:val="none"/>
                      <w:lang w:val="en-US" w:bidi="ar"/>
                    </w:rPr>
                  </w:pPr>
                  <w:r>
                    <w:rPr>
                      <w:rFonts w:hint="eastAsia"/>
                      <w:highlight w:val="none"/>
                      <w:lang w:val="en-US" w:eastAsia="zh-CN"/>
                    </w:rPr>
                    <w:t>食材安全控制不当，导致学生就餐食物中毒</w:t>
                  </w:r>
                </w:p>
              </w:tc>
              <w:tc>
                <w:tcPr>
                  <w:tcW w:w="4258" w:type="dxa"/>
                </w:tcPr>
                <w:p>
                  <w:pPr>
                    <w:numPr>
                      <w:ilvl w:val="0"/>
                      <w:numId w:val="2"/>
                    </w:numPr>
                    <w:rPr>
                      <w:rFonts w:hint="default"/>
                      <w:highlight w:val="none"/>
                      <w:lang w:val="en-US" w:eastAsia="zh-CN"/>
                    </w:rPr>
                  </w:pPr>
                  <w:r>
                    <w:rPr>
                      <w:rFonts w:hint="eastAsia"/>
                      <w:highlight w:val="none"/>
                      <w:lang w:val="en-US" w:eastAsia="zh-CN"/>
                    </w:rPr>
                    <w:t>严格供方管理；</w:t>
                  </w:r>
                </w:p>
                <w:p>
                  <w:pPr>
                    <w:numPr>
                      <w:ilvl w:val="0"/>
                      <w:numId w:val="2"/>
                    </w:numPr>
                    <w:rPr>
                      <w:rFonts w:hint="default"/>
                      <w:highlight w:val="none"/>
                      <w:lang w:val="en-US" w:eastAsia="zh-CN"/>
                    </w:rPr>
                  </w:pPr>
                  <w:r>
                    <w:rPr>
                      <w:rFonts w:hint="eastAsia"/>
                      <w:highlight w:val="none"/>
                      <w:lang w:val="en-US" w:eastAsia="zh-CN"/>
                    </w:rPr>
                    <w:t>每批进行验证、感官检测合格入库后使用；</w:t>
                  </w:r>
                </w:p>
                <w:p>
                  <w:pPr>
                    <w:numPr>
                      <w:ilvl w:val="0"/>
                      <w:numId w:val="2"/>
                    </w:numPr>
                    <w:rPr>
                      <w:rFonts w:hint="default"/>
                      <w:highlight w:val="none"/>
                      <w:lang w:val="en-US" w:eastAsia="zh-CN"/>
                    </w:rPr>
                  </w:pPr>
                  <w:r>
                    <w:rPr>
                      <w:rFonts w:hint="eastAsia"/>
                      <w:highlight w:val="none"/>
                      <w:lang w:val="en-US" w:eastAsia="zh-CN"/>
                    </w:rPr>
                    <w:t>加强对用餐师生的满意度调查，解释解决客户反馈问题；</w:t>
                  </w:r>
                </w:p>
                <w:p>
                  <w:pPr>
                    <w:pStyle w:val="2"/>
                    <w:numPr>
                      <w:ilvl w:val="0"/>
                      <w:numId w:val="2"/>
                    </w:numPr>
                    <w:ind w:left="0" w:leftChars="0" w:firstLine="0" w:firstLineChars="0"/>
                    <w:rPr>
                      <w:rFonts w:hint="default"/>
                      <w:highlight w:val="none"/>
                      <w:lang w:val="en-US" w:eastAsia="zh-CN"/>
                    </w:rPr>
                  </w:pPr>
                  <w:r>
                    <w:rPr>
                      <w:rFonts w:hint="eastAsia"/>
                      <w:highlight w:val="none"/>
                      <w:lang w:val="en-US" w:eastAsia="zh-CN"/>
                    </w:rPr>
                    <w:t>食品中毒应急演练等</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员工意识不够导致餐食食品安全性降低，甚至导致顾客不满意</w:t>
                  </w:r>
                </w:p>
              </w:tc>
              <w:tc>
                <w:tcPr>
                  <w:tcW w:w="4258" w:type="dxa"/>
                </w:tcPr>
                <w:p>
                  <w:pPr>
                    <w:numPr>
                      <w:ilvl w:val="0"/>
                      <w:numId w:val="3"/>
                    </w:numPr>
                    <w:rPr>
                      <w:rFonts w:hint="default"/>
                      <w:highlight w:val="none"/>
                      <w:lang w:val="en-US" w:eastAsia="zh-CN"/>
                    </w:rPr>
                  </w:pPr>
                  <w:r>
                    <w:rPr>
                      <w:rFonts w:hint="eastAsia"/>
                      <w:highlight w:val="none"/>
                      <w:lang w:val="en-US" w:eastAsia="zh-CN"/>
                    </w:rPr>
                    <w:t>通过不断实施体系，持续提高食品安全管理能力；</w:t>
                  </w:r>
                </w:p>
                <w:p>
                  <w:pPr>
                    <w:pStyle w:val="2"/>
                    <w:numPr>
                      <w:ilvl w:val="0"/>
                      <w:numId w:val="3"/>
                    </w:numPr>
                    <w:ind w:left="0" w:leftChars="0" w:firstLine="0" w:firstLineChars="0"/>
                    <w:rPr>
                      <w:rFonts w:hint="default"/>
                      <w:highlight w:val="none"/>
                      <w:lang w:val="en-US" w:eastAsia="zh-CN"/>
                    </w:rPr>
                  </w:pPr>
                  <w:r>
                    <w:rPr>
                      <w:rFonts w:hint="eastAsia"/>
                      <w:highlight w:val="none"/>
                      <w:lang w:val="en-US" w:eastAsia="zh-CN"/>
                    </w:rPr>
                    <w:t>定期组织员工进行培训，提高员工食品安全意识；</w:t>
                  </w:r>
                </w:p>
                <w:p>
                  <w:pPr>
                    <w:pStyle w:val="2"/>
                    <w:numPr>
                      <w:ilvl w:val="0"/>
                      <w:numId w:val="3"/>
                    </w:numPr>
                    <w:ind w:left="0" w:leftChars="0" w:firstLine="0" w:firstLineChars="0"/>
                    <w:rPr>
                      <w:rFonts w:hint="default"/>
                      <w:highlight w:val="none"/>
                      <w:lang w:val="en-US" w:eastAsia="zh-CN"/>
                    </w:rPr>
                  </w:pPr>
                  <w:r>
                    <w:rPr>
                      <w:rFonts w:hint="eastAsia"/>
                      <w:highlight w:val="none"/>
                      <w:lang w:val="en-US" w:eastAsia="zh-CN"/>
                    </w:rPr>
                    <w:t>加强运行考核，提高员工的积极性</w:t>
                  </w:r>
                </w:p>
              </w:tc>
              <w:tc>
                <w:tcPr>
                  <w:tcW w:w="1717" w:type="dxa"/>
                </w:tcPr>
                <w:p>
                  <w:pPr>
                    <w:rPr>
                      <w:rFonts w:hint="eastAsia" w:eastAsia="宋体"/>
                      <w:highlight w:val="none"/>
                      <w:lang w:eastAsia="zh-C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highlight w:val="none"/>
                    </w:rPr>
                  </w:pPr>
                </w:p>
              </w:tc>
              <w:tc>
                <w:tcPr>
                  <w:tcW w:w="4258" w:type="dxa"/>
                </w:tcPr>
                <w:p>
                  <w:pPr>
                    <w:snapToGrid w:val="0"/>
                    <w:spacing w:line="360" w:lineRule="exact"/>
                    <w:jc w:val="left"/>
                    <w:rPr>
                      <w:rFonts w:ascii="宋体" w:hAnsi="宋体" w:cs="宋体"/>
                      <w:szCs w:val="21"/>
                      <w:highlight w:val="none"/>
                    </w:rPr>
                  </w:pPr>
                </w:p>
              </w:tc>
              <w:tc>
                <w:tcPr>
                  <w:tcW w:w="1717" w:type="dxa"/>
                </w:tcPr>
                <w:p>
                  <w:pPr>
                    <w:rPr>
                      <w:highlight w:val="none"/>
                    </w:rPr>
                  </w:pPr>
                </w:p>
              </w:tc>
            </w:tr>
          </w:tbl>
          <w:p>
            <w:pPr>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463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2441" w:type="dxa"/>
                </w:tcPr>
                <w:p>
                  <w:pPr>
                    <w:rPr>
                      <w:highlight w:val="none"/>
                    </w:rPr>
                  </w:pPr>
                  <w:r>
                    <w:rPr>
                      <w:rFonts w:hint="eastAsia"/>
                      <w:highlight w:val="none"/>
                    </w:rPr>
                    <w:t>主要的机遇描述</w:t>
                  </w:r>
                </w:p>
              </w:tc>
              <w:tc>
                <w:tcPr>
                  <w:tcW w:w="4633" w:type="dxa"/>
                </w:tcPr>
                <w:p>
                  <w:pPr>
                    <w:rPr>
                      <w:szCs w:val="24"/>
                      <w:highlight w:val="none"/>
                    </w:rPr>
                  </w:pPr>
                  <w:r>
                    <w:rPr>
                      <w:rFonts w:hint="eastAsia"/>
                      <w:highlight w:val="none"/>
                    </w:rPr>
                    <w:t>应对措施</w:t>
                  </w:r>
                </w:p>
              </w:tc>
              <w:tc>
                <w:tcPr>
                  <w:tcW w:w="1625"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441" w:type="dxa"/>
                </w:tcPr>
                <w:p>
                  <w:pPr>
                    <w:rPr>
                      <w:rFonts w:hint="default" w:eastAsia="宋体"/>
                      <w:szCs w:val="24"/>
                      <w:highlight w:val="none"/>
                      <w:lang w:val="en-US" w:eastAsia="zh-CN"/>
                    </w:rPr>
                  </w:pPr>
                  <w:r>
                    <w:rPr>
                      <w:rFonts w:hint="eastAsia"/>
                      <w:szCs w:val="24"/>
                      <w:highlight w:val="none"/>
                      <w:lang w:val="en-US" w:eastAsia="zh-CN"/>
                    </w:rPr>
                    <w:t>通过食品安全体系的实施，不断提高内部管理，提供安全的餐食赢得顾客满意、获得更高的认可</w:t>
                  </w:r>
                </w:p>
              </w:tc>
              <w:tc>
                <w:tcPr>
                  <w:tcW w:w="4633" w:type="dxa"/>
                </w:tcPr>
                <w:p>
                  <w:pPr>
                    <w:numPr>
                      <w:ilvl w:val="0"/>
                      <w:numId w:val="4"/>
                    </w:numPr>
                    <w:rPr>
                      <w:rFonts w:hint="default"/>
                      <w:lang w:val="en-US" w:eastAsia="zh-CN"/>
                    </w:rPr>
                  </w:pPr>
                  <w:r>
                    <w:rPr>
                      <w:rFonts w:hint="eastAsia"/>
                      <w:lang w:val="en-US" w:eastAsia="zh-CN"/>
                    </w:rPr>
                    <w:t>领导重视体系，不断宣传体系的重要性以及员工在体系中做出来的贡献；</w:t>
                  </w:r>
                </w:p>
                <w:p>
                  <w:pPr>
                    <w:pStyle w:val="2"/>
                    <w:numPr>
                      <w:ilvl w:val="0"/>
                      <w:numId w:val="4"/>
                    </w:numPr>
                    <w:ind w:left="0" w:leftChars="0" w:firstLine="0" w:firstLineChars="0"/>
                    <w:rPr>
                      <w:rFonts w:hint="default"/>
                      <w:lang w:val="en-US" w:eastAsia="zh-CN"/>
                    </w:rPr>
                  </w:pPr>
                  <w:r>
                    <w:rPr>
                      <w:rFonts w:hint="eastAsia"/>
                      <w:lang w:val="en-US" w:eastAsia="zh-CN"/>
                    </w:rPr>
                    <w:t>及时关注客户需求，解决顾客抱怨等问题；</w:t>
                  </w:r>
                </w:p>
                <w:p>
                  <w:pPr>
                    <w:pStyle w:val="2"/>
                    <w:numPr>
                      <w:ilvl w:val="0"/>
                      <w:numId w:val="4"/>
                    </w:numPr>
                    <w:ind w:left="0" w:leftChars="0" w:firstLine="0" w:firstLineChars="0"/>
                    <w:rPr>
                      <w:rFonts w:hint="default"/>
                      <w:lang w:val="en-US" w:eastAsia="zh-CN"/>
                    </w:rPr>
                  </w:pPr>
                  <w:r>
                    <w:rPr>
                      <w:rFonts w:hint="eastAsia"/>
                      <w:lang w:val="en-US" w:eastAsia="zh-CN"/>
                    </w:rPr>
                    <w:t>关注招标等信息，抓住机会开辟新市场/新客户</w:t>
                  </w:r>
                </w:p>
              </w:tc>
              <w:tc>
                <w:tcPr>
                  <w:tcW w:w="1625"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2441" w:type="dxa"/>
                </w:tcPr>
                <w:p>
                  <w:pPr>
                    <w:rPr>
                      <w:szCs w:val="24"/>
                      <w:highlight w:val="none"/>
                    </w:rPr>
                  </w:pPr>
                </w:p>
              </w:tc>
              <w:tc>
                <w:tcPr>
                  <w:tcW w:w="4633" w:type="dxa"/>
                </w:tcPr>
                <w:p>
                  <w:pPr>
                    <w:rPr>
                      <w:highlight w:val="none"/>
                    </w:rPr>
                  </w:pPr>
                </w:p>
              </w:tc>
              <w:tc>
                <w:tcPr>
                  <w:tcW w:w="1625" w:type="dxa"/>
                </w:tcPr>
                <w:p>
                  <w:pPr>
                    <w:rPr>
                      <w:highlight w:val="none"/>
                    </w:rPr>
                  </w:pPr>
                </w:p>
              </w:tc>
            </w:tr>
          </w:tbl>
          <w:p>
            <w:pPr>
              <w:rPr>
                <w:highlight w:val="none"/>
              </w:rPr>
            </w:pPr>
          </w:p>
          <w:p>
            <w:pPr>
              <w:rPr>
                <w:highlight w:val="none"/>
              </w:rPr>
            </w:pPr>
            <w:r>
              <w:rPr>
                <w:rFonts w:hint="eastAsia"/>
                <w:highlight w:val="none"/>
              </w:rPr>
              <w:t>FSMS：</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其他</w:t>
            </w:r>
            <w:r>
              <w:rPr>
                <w:rFonts w:hint="eastAsia"/>
                <w:highlight w:val="none"/>
                <w:u w:val="single"/>
                <w:lang w:eastAsia="zh-CN"/>
              </w:rPr>
              <w:t>——</w:t>
            </w:r>
            <w:r>
              <w:rPr>
                <w:rFonts w:hint="eastAsia"/>
                <w:highlight w:val="none"/>
                <w:u w:val="single"/>
                <w:lang w:val="en-US" w:eastAsia="zh-CN"/>
              </w:rPr>
              <w:t xml:space="preserve">供应链发生变化   </w:t>
            </w:r>
            <w:r>
              <w:rPr>
                <w:rFonts w:hint="eastAsia"/>
                <w:highlight w:val="none"/>
                <w:u w:val="single"/>
              </w:rPr>
              <w:t xml:space="preserve">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3" w:type="dxa"/>
            <w:gridSpan w:val="2"/>
            <w:vMerge w:val="restart"/>
            <w:shd w:val="clear" w:color="auto" w:fill="EBF1DE" w:themeFill="accent3" w:themeFillTint="32"/>
          </w:tcPr>
          <w:p/>
        </w:tc>
        <w:tc>
          <w:tcPr>
            <w:tcW w:w="960" w:type="dxa"/>
            <w:gridSpan w:val="3"/>
            <w:shd w:val="clear" w:color="auto" w:fill="EBF1DE" w:themeFill="accent3" w:themeFillTint="32"/>
          </w:tcPr>
          <w:p>
            <w:r>
              <w:rPr>
                <w:rFonts w:hint="eastAsia"/>
                <w:color w:val="000000"/>
                <w:szCs w:val="21"/>
              </w:rPr>
              <w:t>F6.1.2</w:t>
            </w: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w:t>
            </w:r>
            <w:r>
              <w:rPr>
                <w:rFonts w:hint="eastAsia" w:ascii="CIDFont+F5" w:hAnsi="CIDFont+F5" w:eastAsia="CIDFont+F5"/>
                <w:lang w:val="en-US" w:eastAsia="zh-CN"/>
              </w:rPr>
              <w:t>组织环境和相关方分析及应对措施清单</w:t>
            </w:r>
            <w:r>
              <w:rPr>
                <w:rFonts w:hint="eastAsia" w:ascii="CIDFont+F5" w:hAnsi="CIDFont+F5" w:eastAsia="CIDFont+F5"/>
              </w:rPr>
              <w:t>》</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3" w:type="dxa"/>
            <w:gridSpan w:val="2"/>
            <w:vMerge w:val="continue"/>
            <w:shd w:val="clear" w:color="auto" w:fill="EBF1DE" w:themeFill="accent3" w:themeFillTint="32"/>
          </w:tcPr>
          <w:p>
            <w:pPr>
              <w:rPr>
                <w:highlight w:val="yellow"/>
              </w:rPr>
            </w:pPr>
          </w:p>
        </w:tc>
        <w:tc>
          <w:tcPr>
            <w:tcW w:w="960" w:type="dxa"/>
            <w:gridSpan w:val="3"/>
            <w:shd w:val="clear" w:color="auto" w:fill="EBF1DE" w:themeFill="accent3" w:themeFillTint="32"/>
          </w:tcPr>
          <w:p>
            <w:r>
              <w:rPr>
                <w:rFonts w:hint="eastAsia"/>
                <w:color w:val="000000"/>
                <w:szCs w:val="21"/>
              </w:rPr>
              <w:t>F6.1.3</w:t>
            </w: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pPr>
              <w:rPr>
                <w:color w:val="000000"/>
                <w:szCs w:val="21"/>
              </w:rPr>
            </w:pPr>
            <w:r>
              <w:rPr>
                <w:rFonts w:hint="eastAsia"/>
                <w:color w:val="000000"/>
                <w:szCs w:val="21"/>
              </w:rPr>
              <w:t>食品安全目标及其实现的策划</w:t>
            </w:r>
          </w:p>
          <w:p/>
        </w:tc>
        <w:tc>
          <w:tcPr>
            <w:tcW w:w="960" w:type="dxa"/>
            <w:gridSpan w:val="3"/>
            <w:vMerge w:val="restart"/>
            <w:shd w:val="clear" w:color="auto" w:fill="EBF1DE" w:themeFill="accent3" w:themeFillTint="32"/>
          </w:tcPr>
          <w:p>
            <w:pPr>
              <w:rPr>
                <w:color w:val="000000"/>
                <w:szCs w:val="21"/>
              </w:rPr>
            </w:pPr>
            <w:r>
              <w:rPr>
                <w:rFonts w:hint="eastAsia"/>
                <w:color w:val="000000"/>
                <w:szCs w:val="21"/>
              </w:rPr>
              <w:t>F6.2</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sym w:font="Wingdings" w:char="00FE"/>
            </w:r>
            <w:r>
              <w:rPr>
                <w:rFonts w:hint="eastAsia"/>
              </w:rPr>
              <w:t>手册第6.2条款、《目标管理程序》</w:t>
            </w:r>
            <w:r>
              <w:rPr>
                <w:rFonts w:hint="eastAsia"/>
                <w:lang w:eastAsia="zh-CN"/>
              </w:rPr>
              <w:t>、</w:t>
            </w:r>
            <w:r>
              <w:rPr/>
              <w:sym w:font="Wingdings" w:char="00FE"/>
            </w:r>
            <w:r>
              <w:rPr>
                <w:rFonts w:hint="eastAsia"/>
              </w:rPr>
              <w:t>《</w:t>
            </w:r>
            <w:r>
              <w:rPr>
                <w:rFonts w:hint="eastAsia"/>
                <w:color w:val="000000"/>
                <w:szCs w:val="21"/>
              </w:rPr>
              <w:t>食品安全目标</w:t>
            </w:r>
            <w:r>
              <w:rPr>
                <w:rFonts w:hint="eastAsia"/>
                <w:color w:val="000000"/>
                <w:szCs w:val="21"/>
                <w:lang w:val="en-US" w:eastAsia="zh-CN"/>
              </w:rPr>
              <w:t>考核结果统计表</w:t>
            </w:r>
            <w:r>
              <w:rPr>
                <w:rFonts w:hint="eastAsia"/>
              </w:rPr>
              <w:t>》</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8"/>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793"/>
              <w:gridCol w:w="2609"/>
              <w:gridCol w:w="1027"/>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71" w:type="dxa"/>
                  <w:shd w:val="clear" w:color="auto" w:fill="auto"/>
                </w:tcPr>
                <w:p>
                  <w:pPr>
                    <w:rPr>
                      <w:szCs w:val="22"/>
                    </w:rPr>
                  </w:pPr>
                  <w:r>
                    <w:rPr>
                      <w:rFonts w:hint="eastAsia"/>
                      <w:szCs w:val="22"/>
                    </w:rPr>
                    <w:t>食品安全目标</w:t>
                  </w:r>
                </w:p>
              </w:tc>
              <w:tc>
                <w:tcPr>
                  <w:tcW w:w="793" w:type="dxa"/>
                  <w:shd w:val="clear" w:color="auto" w:fill="auto"/>
                </w:tcPr>
                <w:p>
                  <w:pPr>
                    <w:rPr>
                      <w:szCs w:val="22"/>
                    </w:rPr>
                  </w:pPr>
                  <w:r>
                    <w:rPr>
                      <w:rFonts w:hint="eastAsia"/>
                      <w:szCs w:val="22"/>
                    </w:rPr>
                    <w:t>考核频率</w:t>
                  </w:r>
                </w:p>
              </w:tc>
              <w:tc>
                <w:tcPr>
                  <w:tcW w:w="2609" w:type="dxa"/>
                  <w:shd w:val="clear" w:color="auto" w:fill="auto"/>
                </w:tcPr>
                <w:p>
                  <w:pPr>
                    <w:rPr>
                      <w:szCs w:val="22"/>
                    </w:rPr>
                  </w:pPr>
                  <w:r>
                    <w:rPr>
                      <w:rFonts w:hint="eastAsia"/>
                      <w:szCs w:val="22"/>
                    </w:rPr>
                    <w:t>计算方法</w:t>
                  </w:r>
                </w:p>
              </w:tc>
              <w:tc>
                <w:tcPr>
                  <w:tcW w:w="1027" w:type="dxa"/>
                  <w:shd w:val="clear" w:color="auto" w:fill="auto"/>
                </w:tcPr>
                <w:p>
                  <w:pPr>
                    <w:rPr>
                      <w:szCs w:val="22"/>
                    </w:rPr>
                  </w:pPr>
                  <w:r>
                    <w:rPr>
                      <w:rFonts w:hint="eastAsia"/>
                      <w:szCs w:val="22"/>
                    </w:rPr>
                    <w:t>责任部门</w:t>
                  </w:r>
                </w:p>
              </w:tc>
              <w:tc>
                <w:tcPr>
                  <w:tcW w:w="2282" w:type="dxa"/>
                  <w:shd w:val="clear" w:color="auto" w:fill="auto"/>
                </w:tcPr>
                <w:p>
                  <w:pPr>
                    <w:rPr>
                      <w:szCs w:val="22"/>
                    </w:rPr>
                  </w:pPr>
                  <w:r>
                    <w:rPr>
                      <w:rFonts w:hint="eastAsia"/>
                      <w:szCs w:val="22"/>
                      <w:highlight w:val="none"/>
                    </w:rPr>
                    <w:t>目标实际完成（</w:t>
                  </w:r>
                  <w:r>
                    <w:rPr>
                      <w:rFonts w:hint="eastAsia"/>
                      <w:szCs w:val="22"/>
                      <w:highlight w:val="none"/>
                      <w:lang w:val="en-US" w:eastAsia="zh-CN"/>
                    </w:rPr>
                    <w:t>2021年下班学期、2022年上半学期</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1" w:type="dxa"/>
                  <w:vAlign w:val="center"/>
                </w:tcPr>
                <w:p>
                  <w:pPr>
                    <w:keepNext w:val="0"/>
                    <w:keepLines w:val="0"/>
                    <w:widowControl/>
                    <w:suppressLineNumbers w:val="0"/>
                    <w:jc w:val="left"/>
                    <w:textAlignment w:val="center"/>
                    <w:rPr>
                      <w:rFonts w:hint="eastAsia" w:ascii="Times New Roman" w:hAnsi="Times New Roman"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食品安全事故为零</w:t>
                  </w:r>
                </w:p>
              </w:tc>
              <w:tc>
                <w:tcPr>
                  <w:tcW w:w="793"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年度</w:t>
                  </w:r>
                </w:p>
              </w:tc>
              <w:tc>
                <w:tcPr>
                  <w:tcW w:w="2609" w:type="dxa"/>
                  <w:vAlign w:val="center"/>
                </w:tcPr>
                <w:p>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以实际发生为准进行计数</w:t>
                  </w:r>
                </w:p>
              </w:tc>
              <w:tc>
                <w:tcPr>
                  <w:tcW w:w="1027" w:type="dxa"/>
                </w:tcPr>
                <w:p>
                  <w:pPr>
                    <w:spacing w:before="156" w:beforeLines="50"/>
                    <w:jc w:val="center"/>
                    <w:rPr>
                      <w:rFonts w:hint="default" w:eastAsia="宋体"/>
                      <w:b w:val="0"/>
                      <w:bCs/>
                      <w:sz w:val="21"/>
                      <w:szCs w:val="21"/>
                      <w:lang w:val="en-US" w:eastAsia="zh-CN"/>
                    </w:rPr>
                  </w:pPr>
                  <w:r>
                    <w:rPr>
                      <w:rFonts w:hint="eastAsia" w:ascii="宋体" w:hAnsi="宋体" w:cs="宋体"/>
                      <w:sz w:val="21"/>
                      <w:szCs w:val="21"/>
                      <w:vertAlign w:val="baseline"/>
                      <w:lang w:val="en-US" w:eastAsia="zh-CN"/>
                    </w:rPr>
                    <w:t>生产部</w:t>
                  </w:r>
                </w:p>
              </w:tc>
              <w:tc>
                <w:tcPr>
                  <w:tcW w:w="2282" w:type="dxa"/>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宋体" w:hAnsi="宋体"/>
                      <w:color w:val="000000"/>
                      <w:szCs w:val="21"/>
                      <w:lang w:val="en-US" w:eastAsia="zh-CN"/>
                    </w:rPr>
                    <w:t>2022年上半学期为0，下半学期在实施中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1" w:type="dxa"/>
                  <w:vAlign w:val="center"/>
                </w:tcPr>
                <w:p>
                  <w:pPr>
                    <w:jc w:val="left"/>
                    <w:rPr>
                      <w:rFonts w:hint="eastAsia" w:ascii="Times New Roman" w:hAnsi="Times New Roman"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顾客满意度不低于90%，投诉一年不超过5次</w:t>
                  </w:r>
                </w:p>
              </w:tc>
              <w:tc>
                <w:tcPr>
                  <w:tcW w:w="79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年度</w:t>
                  </w:r>
                </w:p>
              </w:tc>
              <w:tc>
                <w:tcPr>
                  <w:tcW w:w="260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满意度调查实际分数/发出分数满分数×100%</w:t>
                  </w:r>
                </w:p>
              </w:tc>
              <w:tc>
                <w:tcPr>
                  <w:tcW w:w="1027" w:type="dxa"/>
                </w:tcPr>
                <w:p>
                  <w:pPr>
                    <w:spacing w:before="156" w:beforeLines="50"/>
                    <w:jc w:val="center"/>
                    <w:rPr>
                      <w:rFonts w:hint="default" w:eastAsia="宋体"/>
                      <w:b w:val="0"/>
                      <w:bCs/>
                      <w:sz w:val="21"/>
                      <w:szCs w:val="21"/>
                      <w:lang w:val="en-US" w:eastAsia="zh-CN"/>
                    </w:rPr>
                  </w:pPr>
                  <w:r>
                    <w:rPr>
                      <w:rFonts w:hint="eastAsia" w:ascii="宋体" w:hAnsi="宋体" w:cs="宋体"/>
                      <w:sz w:val="21"/>
                      <w:szCs w:val="21"/>
                      <w:vertAlign w:val="baseline"/>
                      <w:lang w:val="en-US" w:eastAsia="zh-CN"/>
                    </w:rPr>
                    <w:t>运营部</w:t>
                  </w:r>
                </w:p>
              </w:tc>
              <w:tc>
                <w:tcPr>
                  <w:tcW w:w="2282" w:type="dxa"/>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宋体" w:hAnsi="宋体"/>
                      <w:color w:val="000000"/>
                      <w:szCs w:val="21"/>
                      <w:lang w:val="en-US" w:eastAsia="zh-CN"/>
                    </w:rPr>
                    <w:t>2022年上半学期目标完成，下半学期在实施中</w:t>
                  </w:r>
                </w:p>
              </w:tc>
            </w:tr>
          </w:tbl>
          <w:p>
            <w:pPr>
              <w:rPr>
                <w:rFonts w:ascii="宋体" w:hAnsi="宋体"/>
              </w:rPr>
            </w:pP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目标在实施中；</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pPr>
              <w:rPr>
                <w:color w:val="000000"/>
                <w:szCs w:val="21"/>
              </w:rPr>
            </w:pPr>
            <w:r>
              <w:rPr>
                <w:rFonts w:hint="eastAsia"/>
                <w:color w:val="000000"/>
                <w:szCs w:val="21"/>
              </w:rPr>
              <w:t>变更的策划</w:t>
            </w:r>
          </w:p>
          <w:p/>
        </w:tc>
        <w:tc>
          <w:tcPr>
            <w:tcW w:w="960" w:type="dxa"/>
            <w:gridSpan w:val="3"/>
            <w:vMerge w:val="restart"/>
            <w:shd w:val="clear" w:color="auto" w:fill="EBF1DE" w:themeFill="accent3" w:themeFillTint="32"/>
          </w:tcPr>
          <w:p>
            <w:r>
              <w:rPr>
                <w:rFonts w:hint="eastAsia"/>
                <w:color w:val="000000"/>
                <w:szCs w:val="21"/>
              </w:rPr>
              <w:t>F6.3</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r>
              <w:rPr>
                <w:rFonts w:hint="eastAsia"/>
                <w:lang w:eastAsia="zh-CN"/>
              </w:rPr>
              <w:t>、</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val="en-US" w:eastAsia="zh-CN"/>
              </w:rPr>
              <w:t>发生变更</w:t>
            </w:r>
            <w:r>
              <w:rPr>
                <w:rFonts w:hint="eastAsia"/>
                <w:u w:val="single"/>
                <w:lang w:val="en-US" w:eastAsia="zh-CN"/>
              </w:rPr>
              <w:t>【人员能力评价见F7.2条款】</w:t>
            </w:r>
            <w:r>
              <w:rPr>
                <w:rFonts w:hint="eastAsia"/>
              </w:rPr>
              <w:t xml:space="preserve"> □生产工艺/服务流程 </w:t>
            </w:r>
          </w:p>
          <w:p>
            <w:pPr>
              <w:spacing w:before="40" w:after="40"/>
              <w:rPr>
                <w:rFonts w:hint="eastAsia" w:eastAsia="宋体"/>
                <w:lang w:val="en-US" w:eastAsia="zh-CN"/>
              </w:rPr>
            </w:pPr>
            <w:r>
              <w:rPr>
                <w:rFonts w:hint="eastAsia"/>
              </w:rPr>
              <w:t xml:space="preserve">□主要设备设施 □主要检测设备 </w:t>
            </w:r>
            <w:r>
              <w:rPr/>
              <w:sym w:font="Wingdings" w:char="00FE"/>
            </w:r>
            <w:r>
              <w:rPr>
                <w:rFonts w:hint="eastAsia"/>
              </w:rPr>
              <w:t>其他——体系未发生</w:t>
            </w:r>
            <w:r>
              <w:rPr>
                <w:rFonts w:hint="eastAsia"/>
                <w:lang w:val="en-US" w:eastAsia="zh-CN"/>
              </w:rPr>
              <w:t>变更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vAlign w:val="top"/>
                </w:tcPr>
                <w:p>
                  <w:pPr>
                    <w:rPr>
                      <w:rFonts w:ascii="Times New Roman" w:hAnsi="Times New Roman" w:eastAsia="宋体" w:cs="Times New Roman"/>
                      <w:kern w:val="2"/>
                      <w:sz w:val="21"/>
                      <w:lang w:val="en-US" w:eastAsia="zh-CN" w:bidi="ar-SA"/>
                    </w:rPr>
                  </w:pPr>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EBF1DE" w:themeFill="accent3" w:themeFillTint="32"/>
          </w:tcPr>
          <w:p>
            <w:r>
              <w:rPr>
                <w:rFonts w:hint="eastAsia"/>
              </w:rPr>
              <w:t>资源（总则）</w:t>
            </w:r>
          </w:p>
        </w:tc>
        <w:tc>
          <w:tcPr>
            <w:tcW w:w="960" w:type="dxa"/>
            <w:gridSpan w:val="3"/>
            <w:vMerge w:val="restart"/>
            <w:shd w:val="clear" w:color="auto" w:fill="EBF1DE" w:themeFill="accent3" w:themeFillTint="32"/>
          </w:tcPr>
          <w:p>
            <w:r>
              <w:rPr>
                <w:rFonts w:hint="eastAsia"/>
                <w:color w:val="000000"/>
                <w:szCs w:val="21"/>
              </w:rPr>
              <w:t>F7.1</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sym w:font="Wingdings" w:char="00FE"/>
            </w:r>
            <w:r>
              <w:rPr>
                <w:rFonts w:hint="eastAsia"/>
              </w:rPr>
              <w:t>管理手册第7.1章</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widowControl/>
              <w:spacing w:before="40"/>
              <w:jc w:val="left"/>
              <w:rPr>
                <w:highlight w:val="none"/>
              </w:rPr>
            </w:pPr>
            <w:r>
              <w:rPr>
                <w:rFonts w:hint="eastAsia"/>
                <w:highlight w:val="none"/>
              </w:rPr>
              <w:t>建筑面积</w:t>
            </w:r>
            <w:r>
              <w:rPr>
                <w:rFonts w:hint="eastAsia"/>
                <w:highlight w:val="none"/>
                <w:u w:val="single"/>
              </w:rPr>
              <w:t xml:space="preserve"> 2</w:t>
            </w:r>
            <w:r>
              <w:rPr>
                <w:rFonts w:hint="eastAsia"/>
                <w:highlight w:val="none"/>
                <w:u w:val="single"/>
                <w:lang w:val="en-US" w:eastAsia="zh-CN"/>
              </w:rPr>
              <w:t>500</w:t>
            </w:r>
            <w:r>
              <w:rPr>
                <w:rFonts w:hint="eastAsia"/>
                <w:highlight w:val="none"/>
                <w:u w:val="single"/>
              </w:rPr>
              <w:t>平方米</w:t>
            </w:r>
            <w:r>
              <w:rPr>
                <w:rFonts w:hint="eastAsia"/>
                <w:highlight w:val="none"/>
              </w:rPr>
              <w:t>；加工车间</w:t>
            </w:r>
            <w:r>
              <w:rPr>
                <w:rFonts w:hint="eastAsia"/>
                <w:highlight w:val="none"/>
                <w:u w:val="single"/>
                <w:lang w:val="en-US" w:eastAsia="zh-CN"/>
              </w:rPr>
              <w:t>1</w:t>
            </w:r>
            <w:r>
              <w:rPr>
                <w:rFonts w:hint="eastAsia"/>
                <w:highlight w:val="none"/>
                <w:u w:val="single"/>
              </w:rPr>
              <w:t>间</w:t>
            </w:r>
            <w:r>
              <w:rPr>
                <w:rFonts w:hint="eastAsia"/>
                <w:highlight w:val="none"/>
                <w:lang w:eastAsia="zh-CN"/>
              </w:rPr>
              <w:t>；</w:t>
            </w:r>
            <w:r>
              <w:rPr>
                <w:rFonts w:hint="eastAsia"/>
                <w:highlight w:val="none"/>
              </w:rPr>
              <w:t>常温仓库</w:t>
            </w:r>
            <w:r>
              <w:rPr>
                <w:rFonts w:hint="eastAsia"/>
                <w:highlight w:val="none"/>
                <w:u w:val="single"/>
              </w:rPr>
              <w:t>2个（米面原料库/调味料库）</w:t>
            </w:r>
            <w:r>
              <w:rPr>
                <w:rFonts w:hint="eastAsia"/>
                <w:highlight w:val="none"/>
              </w:rPr>
              <w:t>；</w:t>
            </w:r>
            <w:r>
              <w:rPr>
                <w:rFonts w:hint="eastAsia"/>
                <w:highlight w:val="none"/>
                <w:u w:val="single"/>
              </w:rPr>
              <w:t>冷藏</w:t>
            </w:r>
            <w:r>
              <w:rPr>
                <w:rFonts w:hint="eastAsia"/>
                <w:highlight w:val="none"/>
                <w:u w:val="single"/>
                <w:lang w:val="en-US" w:eastAsia="zh-CN"/>
              </w:rPr>
              <w:t>/冷冻库3</w:t>
            </w:r>
            <w:r>
              <w:rPr>
                <w:rFonts w:hint="eastAsia"/>
                <w:highlight w:val="none"/>
                <w:u w:val="single"/>
              </w:rPr>
              <w:t>个</w:t>
            </w:r>
            <w:r>
              <w:rPr>
                <w:rFonts w:hint="eastAsia"/>
                <w:highlight w:val="none"/>
              </w:rPr>
              <w:t>，面食成品库</w:t>
            </w:r>
            <w:r>
              <w:rPr>
                <w:rFonts w:hint="eastAsia"/>
                <w:highlight w:val="none"/>
                <w:lang w:val="en-US" w:eastAsia="zh-CN"/>
              </w:rPr>
              <w:t>冷冻</w:t>
            </w:r>
            <w:r>
              <w:rPr>
                <w:rFonts w:hint="eastAsia"/>
                <w:highlight w:val="none"/>
                <w:u w:val="single"/>
              </w:rPr>
              <w:t>1间</w:t>
            </w:r>
            <w:r>
              <w:rPr>
                <w:rFonts w:hint="eastAsia"/>
                <w:highlight w:val="none"/>
              </w:rPr>
              <w:t>；配送车</w:t>
            </w:r>
            <w:r>
              <w:rPr>
                <w:rFonts w:hint="eastAsia"/>
                <w:highlight w:val="none"/>
                <w:u w:val="single"/>
              </w:rPr>
              <w:t>6辆</w:t>
            </w:r>
            <w:r>
              <w:rPr>
                <w:rFonts w:hint="eastAsia"/>
                <w:highlight w:val="none"/>
              </w:rPr>
              <w:t>；检测室</w:t>
            </w:r>
            <w:r>
              <w:rPr>
                <w:rFonts w:hint="eastAsia"/>
                <w:highlight w:val="none"/>
                <w:u w:val="single"/>
              </w:rPr>
              <w:t>1 个；</w:t>
            </w:r>
          </w:p>
          <w:p>
            <w:pPr>
              <w:pStyle w:val="7"/>
              <w:rPr>
                <w:highlight w:val="yellow"/>
              </w:rPr>
            </w:pPr>
          </w:p>
          <w:p>
            <w:pPr>
              <w:rPr>
                <w:rFonts w:hint="eastAsia"/>
                <w:highlight w:val="none"/>
                <w:u w:val="single"/>
              </w:rPr>
            </w:pPr>
            <w:r>
              <w:rPr>
                <w:rFonts w:hint="eastAsia"/>
                <w:highlight w:val="none"/>
              </w:rPr>
              <w:t>主要设备有：</w:t>
            </w:r>
            <w:r>
              <w:rPr>
                <w:rFonts w:hint="eastAsia"/>
                <w:highlight w:val="none"/>
                <w:u w:val="single"/>
              </w:rPr>
              <w:t xml:space="preserve"> 蒸箱、</w:t>
            </w:r>
            <w:r>
              <w:rPr>
                <w:rFonts w:hint="eastAsia"/>
                <w:highlight w:val="none"/>
                <w:u w:val="single"/>
                <w:lang w:val="en-US" w:eastAsia="zh-CN"/>
              </w:rPr>
              <w:t>消毒柜</w:t>
            </w:r>
            <w:r>
              <w:rPr>
                <w:rFonts w:hint="eastAsia"/>
                <w:highlight w:val="none"/>
                <w:u w:val="single"/>
              </w:rPr>
              <w:t>、荤素分离冷藏、多功能切菜线</w:t>
            </w:r>
            <w:r>
              <w:rPr>
                <w:rFonts w:hint="eastAsia"/>
                <w:highlight w:val="none"/>
                <w:u w:val="single"/>
                <w:lang w:eastAsia="zh-CN"/>
              </w:rPr>
              <w:t>、可顷式炒锅</w:t>
            </w:r>
            <w:r>
              <w:rPr>
                <w:rFonts w:hint="eastAsia"/>
                <w:highlight w:val="none"/>
                <w:u w:val="single"/>
                <w:lang w:val="en-US" w:eastAsia="zh-CN"/>
              </w:rPr>
              <w:t>等</w:t>
            </w:r>
            <w:r>
              <w:rPr>
                <w:rFonts w:hint="eastAsia"/>
                <w:highlight w:val="none"/>
                <w:u w:val="single"/>
              </w:rPr>
              <w:t>（列举2~4种）</w:t>
            </w:r>
          </w:p>
          <w:p>
            <w:pPr>
              <w:pStyle w:val="7"/>
            </w:pPr>
          </w:p>
          <w:p>
            <w:pPr>
              <w:pStyle w:val="7"/>
              <w:ind w:left="0" w:leftChars="0" w:firstLine="0" w:firstLineChars="0"/>
              <w:rPr>
                <w:rFonts w:hint="default" w:eastAsia="宋体"/>
                <w:highlight w:val="none"/>
                <w:u w:val="single"/>
                <w:lang w:val="en-US" w:eastAsia="zh-CN"/>
              </w:rPr>
            </w:pPr>
            <w:r>
              <w:rPr>
                <w:rFonts w:hint="eastAsia"/>
                <w:highlight w:val="none"/>
                <w:u w:val="single"/>
                <w:lang w:val="en-US" w:eastAsia="zh-CN"/>
              </w:rPr>
              <w:t>审核周期内，询问内部资源以及主要生产设备等情况未发生较大变化</w:t>
            </w:r>
          </w:p>
          <w:p>
            <w:pPr>
              <w:pStyle w:val="7"/>
            </w:pP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压力管道</w:t>
            </w:r>
            <w:r>
              <w:rPr>
                <w:rFonts w:hint="eastAsia"/>
                <w:lang w:eastAsia="zh-CN"/>
              </w:rPr>
              <w:t>（</w:t>
            </w:r>
            <w:r>
              <w:rPr>
                <w:rFonts w:hint="eastAsia"/>
                <w:lang w:val="en-US" w:eastAsia="zh-CN"/>
              </w:rPr>
              <w:t>蒸汽）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 xml:space="preserve">    </w:t>
            </w:r>
            <w:r>
              <w:rPr>
                <w:rFonts w:hint="eastAsia"/>
                <w:u w:val="single"/>
              </w:rPr>
              <w:t xml:space="preserve">         </w:t>
            </w:r>
          </w:p>
          <w:p>
            <w:pPr>
              <w:numPr>
                <w:ilvl w:val="0"/>
                <w:numId w:val="6"/>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5"/>
              </w:num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无</w:t>
            </w:r>
            <w:r>
              <w:rPr>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 </w:t>
            </w:r>
            <w:r>
              <w:rPr>
                <w:rFonts w:hint="eastAsia"/>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3" w:type="dxa"/>
            <w:gridSpan w:val="2"/>
            <w:vMerge w:val="restart"/>
            <w:shd w:val="clear" w:color="auto" w:fill="EBF1DE" w:themeFill="accent3" w:themeFillTint="32"/>
          </w:tcPr>
          <w:p>
            <w:r>
              <w:rPr>
                <w:rFonts w:hint="eastAsia"/>
              </w:rPr>
              <w:t xml:space="preserve">沟通  </w:t>
            </w:r>
          </w:p>
        </w:tc>
        <w:tc>
          <w:tcPr>
            <w:tcW w:w="960" w:type="dxa"/>
            <w:gridSpan w:val="3"/>
            <w:vMerge w:val="restart"/>
            <w:shd w:val="clear" w:color="auto" w:fill="EBF1DE" w:themeFill="accent3" w:themeFillTint="32"/>
          </w:tcPr>
          <w:p>
            <w:r>
              <w:rPr>
                <w:rFonts w:hint="eastAsia"/>
              </w:rPr>
              <w:t xml:space="preserve">F7.4  </w:t>
            </w:r>
          </w:p>
        </w:tc>
        <w:tc>
          <w:tcPr>
            <w:tcW w:w="745" w:type="dxa"/>
            <w:gridSpan w:val="2"/>
            <w:shd w:val="clear" w:color="auto" w:fill="EBF1DE" w:themeFill="accent3" w:themeFillTint="32"/>
          </w:tcPr>
          <w:p>
            <w:r>
              <w:rPr>
                <w:rFonts w:hint="eastAsia"/>
              </w:rPr>
              <w:t>文件名称</w:t>
            </w:r>
          </w:p>
        </w:tc>
        <w:tc>
          <w:tcPr>
            <w:tcW w:w="9256" w:type="dxa"/>
            <w:gridSpan w:val="2"/>
            <w:shd w:val="clear" w:color="auto" w:fill="EBF1DE" w:themeFill="accent3" w:themeFillTint="32"/>
          </w:tcPr>
          <w:p>
            <w:r>
              <w:rPr>
                <w:rFonts w:hint="eastAsia"/>
              </w:rPr>
              <w:t>如：</w:t>
            </w:r>
            <w:r>
              <w:rPr>
                <w:rFonts w:hint="eastAsia"/>
              </w:rPr>
              <w:sym w:font="Wingdings" w:char="00FE"/>
            </w:r>
            <w:r>
              <w:rPr>
                <w:rFonts w:hint="eastAsia"/>
                <w:lang w:eastAsia="zh-CN"/>
              </w:rPr>
              <w:t>《</w:t>
            </w:r>
            <w:r>
              <w:rPr>
                <w:rFonts w:hint="eastAsia"/>
              </w:rPr>
              <w:t>信息沟通控制程序</w:t>
            </w:r>
            <w:r>
              <w:rPr>
                <w:rFonts w:hint="eastAsia"/>
                <w:lang w:eastAsia="zh-CN"/>
              </w:rPr>
              <w:t>》</w:t>
            </w:r>
          </w:p>
        </w:tc>
        <w:tc>
          <w:tcPr>
            <w:tcW w:w="1590" w:type="dxa"/>
            <w:gridSpan w:val="2"/>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0"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6" w:type="dxa"/>
            <w:gridSpan w:val="2"/>
            <w:shd w:val="clear" w:color="auto" w:fill="EBF1DE" w:themeFill="accent3" w:themeFillTint="32"/>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☑外包方 </w:t>
            </w:r>
            <w:r>
              <w:rPr>
                <w:rFonts w:hint="eastAsia"/>
              </w:rPr>
              <w:sym w:font="Wingdings" w:char="00A8"/>
            </w:r>
            <w:r>
              <w:rPr>
                <w:rFonts w:hint="eastAsia"/>
                <w:color w:val="000000"/>
                <w:szCs w:val="21"/>
              </w:rPr>
              <w:t>网站</w:t>
            </w:r>
          </w:p>
          <w:p/>
          <w:p>
            <w:r>
              <w:rPr>
                <w:rFonts w:hint="eastAsia"/>
              </w:rPr>
              <w:t>内部沟通的控制方式：</w:t>
            </w:r>
            <w:r>
              <w:rPr>
                <w:rFonts w:hint="eastAsia"/>
                <w:color w:val="000000"/>
                <w:szCs w:val="21"/>
              </w:rPr>
              <w:t>☑会议 ☑表单传递 ☑微信 ☑QQ □展板 □标语</w:t>
            </w:r>
          </w:p>
        </w:tc>
        <w:tc>
          <w:tcPr>
            <w:tcW w:w="1590" w:type="dxa"/>
            <w:gridSpan w:val="2"/>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163" w:type="dxa"/>
            <w:gridSpan w:val="2"/>
            <w:vMerge w:val="restart"/>
            <w:shd w:val="clear" w:color="auto" w:fill="EBF1DE" w:themeFill="accent3" w:themeFillTint="32"/>
          </w:tcPr>
          <w:p>
            <w:r>
              <w:rPr>
                <w:rFonts w:hint="eastAsia"/>
              </w:rPr>
              <w:t>监视、测量、分析和评价</w:t>
            </w:r>
          </w:p>
          <w:p/>
        </w:tc>
        <w:tc>
          <w:tcPr>
            <w:tcW w:w="960" w:type="dxa"/>
            <w:gridSpan w:val="3"/>
            <w:vMerge w:val="restart"/>
            <w:shd w:val="clear" w:color="auto" w:fill="EBF1DE" w:themeFill="accent3" w:themeFillTint="32"/>
          </w:tcPr>
          <w:p>
            <w:r>
              <w:rPr>
                <w:rFonts w:hint="eastAsia"/>
              </w:rPr>
              <w:t>F9.1.1</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r>
              <w:rPr>
                <w:rFonts w:hint="eastAsia"/>
              </w:rPr>
              <w:t>组织对监视和测量的食品安全绩效：</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208"/>
              <w:gridCol w:w="211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监视和测量的对象</w:t>
                  </w:r>
                </w:p>
              </w:tc>
              <w:tc>
                <w:tcPr>
                  <w:tcW w:w="2208" w:type="dxa"/>
                </w:tcPr>
                <w:p>
                  <w:r>
                    <w:rPr>
                      <w:rFonts w:hint="eastAsia"/>
                    </w:rPr>
                    <w:t>监视、测量、分析和评价的方法</w:t>
                  </w:r>
                </w:p>
              </w:tc>
              <w:tc>
                <w:tcPr>
                  <w:tcW w:w="2115" w:type="dxa"/>
                </w:tcPr>
                <w:p>
                  <w:r>
                    <w:rPr>
                      <w:rFonts w:hint="eastAsia"/>
                    </w:rPr>
                    <w:t>监视和测量的频次和时机</w:t>
                  </w:r>
                </w:p>
              </w:tc>
              <w:tc>
                <w:tcPr>
                  <w:tcW w:w="1809" w:type="dxa"/>
                </w:tcPr>
                <w:p>
                  <w:r>
                    <w:rPr>
                      <w:rFonts w:hint="eastAsia"/>
                    </w:rPr>
                    <w:t>评价其食品安全绩效所依据的准则和适当的参数</w:t>
                  </w:r>
                </w:p>
              </w:tc>
              <w:tc>
                <w:tcPr>
                  <w:tcW w:w="1738"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default"/>
                      <w:lang w:val="en-US" w:eastAsia="zh-CN"/>
                    </w:rPr>
                  </w:pPr>
                  <w:r>
                    <w:rPr>
                      <w:rFonts w:hint="eastAsia"/>
                      <w:lang w:val="en-US" w:eastAsia="zh-CN"/>
                    </w:rPr>
                    <w:t>餐食、餐具和生产用水</w:t>
                  </w:r>
                </w:p>
              </w:tc>
              <w:tc>
                <w:tcPr>
                  <w:tcW w:w="2208" w:type="dxa"/>
                </w:tcPr>
                <w:p>
                  <w:pPr>
                    <w:rPr>
                      <w:rFonts w:hint="default"/>
                      <w:lang w:val="en-US" w:eastAsia="zh-CN"/>
                    </w:rPr>
                  </w:pPr>
                  <w:r>
                    <w:rPr>
                      <w:rFonts w:hint="eastAsia"/>
                      <w:lang w:val="en-US" w:eastAsia="zh-CN"/>
                    </w:rPr>
                    <w:t>每年委托外部进行检测1次</w:t>
                  </w:r>
                </w:p>
              </w:tc>
              <w:tc>
                <w:tcPr>
                  <w:tcW w:w="2115" w:type="dxa"/>
                </w:tcPr>
                <w:p>
                  <w:pPr>
                    <w:rPr>
                      <w:rFonts w:hint="eastAsia"/>
                      <w:lang w:val="en-US" w:eastAsia="zh-CN"/>
                    </w:rPr>
                  </w:pPr>
                  <w:r>
                    <w:rPr>
                      <w:rFonts w:hint="eastAsia"/>
                      <w:lang w:val="en-US" w:eastAsia="zh-CN"/>
                    </w:rPr>
                    <w:t>产品：每年委托外部进行；</w:t>
                  </w:r>
                </w:p>
                <w:p>
                  <w:pPr>
                    <w:rPr>
                      <w:rFonts w:hint="eastAsia"/>
                    </w:rPr>
                  </w:pPr>
                  <w:r>
                    <w:rPr>
                      <w:rFonts w:hint="eastAsia"/>
                      <w:lang w:val="en-US" w:eastAsia="zh-CN"/>
                    </w:rPr>
                    <w:t>生产用水：每年进行</w:t>
                  </w:r>
                </w:p>
              </w:tc>
              <w:tc>
                <w:tcPr>
                  <w:tcW w:w="1809" w:type="dxa"/>
                </w:tcPr>
                <w:p>
                  <w:pPr>
                    <w:keepNext w:val="0"/>
                    <w:keepLines w:val="0"/>
                    <w:widowControl/>
                    <w:suppressLineNumbers w:val="0"/>
                    <w:jc w:val="left"/>
                    <w:rPr>
                      <w:rFonts w:hint="default"/>
                    </w:rPr>
                  </w:pPr>
                  <w:r>
                    <w:rPr>
                      <w:rFonts w:hint="default"/>
                      <w:lang w:val="en-US" w:eastAsia="zh-CN"/>
                    </w:rPr>
                    <w:t>GB 14934-2016</w:t>
                  </w:r>
                </w:p>
                <w:p>
                  <w:pPr>
                    <w:rPr>
                      <w:rFonts w:hint="eastAsia"/>
                      <w:lang w:val="en-US" w:eastAsia="zh-CN"/>
                    </w:rPr>
                  </w:pPr>
                  <w:r>
                    <w:rPr>
                      <w:rFonts w:hint="eastAsia"/>
                      <w:lang w:val="en-US" w:eastAsia="zh-CN"/>
                    </w:rPr>
                    <w:t>、GB5749-2006、</w:t>
                  </w:r>
                </w:p>
                <w:p>
                  <w:pPr>
                    <w:pStyle w:val="5"/>
                    <w:rPr>
                      <w:rFonts w:hint="default"/>
                      <w:lang w:val="en-US" w:eastAsia="zh-CN"/>
                    </w:rPr>
                  </w:pPr>
                  <w:r>
                    <w:rPr>
                      <w:rFonts w:hint="eastAsia"/>
                      <w:lang w:val="en-US" w:eastAsia="zh-CN"/>
                    </w:rPr>
                    <w:t>《危害控制计划》等</w:t>
                  </w:r>
                </w:p>
              </w:tc>
              <w:tc>
                <w:tcPr>
                  <w:tcW w:w="1738" w:type="dxa"/>
                </w:tcPr>
                <w:p>
                  <w:pPr>
                    <w:rPr>
                      <w:rFonts w:hint="eastAsia"/>
                    </w:rPr>
                  </w:pPr>
                  <w:r>
                    <w:rPr>
                      <w:rFonts w:hint="eastAsia"/>
                      <w:lang w:eastAsia="zh-CN"/>
                    </w:rPr>
                    <w:t>□</w:t>
                  </w:r>
                  <w:r>
                    <w:rPr>
                      <w:rFonts w:hint="eastAsia"/>
                    </w:rPr>
                    <w:t xml:space="preserve">每月 </w:t>
                  </w:r>
                  <w:r>
                    <w:rPr>
                      <w:rFonts w:hint="eastAsia"/>
                    </w:rPr>
                    <w:sym w:font="Wingdings 2" w:char="00A3"/>
                  </w:r>
                  <w:r>
                    <w:rPr>
                      <w:rFonts w:hint="eastAsia"/>
                    </w:rPr>
                    <w:t xml:space="preserve">每季度 </w:t>
                  </w:r>
                  <w:r>
                    <w:rPr>
                      <w:rFonts w:hint="eastAsia"/>
                    </w:rPr>
                    <w:sym w:font="Wingdings 2" w:char="0052"/>
                  </w:r>
                  <w:r>
                    <w:rPr>
                      <w:rFonts w:hint="eastAsia"/>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3" w:type="dxa"/>
                </w:tcPr>
                <w:p>
                  <w:r>
                    <w:rPr>
                      <w:rFonts w:hint="eastAsia"/>
                    </w:rPr>
                    <w:t>过程</w:t>
                  </w:r>
                </w:p>
              </w:tc>
              <w:tc>
                <w:tcPr>
                  <w:tcW w:w="2208" w:type="dxa"/>
                </w:tcPr>
                <w:p>
                  <w:r>
                    <w:rPr>
                      <w:rFonts w:hint="eastAsia"/>
                    </w:rPr>
                    <w:t>现场巡视</w:t>
                  </w:r>
                </w:p>
                <w:p>
                  <w:r>
                    <w:rPr>
                      <w:rFonts w:hint="eastAsia"/>
                    </w:rPr>
                    <w:t>抽查记录</w:t>
                  </w:r>
                </w:p>
                <w:p>
                  <w:r>
                    <w:rPr>
                      <w:rFonts w:hint="eastAsia"/>
                    </w:rPr>
                    <w:t>对目标、供方业绩、过程业绩、满意度进行统计</w:t>
                  </w:r>
                </w:p>
              </w:tc>
              <w:tc>
                <w:tcPr>
                  <w:tcW w:w="2115" w:type="dxa"/>
                </w:tcPr>
                <w:p>
                  <w:r>
                    <w:t>☑</w:t>
                  </w:r>
                  <w:r>
                    <w:rPr>
                      <w:rFonts w:hint="eastAsia"/>
                    </w:rPr>
                    <w:t>定期检查</w:t>
                  </w:r>
                </w:p>
                <w:p>
                  <w:r>
                    <w:t>☑</w:t>
                  </w:r>
                  <w:r>
                    <w:rPr>
                      <w:rFonts w:hint="eastAsia"/>
                    </w:rPr>
                    <w:t>抽查</w:t>
                  </w:r>
                </w:p>
                <w:p>
                  <w:r>
                    <w:t>☑</w:t>
                  </w:r>
                  <w:r>
                    <w:rPr>
                      <w:rFonts w:hint="eastAsia"/>
                    </w:rPr>
                    <w:t>每年</w:t>
                  </w:r>
                </w:p>
              </w:tc>
              <w:tc>
                <w:tcPr>
                  <w:tcW w:w="1809" w:type="dxa"/>
                </w:tcPr>
                <w:p>
                  <w:r>
                    <w:rPr>
                      <w:rFonts w:hint="eastAsia"/>
                    </w:rPr>
                    <w:t>相关标准、程序文件要求等</w:t>
                  </w:r>
                </w:p>
              </w:tc>
              <w:tc>
                <w:tcPr>
                  <w:tcW w:w="1738" w:type="dxa"/>
                </w:tcPr>
                <w:p>
                  <w:pPr>
                    <w:widowControl/>
                    <w:spacing w:before="40"/>
                    <w:jc w:val="left"/>
                    <w:rPr>
                      <w:rFonts w:hint="eastAsia"/>
                      <w:lang w:eastAsia="zh-CN"/>
                    </w:rPr>
                  </w:pPr>
                  <w:r>
                    <w:rPr>
                      <w:rFonts w:hint="eastAsia"/>
                      <w:lang w:eastAsia="zh-CN"/>
                    </w:rPr>
                    <w:t>□</w:t>
                  </w:r>
                  <w:r>
                    <w:rPr>
                      <w:rFonts w:hint="eastAsia"/>
                    </w:rPr>
                    <w:t xml:space="preserve">每月 </w:t>
                  </w:r>
                  <w:r>
                    <w:rPr>
                      <w:rFonts w:hint="eastAsia"/>
                    </w:rPr>
                    <w:sym w:font="Wingdings 2" w:char="0052"/>
                  </w:r>
                  <w:r>
                    <w:rPr>
                      <w:rFonts w:hint="eastAsia"/>
                    </w:rPr>
                    <w:t xml:space="preserve">每季度 </w:t>
                  </w:r>
                  <w:r>
                    <w:rPr>
                      <w:rFonts w:hint="eastAsia"/>
                    </w:rPr>
                    <w:sym w:font="Wingdings 2" w:char="0052"/>
                  </w:r>
                  <w:r>
                    <w:rPr>
                      <w:rFonts w:hint="eastAsia"/>
                    </w:rPr>
                    <w:t>每年</w:t>
                  </w:r>
                  <w:r>
                    <w:rPr>
                      <w:rFonts w:hint="eastAsia"/>
                    </w:rPr>
                    <w:sym w:font="Wingdings 2" w:char="0052"/>
                  </w:r>
                  <w:r>
                    <w:rPr>
                      <w:rFonts w:hint="eastAsia"/>
                    </w:rPr>
                    <w:t>每</w:t>
                  </w:r>
                  <w:r>
                    <w:rPr>
                      <w:rFonts w:hint="eastAsia"/>
                      <w:lang w:val="en-US" w:eastAsia="zh-CN"/>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体系</w:t>
                  </w:r>
                </w:p>
              </w:tc>
              <w:tc>
                <w:tcPr>
                  <w:tcW w:w="2208" w:type="dxa"/>
                </w:tcPr>
                <w:p>
                  <w:r>
                    <w:rPr>
                      <w:rFonts w:hint="eastAsia"/>
                    </w:rPr>
                    <w:t>内部审核；对内审不符合项进行分析</w:t>
                  </w:r>
                </w:p>
              </w:tc>
              <w:tc>
                <w:tcPr>
                  <w:tcW w:w="2115" w:type="dxa"/>
                </w:tcPr>
                <w:p>
                  <w:r>
                    <w:t>☑</w:t>
                  </w:r>
                  <w:r>
                    <w:rPr>
                      <w:rFonts w:hint="eastAsia"/>
                    </w:rPr>
                    <w:t>按年度内审计划</w:t>
                  </w:r>
                </w:p>
                <w:p>
                  <w:r>
                    <w:rPr>
                      <w:rFonts w:hint="eastAsia"/>
                    </w:rPr>
                    <w:sym w:font="Wingdings 2" w:char="0052"/>
                  </w:r>
                  <w:r>
                    <w:rPr>
                      <w:rFonts w:hint="eastAsia"/>
                    </w:rPr>
                    <w:t>每年一次</w:t>
                  </w:r>
                </w:p>
                <w:p>
                  <w:r>
                    <w:rPr>
                      <w:rFonts w:hint="eastAsia"/>
                    </w:rPr>
                    <w:sym w:font="Wingdings 2" w:char="0052"/>
                  </w:r>
                  <w:r>
                    <w:rPr>
                      <w:rFonts w:hint="eastAsia"/>
                    </w:rPr>
                    <w:t>特殊情况增加</w:t>
                  </w:r>
                </w:p>
              </w:tc>
              <w:tc>
                <w:tcPr>
                  <w:tcW w:w="1809" w:type="dxa"/>
                </w:tcPr>
                <w:p>
                  <w:pPr>
                    <w:rPr>
                      <w:rFonts w:hint="eastAsia"/>
                      <w:lang w:val="en-US" w:eastAsia="zh-CN"/>
                    </w:rPr>
                  </w:pPr>
                  <w:r>
                    <w:rPr>
                      <w:rFonts w:hint="eastAsia"/>
                    </w:rPr>
                    <w:t>ISO22000：2018</w:t>
                  </w:r>
                  <w:r>
                    <w:rPr>
                      <w:rFonts w:hint="eastAsia"/>
                      <w:lang w:eastAsia="zh-CN"/>
                    </w:rPr>
                    <w:t>《</w:t>
                  </w:r>
                  <w:r>
                    <w:rPr>
                      <w:rFonts w:hint="eastAsia"/>
                      <w:lang w:val="en-US" w:eastAsia="zh-CN"/>
                    </w:rPr>
                    <w:t>内部审核控制程序</w:t>
                  </w:r>
                  <w:r>
                    <w:rPr>
                      <w:rFonts w:hint="eastAsia"/>
                      <w:lang w:eastAsia="zh-CN"/>
                    </w:rPr>
                    <w:t>》</w:t>
                  </w:r>
                </w:p>
              </w:tc>
              <w:tc>
                <w:tcPr>
                  <w:tcW w:w="1738" w:type="dxa"/>
                </w:tcPr>
                <w:p>
                  <w:pPr>
                    <w:widowControl/>
                    <w:spacing w:before="40"/>
                    <w:jc w:val="left"/>
                  </w:pPr>
                  <w:r>
                    <w:rPr>
                      <w:rFonts w:hint="eastAsia"/>
                    </w:rPr>
                    <w:t xml:space="preserve">□每月 □每季度 </w:t>
                  </w:r>
                  <w:r>
                    <w:t>☑</w:t>
                  </w:r>
                  <w:r>
                    <w:rPr>
                      <w:rFonts w:hint="eastAsia"/>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体系有效性</w:t>
                  </w:r>
                </w:p>
              </w:tc>
              <w:tc>
                <w:tcPr>
                  <w:tcW w:w="2208" w:type="dxa"/>
                </w:tcPr>
                <w:p>
                  <w:r>
                    <w:rPr>
                      <w:rFonts w:hint="eastAsia"/>
                    </w:rPr>
                    <w:t>管理评审，对FSMS存在的需要问题进行分析</w:t>
                  </w:r>
                </w:p>
              </w:tc>
              <w:tc>
                <w:tcPr>
                  <w:tcW w:w="2115" w:type="dxa"/>
                </w:tcPr>
                <w:p>
                  <w:r>
                    <w:t>☑</w:t>
                  </w:r>
                  <w:r>
                    <w:rPr>
                      <w:rFonts w:hint="eastAsia"/>
                    </w:rPr>
                    <w:t>每年一次</w:t>
                  </w:r>
                </w:p>
                <w:p>
                  <w:r>
                    <w:rPr>
                      <w:rFonts w:hint="eastAsia"/>
                    </w:rPr>
                    <w:sym w:font="Wingdings 2" w:char="0052"/>
                  </w:r>
                  <w:r>
                    <w:rPr>
                      <w:rFonts w:hint="eastAsia"/>
                    </w:rPr>
                    <w:t>特殊情况增加</w:t>
                  </w:r>
                </w:p>
              </w:tc>
              <w:tc>
                <w:tcPr>
                  <w:tcW w:w="1809" w:type="dxa"/>
                </w:tcPr>
                <w:p>
                  <w:pPr>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tc>
              <w:tc>
                <w:tcPr>
                  <w:tcW w:w="1738" w:type="dxa"/>
                </w:tcPr>
                <w:p>
                  <w:pPr>
                    <w:widowControl/>
                    <w:spacing w:before="40"/>
                    <w:jc w:val="left"/>
                  </w:pPr>
                  <w:r>
                    <w:rPr>
                      <w:rFonts w:hint="eastAsia"/>
                    </w:rPr>
                    <w:t xml:space="preserve">□每月 □每季度 </w:t>
                  </w:r>
                  <w:r>
                    <w:t>☑</w:t>
                  </w:r>
                  <w:r>
                    <w:rPr>
                      <w:rFonts w:hint="eastAsia"/>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相关方反馈</w:t>
                  </w:r>
                </w:p>
              </w:tc>
              <w:tc>
                <w:tcPr>
                  <w:tcW w:w="2208" w:type="dxa"/>
                </w:tcPr>
                <w:p>
                  <w:r>
                    <w:rPr>
                      <w:rFonts w:hint="eastAsia"/>
                    </w:rPr>
                    <w:t>反馈处理，对问题进行统计</w:t>
                  </w:r>
                </w:p>
              </w:tc>
              <w:tc>
                <w:tcPr>
                  <w:tcW w:w="2115" w:type="dxa"/>
                </w:tcPr>
                <w:p>
                  <w:r>
                    <w:t>☑</w:t>
                  </w:r>
                  <w:r>
                    <w:rPr>
                      <w:rFonts w:hint="eastAsia"/>
                    </w:rPr>
                    <w:t>每年一次</w:t>
                  </w:r>
                </w:p>
              </w:tc>
              <w:tc>
                <w:tcPr>
                  <w:tcW w:w="1809" w:type="dxa"/>
                </w:tcPr>
                <w:p>
                  <w:pPr>
                    <w:rPr>
                      <w:rFonts w:hint="default"/>
                      <w:lang w:val="en-US" w:eastAsia="zh-CN"/>
                    </w:rPr>
                  </w:pPr>
                  <w:r>
                    <w:rPr>
                      <w:rFonts w:hint="eastAsia"/>
                      <w:lang w:val="en-US" w:eastAsia="zh-CN"/>
                    </w:rPr>
                    <w:t>发生时立即进行处理，每学期统计</w:t>
                  </w:r>
                </w:p>
              </w:tc>
              <w:tc>
                <w:tcPr>
                  <w:tcW w:w="1738" w:type="dxa"/>
                </w:tcPr>
                <w:p>
                  <w:pPr>
                    <w:widowControl/>
                    <w:spacing w:before="40"/>
                    <w:jc w:val="left"/>
                    <w:rPr>
                      <w:rFonts w:hint="default"/>
                      <w:lang w:val="en-US" w:eastAsia="zh-CN"/>
                    </w:rPr>
                  </w:pPr>
                  <w:r>
                    <w:rPr>
                      <w:rFonts w:hint="eastAsia"/>
                    </w:rPr>
                    <w:t xml:space="preserve">□每月 □每季度 </w:t>
                  </w:r>
                  <w:r>
                    <w:t>☑</w:t>
                  </w:r>
                  <w:r>
                    <w:rPr>
                      <w:rFonts w:hint="eastAsia"/>
                    </w:rPr>
                    <w:t>每年</w:t>
                  </w:r>
                  <w:r>
                    <w:t>☑</w:t>
                  </w:r>
                  <w:r>
                    <w:rPr>
                      <w:rFonts w:hint="eastAsia"/>
                      <w:lang w:val="en-US" w:eastAsia="zh-CN"/>
                    </w:rPr>
                    <w:t>每学期</w:t>
                  </w:r>
                </w:p>
              </w:tc>
            </w:tr>
          </w:tbl>
          <w:p>
            <w:pPr>
              <w:spacing w:line="360" w:lineRule="auto"/>
              <w:rPr>
                <w:rFonts w:hint="eastAsia"/>
                <w:color w:val="0000FF"/>
                <w:u w:val="single"/>
                <w:lang w:val="en-US" w:eastAsia="zh-CN"/>
              </w:rPr>
            </w:pPr>
            <w:r>
              <w:rPr>
                <w:rFonts w:hint="eastAsia"/>
                <w:color w:val="0000FF"/>
                <w:u w:val="single"/>
                <w:lang w:val="en-US" w:eastAsia="zh-CN"/>
              </w:rPr>
              <w:t>餐食餐具以及生产加工用水的安全性验证见“食品安全小组 F8.8条款审核记录”；</w:t>
            </w:r>
          </w:p>
          <w:p>
            <w:pPr>
              <w:pStyle w:val="5"/>
              <w:spacing w:line="360" w:lineRule="auto"/>
              <w:rPr>
                <w:rFonts w:hint="eastAsia" w:ascii="Times New Roman" w:hAnsi="Times New Roman" w:eastAsia="宋体" w:cs="Times New Roman"/>
                <w:color w:val="0000FF"/>
                <w:kern w:val="2"/>
                <w:sz w:val="21"/>
                <w:szCs w:val="20"/>
                <w:u w:val="single"/>
                <w:lang w:val="en-US" w:eastAsia="zh-CN" w:bidi="ar-SA"/>
              </w:rPr>
            </w:pPr>
            <w:r>
              <w:rPr>
                <w:rFonts w:hint="eastAsia" w:ascii="Times New Roman" w:hAnsi="Times New Roman" w:eastAsia="宋体" w:cs="Times New Roman"/>
                <w:color w:val="0000FF"/>
                <w:kern w:val="2"/>
                <w:sz w:val="21"/>
                <w:szCs w:val="20"/>
                <w:u w:val="single"/>
                <w:lang w:val="en-US" w:eastAsia="zh-CN" w:bidi="ar-SA"/>
              </w:rPr>
              <w:t>过程监控及评价情况见“生产部审核记录”；</w:t>
            </w:r>
          </w:p>
          <w:p>
            <w:pPr>
              <w:pStyle w:val="5"/>
              <w:spacing w:line="360" w:lineRule="auto"/>
              <w:rPr>
                <w:rFonts w:hint="default"/>
                <w:lang w:val="en-US" w:eastAsia="zh-CN"/>
              </w:rPr>
            </w:pPr>
            <w:r>
              <w:rPr>
                <w:rFonts w:hint="eastAsia" w:ascii="Times New Roman" w:hAnsi="Times New Roman" w:eastAsia="宋体" w:cs="Times New Roman"/>
                <w:color w:val="0000FF"/>
                <w:kern w:val="2"/>
                <w:sz w:val="21"/>
                <w:szCs w:val="20"/>
                <w:u w:val="single"/>
                <w:lang w:val="en-US" w:eastAsia="zh-CN" w:bidi="ar-SA"/>
              </w:rPr>
              <w:t>体系有效性主要见“领导层F9.2/9.3条款审核记录”</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8" w:hRule="atLeast"/>
        </w:trPr>
        <w:tc>
          <w:tcPr>
            <w:tcW w:w="2179" w:type="dxa"/>
            <w:gridSpan w:val="2"/>
            <w:vMerge w:val="restart"/>
            <w:shd w:val="clear" w:color="auto" w:fill="EBF1DE" w:themeFill="accent3" w:themeFillTint="32"/>
          </w:tcPr>
          <w:p>
            <w:pPr>
              <w:rPr>
                <w:highlight w:val="none"/>
              </w:rPr>
            </w:pPr>
            <w:r>
              <w:rPr>
                <w:rFonts w:hint="eastAsia"/>
                <w:highlight w:val="none"/>
              </w:rPr>
              <w:t>内部审核</w:t>
            </w:r>
          </w:p>
        </w:tc>
        <w:tc>
          <w:tcPr>
            <w:tcW w:w="930" w:type="dxa"/>
            <w:vMerge w:val="restart"/>
            <w:shd w:val="clear" w:color="auto" w:fill="EBF1DE" w:themeFill="accent3" w:themeFillTint="32"/>
          </w:tcPr>
          <w:p>
            <w:pPr>
              <w:rPr>
                <w:highlight w:val="none"/>
              </w:rPr>
            </w:pPr>
            <w:r>
              <w:rPr>
                <w:rFonts w:hint="eastAsia"/>
                <w:highlight w:val="none"/>
              </w:rPr>
              <w:t>F9.2</w:t>
            </w:r>
          </w:p>
        </w:tc>
        <w:tc>
          <w:tcPr>
            <w:tcW w:w="762" w:type="dxa"/>
            <w:gridSpan w:val="4"/>
            <w:shd w:val="clear" w:color="auto" w:fill="EBF1DE" w:themeFill="accent3" w:themeFillTint="32"/>
          </w:tcPr>
          <w:p>
            <w:pPr>
              <w:rPr>
                <w:highlight w:val="none"/>
              </w:rPr>
            </w:pPr>
            <w:r>
              <w:rPr>
                <w:rFonts w:hint="eastAsia"/>
                <w:highlight w:val="none"/>
              </w:rPr>
              <w:t>文件名称</w:t>
            </w:r>
          </w:p>
        </w:tc>
        <w:tc>
          <w:tcPr>
            <w:tcW w:w="9253" w:type="dxa"/>
            <w:gridSpan w:val="2"/>
            <w:shd w:val="clear" w:color="auto" w:fill="EBF1DE" w:themeFill="accent3" w:themeFillTint="32"/>
          </w:tcPr>
          <w:p>
            <w:pPr>
              <w:rPr>
                <w:highlight w:val="none"/>
              </w:rPr>
            </w:pPr>
            <w:r>
              <w:rPr>
                <w:highlight w:val="none"/>
              </w:rPr>
              <w:sym w:font="Wingdings" w:char="00FE"/>
            </w:r>
            <w:r>
              <w:rPr>
                <w:rFonts w:hint="eastAsia"/>
                <w:highlight w:val="none"/>
              </w:rPr>
              <w:t>《内</w:t>
            </w:r>
            <w:r>
              <w:rPr>
                <w:rFonts w:hint="eastAsia"/>
                <w:highlight w:val="none"/>
                <w:lang w:val="en-US" w:eastAsia="zh-CN"/>
              </w:rPr>
              <w:t>部审核</w:t>
            </w:r>
            <w:r>
              <w:rPr>
                <w:rFonts w:hint="eastAsia"/>
                <w:highlight w:val="none"/>
              </w:rPr>
              <w:t>控制程序》</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 w:type="dxa"/>
          <w:trHeight w:val="493" w:hRule="atLeast"/>
        </w:trPr>
        <w:tc>
          <w:tcPr>
            <w:tcW w:w="2179" w:type="dxa"/>
            <w:gridSpan w:val="2"/>
            <w:vMerge w:val="continue"/>
            <w:shd w:val="clear" w:color="auto" w:fill="EBF1DE" w:themeFill="accent3" w:themeFillTint="32"/>
          </w:tcPr>
          <w:p>
            <w:pPr>
              <w:rPr>
                <w:highlight w:val="none"/>
              </w:rPr>
            </w:pPr>
          </w:p>
        </w:tc>
        <w:tc>
          <w:tcPr>
            <w:tcW w:w="930" w:type="dxa"/>
            <w:vMerge w:val="continue"/>
            <w:shd w:val="clear" w:color="auto" w:fill="EBF1DE" w:themeFill="accent3" w:themeFillTint="32"/>
          </w:tcPr>
          <w:p>
            <w:pPr>
              <w:rPr>
                <w:highlight w:val="none"/>
              </w:rPr>
            </w:pPr>
          </w:p>
        </w:tc>
        <w:tc>
          <w:tcPr>
            <w:tcW w:w="762" w:type="dxa"/>
            <w:gridSpan w:val="4"/>
            <w:shd w:val="clear" w:color="auto" w:fill="EBF1DE" w:themeFill="accent3" w:themeFillTint="32"/>
          </w:tcPr>
          <w:p>
            <w:pPr>
              <w:widowControl/>
              <w:spacing w:before="40"/>
              <w:jc w:val="left"/>
              <w:rPr>
                <w:color w:val="000000"/>
                <w:szCs w:val="18"/>
                <w:highlight w:val="none"/>
              </w:rPr>
            </w:pPr>
          </w:p>
          <w:p>
            <w:pPr>
              <w:rPr>
                <w:highlight w:val="none"/>
              </w:rPr>
            </w:pPr>
            <w:r>
              <w:rPr>
                <w:rFonts w:hint="eastAsia"/>
                <w:highlight w:val="none"/>
              </w:rPr>
              <w:t>运行证据</w:t>
            </w:r>
          </w:p>
        </w:tc>
        <w:tc>
          <w:tcPr>
            <w:tcW w:w="9253" w:type="dxa"/>
            <w:gridSpan w:val="2"/>
            <w:shd w:val="clear" w:color="auto" w:fill="EBF1DE" w:themeFill="accent3" w:themeFillTint="32"/>
          </w:tcPr>
          <w:p>
            <w:pPr>
              <w:widowControl/>
              <w:spacing w:before="40"/>
              <w:jc w:val="left"/>
              <w:rPr>
                <w:color w:val="000000"/>
                <w:szCs w:val="18"/>
                <w:highlight w:val="none"/>
              </w:rPr>
            </w:pPr>
            <w:r>
              <w:rPr>
                <w:rFonts w:hint="eastAsia"/>
                <w:color w:val="000000"/>
                <w:szCs w:val="21"/>
                <w:highlight w:val="none"/>
                <w:lang w:eastAsia="zh-CN"/>
              </w:rPr>
              <w:t>□</w:t>
            </w:r>
            <w:r>
              <w:rPr>
                <w:rFonts w:hint="eastAsia"/>
                <w:color w:val="000000"/>
                <w:szCs w:val="18"/>
                <w:highlight w:val="none"/>
              </w:rPr>
              <w:t>自管理体系建立后/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5</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16-17</w:t>
            </w:r>
            <w:r>
              <w:rPr>
                <w:color w:val="000000"/>
                <w:szCs w:val="18"/>
                <w:highlight w:val="none"/>
                <w:u w:val="single"/>
              </w:rPr>
              <w:t xml:space="preserve"> </w:t>
            </w:r>
            <w:r>
              <w:rPr>
                <w:rFonts w:hint="eastAsia"/>
                <w:color w:val="000000"/>
                <w:szCs w:val="18"/>
                <w:highlight w:val="none"/>
              </w:rPr>
              <w:t>日实施了FSMS内部审核；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rFonts w:hint="default" w:eastAsia="宋体"/>
                <w:color w:val="000000"/>
                <w:szCs w:val="18"/>
                <w:highlight w:val="none"/>
                <w:lang w:val="en-US" w:eastAsia="zh-CN"/>
              </w:rPr>
            </w:pPr>
            <w:r>
              <w:rPr>
                <w:rFonts w:hint="eastAsia"/>
                <w:color w:val="000000"/>
                <w:szCs w:val="18"/>
                <w:highlight w:val="none"/>
              </w:rPr>
              <w:t>《内审计划》：有</w:t>
            </w:r>
            <w:r>
              <w:rPr>
                <w:color w:val="000000"/>
                <w:szCs w:val="18"/>
                <w:highlight w:val="none"/>
                <w:u w:val="single"/>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ascii="Segoe UI Symbol" w:hAnsi="Segoe UI Symbol" w:cs="Segoe UI Symbol"/>
                <w:highlight w:val="none"/>
              </w:rPr>
              <w:t>☑</w:t>
            </w:r>
            <w:r>
              <w:rPr>
                <w:rFonts w:hint="eastAsia"/>
                <w:color w:val="000000"/>
                <w:szCs w:val="21"/>
                <w:highlight w:val="none"/>
              </w:rPr>
              <w:t>有内审员培训记录</w:t>
            </w:r>
            <w:r>
              <w:rPr>
                <w:rFonts w:hint="eastAsia"/>
                <w:color w:val="000000"/>
                <w:szCs w:val="21"/>
                <w:highlight w:val="none"/>
                <w:lang w:eastAsia="zh-CN"/>
              </w:rPr>
              <w:t>，</w:t>
            </w:r>
            <w:r>
              <w:rPr>
                <w:rFonts w:hint="eastAsia"/>
                <w:color w:val="000000"/>
                <w:szCs w:val="21"/>
                <w:highlight w:val="none"/>
                <w:lang w:val="en-US" w:eastAsia="zh-CN"/>
              </w:rPr>
              <w:t>有任命书</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asciiTheme="minorEastAsia" w:hAnsiTheme="minorEastAsia" w:eastAsiaTheme="minorEastAsia"/>
                <w:color w:val="000000"/>
                <w:szCs w:val="21"/>
                <w:highlight w:val="none"/>
                <w:u w:val="single"/>
              </w:rPr>
              <w:t>管理层</w:t>
            </w:r>
            <w:r>
              <w:rPr>
                <w:rFonts w:hint="eastAsia" w:asciiTheme="minorEastAsia" w:hAnsiTheme="minorEastAsia" w:eastAsiaTheme="minorEastAsia"/>
                <w:color w:val="000000"/>
                <w:szCs w:val="21"/>
                <w:highlight w:val="none"/>
                <w:u w:val="single"/>
                <w:lang w:val="en-US" w:eastAsia="zh-CN"/>
              </w:rPr>
              <w:t>、</w:t>
            </w:r>
            <w:r>
              <w:rPr>
                <w:rFonts w:hint="eastAsia" w:asciiTheme="minorEastAsia" w:hAnsiTheme="minorEastAsia" w:eastAsiaTheme="minorEastAsia"/>
                <w:color w:val="000000"/>
                <w:szCs w:val="21"/>
                <w:highlight w:val="none"/>
                <w:u w:val="single"/>
              </w:rPr>
              <w:t>运</w:t>
            </w:r>
            <w:r>
              <w:rPr>
                <w:rFonts w:asciiTheme="minorEastAsia" w:hAnsiTheme="minorEastAsia" w:eastAsiaTheme="minorEastAsia"/>
                <w:color w:val="000000"/>
                <w:szCs w:val="21"/>
                <w:highlight w:val="none"/>
                <w:u w:val="single"/>
              </w:rPr>
              <w:t>营</w:t>
            </w:r>
            <w:r>
              <w:rPr>
                <w:rFonts w:hint="eastAsia" w:asciiTheme="minorEastAsia" w:hAnsiTheme="minorEastAsia" w:eastAsiaTheme="minorEastAsia"/>
                <w:color w:val="000000"/>
                <w:szCs w:val="21"/>
                <w:highlight w:val="none"/>
                <w:u w:val="single"/>
              </w:rPr>
              <w:t>部、</w:t>
            </w:r>
            <w:r>
              <w:rPr>
                <w:rFonts w:hint="eastAsia" w:cs="宋体" w:asciiTheme="minorEastAsia" w:hAnsiTheme="minorEastAsia" w:eastAsiaTheme="minorEastAsia"/>
                <w:szCs w:val="21"/>
                <w:highlight w:val="none"/>
                <w:u w:val="single"/>
              </w:rPr>
              <w:t>生产部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p>
          <w:p>
            <w:pPr>
              <w:spacing w:line="360" w:lineRule="auto"/>
              <w:jc w:val="left"/>
              <w:rPr>
                <w:color w:val="000000"/>
                <w:szCs w:val="21"/>
                <w:highlight w:val="none"/>
                <w:u w:val="single"/>
              </w:rPr>
            </w:pPr>
            <w:r>
              <w:rPr>
                <w:rFonts w:hint="eastAsia"/>
                <w:color w:val="000000"/>
                <w:szCs w:val="18"/>
                <w:highlight w:val="none"/>
              </w:rPr>
              <w:t>涉及的条款号或问题简述：</w:t>
            </w:r>
            <w:r>
              <w:rPr>
                <w:rFonts w:hint="eastAsia"/>
                <w:color w:val="000000"/>
                <w:szCs w:val="21"/>
                <w:highlight w:val="none"/>
                <w:u w:val="single"/>
              </w:rPr>
              <w:t xml:space="preserve">  外来文件清单未识别食品经营许可管理办法、GB2715-2016食品安全国家标准  粮食。不符合标准条款：■ ISO 22000：2018 ：7.5                         </w:t>
            </w:r>
          </w:p>
          <w:p>
            <w:pPr>
              <w:widowControl/>
              <w:spacing w:before="40"/>
              <w:ind w:firstLine="420" w:firstLineChars="200"/>
              <w:jc w:val="left"/>
              <w:rPr>
                <w:highlight w:val="none"/>
              </w:rPr>
            </w:pPr>
            <w:r>
              <w:rPr>
                <w:rFonts w:hint="eastAsia" w:ascii="Calibri" w:hAnsi="Calibri"/>
                <w:highlight w:val="none"/>
              </w:rPr>
              <w:t>☑</w:t>
            </w: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pacing w:before="40"/>
              <w:ind w:firstLine="420" w:firstLineChars="200"/>
              <w:jc w:val="left"/>
              <w:rPr>
                <w:rFonts w:hint="eastAsia" w:eastAsia="宋体"/>
                <w:highlight w:val="none"/>
                <w:lang w:val="en-US" w:eastAsia="zh-CN"/>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rFonts w:hint="default" w:eastAsia="宋体"/>
                <w:color w:val="000000"/>
                <w:szCs w:val="21"/>
                <w:highlight w:val="none"/>
                <w:lang w:val="en-US" w:eastAsia="zh-CN"/>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shd w:val="pct10" w:color="auto" w:fill="FFFFFF"/>
              </w:rPr>
            </w:pPr>
            <w:r>
              <w:rPr>
                <w:rFonts w:hint="eastAsia"/>
                <w:highlight w:val="none"/>
                <w:shd w:val="pct10" w:color="auto" w:fill="FFFFFF"/>
              </w:rPr>
              <w:t>本次现场审核时，上述不符合项的纠正措施的有效性</w:t>
            </w:r>
          </w:p>
          <w:p>
            <w:pPr>
              <w:rPr>
                <w:highlight w:val="none"/>
              </w:rPr>
            </w:pPr>
            <w:r>
              <w:rPr>
                <w:rFonts w:hint="eastAsia" w:ascii="Calibri" w:hAnsi="Calibri"/>
                <w:highlight w:val="none"/>
              </w:rPr>
              <w:t>☑</w:t>
            </w:r>
            <w:r>
              <w:rPr>
                <w:rFonts w:hint="eastAsia"/>
                <w:highlight w:val="none"/>
                <w:shd w:val="pct10" w:color="auto" w:fill="FFFFFF"/>
              </w:rPr>
              <w:t xml:space="preserve">不符合项未发生  </w:t>
            </w:r>
            <w:r>
              <w:rPr>
                <w:rFonts w:hint="eastAsia"/>
                <w:highlight w:val="none"/>
                <w:shd w:val="pct10" w:color="auto" w:fill="FFFFFF"/>
              </w:rPr>
              <w:sym w:font="Wingdings" w:char="00A8"/>
            </w:r>
            <w:r>
              <w:rPr>
                <w:rFonts w:hint="eastAsia"/>
                <w:highlight w:val="none"/>
                <w:shd w:val="pct10" w:color="auto" w:fill="FFFFFF"/>
              </w:rPr>
              <w:t>不符合项仍然存在</w:t>
            </w:r>
            <w:r>
              <w:rPr>
                <w:rFonts w:hint="eastAsia"/>
                <w:highlight w:val="none"/>
                <w:shd w:val="clear" w:color="FFFFFF" w:fill="D9D9D9"/>
              </w:rPr>
              <w:t xml:space="preserve"> </w:t>
            </w: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2"/>
            <w:vMerge w:val="restart"/>
            <w:shd w:val="clear" w:color="auto" w:fill="EBF1DE" w:themeFill="accent3" w:themeFillTint="32"/>
          </w:tcPr>
          <w:p>
            <w:pPr>
              <w:rPr>
                <w:highlight w:val="none"/>
              </w:rPr>
            </w:pPr>
            <w:r>
              <w:rPr>
                <w:rFonts w:hint="eastAsia"/>
                <w:highlight w:val="none"/>
              </w:rPr>
              <w:t>管理评审</w:t>
            </w:r>
          </w:p>
          <w:p>
            <w:pPr>
              <w:rPr>
                <w:highlight w:val="none"/>
              </w:rPr>
            </w:pPr>
          </w:p>
        </w:tc>
        <w:tc>
          <w:tcPr>
            <w:tcW w:w="960" w:type="dxa"/>
            <w:gridSpan w:val="3"/>
            <w:vMerge w:val="restart"/>
            <w:shd w:val="clear" w:color="auto" w:fill="EBF1DE" w:themeFill="accent3" w:themeFillTint="32"/>
          </w:tcPr>
          <w:p>
            <w:pPr>
              <w:rPr>
                <w:highlight w:val="none"/>
              </w:rPr>
            </w:pPr>
            <w:r>
              <w:rPr>
                <w:rFonts w:hint="eastAsia"/>
                <w:highlight w:val="none"/>
              </w:rPr>
              <w:t>F9.3</w:t>
            </w:r>
          </w:p>
        </w:tc>
        <w:tc>
          <w:tcPr>
            <w:tcW w:w="745" w:type="dxa"/>
            <w:gridSpan w:val="2"/>
            <w:shd w:val="clear" w:color="auto" w:fill="EBF1DE" w:themeFill="accent3" w:themeFillTint="32"/>
          </w:tcPr>
          <w:p>
            <w:pPr>
              <w:rPr>
                <w:highlight w:val="none"/>
              </w:rPr>
            </w:pPr>
            <w:r>
              <w:rPr>
                <w:rFonts w:hint="eastAsia"/>
                <w:highlight w:val="none"/>
              </w:rPr>
              <w:t>文件名称</w:t>
            </w:r>
          </w:p>
        </w:tc>
        <w:tc>
          <w:tcPr>
            <w:tcW w:w="9261" w:type="dxa"/>
            <w:gridSpan w:val="3"/>
            <w:shd w:val="clear" w:color="auto" w:fill="EBF1DE" w:themeFill="accent3" w:themeFillTint="32"/>
          </w:tcPr>
          <w:p>
            <w:pPr>
              <w:rPr>
                <w:highlight w:val="none"/>
              </w:rPr>
            </w:pPr>
            <w:r>
              <w:rPr>
                <w:rFonts w:hint="eastAsia"/>
                <w:highlight w:val="none"/>
              </w:rPr>
              <w:t>如：</w:t>
            </w:r>
            <w:r>
              <w:rPr>
                <w:rFonts w:hint="eastAsia"/>
                <w:highlight w:val="none"/>
              </w:rPr>
              <w:sym w:font="Wingdings" w:char="00FE"/>
            </w:r>
            <w:r>
              <w:rPr>
                <w:rFonts w:hint="eastAsia"/>
                <w:highlight w:val="none"/>
              </w:rPr>
              <w:t xml:space="preserve">《管理评审控制程序》 </w:t>
            </w:r>
          </w:p>
        </w:tc>
        <w:tc>
          <w:tcPr>
            <w:tcW w:w="1585"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2163" w:type="dxa"/>
            <w:gridSpan w:val="2"/>
            <w:vMerge w:val="continue"/>
            <w:shd w:val="clear" w:color="auto" w:fill="EBF1DE" w:themeFill="accent3" w:themeFillTint="32"/>
          </w:tcPr>
          <w:p>
            <w:pPr>
              <w:rPr>
                <w:highlight w:val="none"/>
              </w:rPr>
            </w:pPr>
          </w:p>
        </w:tc>
        <w:tc>
          <w:tcPr>
            <w:tcW w:w="960" w:type="dxa"/>
            <w:gridSpan w:val="3"/>
            <w:vMerge w:val="continue"/>
            <w:shd w:val="clear" w:color="auto" w:fill="EBF1DE" w:themeFill="accent3" w:themeFillTint="32"/>
          </w:tcPr>
          <w:p>
            <w:pPr>
              <w:rPr>
                <w:highlight w:val="none"/>
              </w:rPr>
            </w:pPr>
          </w:p>
        </w:tc>
        <w:tc>
          <w:tcPr>
            <w:tcW w:w="745" w:type="dxa"/>
            <w:gridSpan w:val="2"/>
            <w:shd w:val="clear" w:color="auto" w:fill="EBF1DE" w:themeFill="accent3" w:themeFillTint="32"/>
          </w:tcPr>
          <w:p>
            <w:pPr>
              <w:rPr>
                <w:highlight w:val="none"/>
              </w:rPr>
            </w:pPr>
            <w:r>
              <w:rPr>
                <w:rFonts w:hint="eastAsia"/>
                <w:highlight w:val="none"/>
              </w:rPr>
              <w:t>运行证据</w:t>
            </w:r>
          </w:p>
        </w:tc>
        <w:tc>
          <w:tcPr>
            <w:tcW w:w="9261" w:type="dxa"/>
            <w:gridSpan w:val="3"/>
            <w:shd w:val="clear" w:color="auto" w:fill="EBF1DE" w:themeFill="accent3" w:themeFillTint="32"/>
          </w:tcPr>
          <w:p>
            <w:pPr>
              <w:widowControl/>
              <w:spacing w:before="40"/>
              <w:jc w:val="left"/>
              <w:rPr>
                <w:rFonts w:hint="eastAsia" w:eastAsia="宋体"/>
                <w:color w:val="000000"/>
                <w:szCs w:val="18"/>
                <w:highlight w:val="none"/>
                <w:lang w:eastAsia="zh-CN"/>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5</w:t>
            </w:r>
            <w:r>
              <w:rPr>
                <w:rFonts w:hint="eastAsia"/>
                <w:color w:val="000000"/>
                <w:szCs w:val="18"/>
                <w:highlight w:val="none"/>
              </w:rPr>
              <w:t>月</w:t>
            </w:r>
            <w:r>
              <w:rPr>
                <w:rFonts w:hint="eastAsia"/>
                <w:color w:val="000000"/>
                <w:szCs w:val="18"/>
                <w:highlight w:val="none"/>
                <w:u w:val="single"/>
                <w:lang w:val="en-US" w:eastAsia="zh-CN"/>
              </w:rPr>
              <w:t xml:space="preserve">28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A3"/>
            </w:r>
            <w:r>
              <w:rPr>
                <w:rFonts w:hint="eastAsia"/>
                <w:color w:val="000000"/>
                <w:szCs w:val="21"/>
                <w:highlight w:val="none"/>
              </w:rPr>
              <w:t>管理评审纪要</w:t>
            </w:r>
            <w:r>
              <w:rPr>
                <w:rFonts w:hint="eastAsia"/>
                <w:color w:val="000000"/>
                <w:szCs w:val="21"/>
                <w:highlight w:val="none"/>
                <w:lang w:eastAsia="zh-CN"/>
              </w:rPr>
              <w:t>【</w:t>
            </w:r>
            <w:r>
              <w:rPr>
                <w:rFonts w:hint="eastAsia"/>
                <w:color w:val="000000"/>
                <w:szCs w:val="21"/>
                <w:highlight w:val="none"/>
                <w:lang w:val="en-US" w:eastAsia="zh-CN"/>
              </w:rPr>
              <w:t>未保留，已与企业沟通</w:t>
            </w:r>
            <w:r>
              <w:rPr>
                <w:rFonts w:hint="eastAsia"/>
                <w:color w:val="000000"/>
                <w:szCs w:val="21"/>
                <w:highlight w:val="none"/>
                <w:lang w:eastAsia="zh-CN"/>
              </w:rPr>
              <w:t>】</w:t>
            </w:r>
            <w:r>
              <w:rPr>
                <w:rFonts w:hint="eastAsia"/>
                <w:color w:val="000000"/>
                <w:szCs w:val="21"/>
                <w:highlight w:val="none"/>
              </w:rPr>
              <w:t xml:space="preserve">  ☑管理评审报告</w:t>
            </w:r>
          </w:p>
          <w:p>
            <w:pPr>
              <w:widowControl/>
              <w:spacing w:before="40"/>
              <w:jc w:val="left"/>
              <w:rPr>
                <w:color w:val="000000"/>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首次建立体系，未发生以往管理评审。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jc w:val="left"/>
                    <w:rPr>
                      <w:rFonts w:hint="default" w:eastAsia="宋体"/>
                      <w:color w:val="000000"/>
                      <w:szCs w:val="21"/>
                      <w:highlight w:val="none"/>
                      <w:lang w:val="en-US" w:eastAsia="zh-CN"/>
                    </w:rPr>
                  </w:pPr>
                  <w:r>
                    <w:rPr>
                      <w:rFonts w:hint="default" w:eastAsia="宋体"/>
                      <w:color w:val="000000"/>
                      <w:szCs w:val="21"/>
                      <w:highlight w:val="none"/>
                      <w:lang w:val="en-US" w:eastAsia="zh-CN"/>
                    </w:rPr>
                    <w:t>加强生产设备及检测设备的维护保养与定期校准工作</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2022年12月底前完成</w:t>
            </w:r>
            <w:r>
              <w:rPr>
                <w:rFonts w:hint="eastAsia"/>
                <w:highlight w:val="none"/>
                <w:u w:val="single"/>
              </w:rPr>
              <w:t xml:space="preserve">          </w:t>
            </w: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shd w:val="clear" w:color="auto" w:fill="EBF1DE" w:themeFill="accent3" w:themeFillTint="32"/>
          </w:tcPr>
          <w:p>
            <w:r>
              <w:rPr>
                <w:rFonts w:hint="eastAsia"/>
              </w:rPr>
              <w:t>持续改进</w:t>
            </w:r>
          </w:p>
        </w:tc>
        <w:tc>
          <w:tcPr>
            <w:tcW w:w="960" w:type="dxa"/>
            <w:gridSpan w:val="3"/>
            <w:vMerge w:val="restart"/>
            <w:shd w:val="clear" w:color="auto" w:fill="EBF1DE" w:themeFill="accent3" w:themeFillTint="32"/>
          </w:tcPr>
          <w:p>
            <w:r>
              <w:rPr>
                <w:rFonts w:hint="eastAsia"/>
              </w:rPr>
              <w:t>F10.2</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rFonts w:hint="eastAsia"/>
              </w:rPr>
              <w:sym w:font="Wingdings" w:char="00FE"/>
            </w:r>
            <w:r>
              <w:rPr>
                <w:rFonts w:hint="eastAsia"/>
              </w:rPr>
              <w:t>管理手册10.2条款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7"/>
            </w:pPr>
          </w:p>
          <w:p>
            <w:pPr>
              <w:rPr>
                <w:highlight w:val="none"/>
              </w:rPr>
            </w:pPr>
            <w:r>
              <w:rPr>
                <w:rFonts w:hint="eastAsia"/>
                <w:highlight w:val="none"/>
              </w:rPr>
              <w:sym w:font="Wingdings" w:char="00A8"/>
            </w:r>
            <w:r>
              <w:rPr>
                <w:rFonts w:hint="eastAsia"/>
                <w:highlight w:val="none"/>
              </w:rPr>
              <w:t xml:space="preserve"> 改进措施已落实</w:t>
            </w:r>
          </w:p>
          <w:p>
            <w:pPr>
              <w:rPr>
                <w:highlight w:val="none"/>
              </w:rPr>
            </w:pPr>
            <w:r>
              <w:rPr>
                <w:rFonts w:hint="eastAsia"/>
                <w:highlight w:val="none"/>
              </w:rPr>
              <w:sym w:font="Wingdings" w:char="00FE"/>
            </w:r>
            <w:r>
              <w:rPr>
                <w:rFonts w:hint="eastAsia"/>
                <w:highlight w:val="none"/>
              </w:rPr>
              <w:t xml:space="preserve"> 改进措施未落实的原因：</w:t>
            </w:r>
            <w:r>
              <w:rPr>
                <w:rFonts w:hint="eastAsia"/>
                <w:highlight w:val="none"/>
                <w:u w:val="single"/>
              </w:rPr>
              <w:t xml:space="preserve">       </w:t>
            </w:r>
            <w:r>
              <w:rPr>
                <w:rFonts w:hint="eastAsia"/>
                <w:highlight w:val="none"/>
                <w:u w:val="single"/>
                <w:lang w:val="en-US" w:eastAsia="zh-CN"/>
              </w:rPr>
              <w:t>2022年12月底前完成</w:t>
            </w:r>
            <w:r>
              <w:rPr>
                <w:rFonts w:hint="eastAsia"/>
                <w:highlight w:val="none"/>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163" w:type="dxa"/>
            <w:gridSpan w:val="2"/>
            <w:vMerge w:val="restart"/>
            <w:shd w:val="clear" w:color="auto" w:fill="EBF1DE" w:themeFill="accent3" w:themeFillTint="32"/>
          </w:tcPr>
          <w:p>
            <w:r>
              <w:rPr>
                <w:rFonts w:hint="eastAsia"/>
              </w:rPr>
              <w:t>食品安全管理体系的更新</w:t>
            </w:r>
          </w:p>
          <w:p/>
        </w:tc>
        <w:tc>
          <w:tcPr>
            <w:tcW w:w="960" w:type="dxa"/>
            <w:gridSpan w:val="3"/>
            <w:vMerge w:val="restart"/>
            <w:shd w:val="clear" w:color="auto" w:fill="EBF1DE" w:themeFill="accent3" w:themeFillTint="32"/>
          </w:tcPr>
          <w:p>
            <w:r>
              <w:rPr>
                <w:rFonts w:hint="eastAsia"/>
              </w:rPr>
              <w:t>F10.3</w:t>
            </w:r>
          </w:p>
        </w:tc>
        <w:tc>
          <w:tcPr>
            <w:tcW w:w="745" w:type="dxa"/>
            <w:gridSpan w:val="2"/>
            <w:shd w:val="clear" w:color="auto" w:fill="EBF1DE" w:themeFill="accent3" w:themeFillTint="32"/>
          </w:tcPr>
          <w:p>
            <w:r>
              <w:rPr>
                <w:rFonts w:hint="eastAsia"/>
              </w:rPr>
              <w:t>文件名称</w:t>
            </w:r>
          </w:p>
        </w:tc>
        <w:tc>
          <w:tcPr>
            <w:tcW w:w="9261" w:type="dxa"/>
            <w:gridSpan w:val="3"/>
            <w:shd w:val="clear" w:color="auto" w:fill="EBF1DE" w:themeFill="accent3" w:themeFillTint="32"/>
          </w:tcPr>
          <w:p>
            <w:r>
              <w:rPr>
                <w:rFonts w:hint="eastAsia"/>
              </w:rPr>
              <w:t>如：</w:t>
            </w:r>
            <w:r>
              <w:rPr>
                <w:rFonts w:hint="eastAsia"/>
              </w:rPr>
              <w:sym w:font="Wingdings" w:char="00FE"/>
            </w:r>
            <w:r>
              <w:rPr>
                <w:rFonts w:hint="eastAsia"/>
              </w:rPr>
              <w:t>管理手册10.</w:t>
            </w:r>
            <w:r>
              <w:rPr>
                <w:rFonts w:hint="eastAsia"/>
                <w:lang w:val="en-US" w:eastAsia="zh-CN"/>
              </w:rPr>
              <w:t>3</w:t>
            </w:r>
            <w:r>
              <w:rPr>
                <w:rFonts w:hint="eastAsia"/>
              </w:rPr>
              <w:t>条款</w:t>
            </w:r>
          </w:p>
        </w:tc>
        <w:tc>
          <w:tcPr>
            <w:tcW w:w="1585"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3" w:type="dxa"/>
            <w:gridSpan w:val="2"/>
            <w:vMerge w:val="continue"/>
            <w:shd w:val="clear" w:color="auto" w:fill="EBF1DE" w:themeFill="accent3" w:themeFillTint="32"/>
          </w:tcPr>
          <w:p/>
        </w:tc>
        <w:tc>
          <w:tcPr>
            <w:tcW w:w="960" w:type="dxa"/>
            <w:gridSpan w:val="3"/>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61" w:type="dxa"/>
            <w:gridSpan w:val="3"/>
            <w:shd w:val="clear" w:color="auto" w:fill="EBF1DE" w:themeFill="accent3" w:themeFillTint="3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r>
              <w:rPr>
                <w:rFonts w:hint="eastAsia"/>
                <w:color w:val="0000FF"/>
                <w:u w:val="single"/>
                <w:lang w:val="en-US" w:eastAsia="zh-CN"/>
              </w:rPr>
              <w:t>审核周期内未发生</w:t>
            </w:r>
            <w:r>
              <w:rPr>
                <w:rFonts w:hint="eastAsia"/>
                <w:color w:val="0000FF"/>
                <w:u w:val="single"/>
              </w:rPr>
              <w:t xml:space="preserve">      </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color w:val="0000FF"/>
                <w:u w:val="single"/>
                <w:lang w:val="en-US" w:eastAsia="zh-CN"/>
              </w:rPr>
              <w:t>审核周期内未发生体系更新情况</w:t>
            </w:r>
            <w:r>
              <w:rPr>
                <w:rFonts w:hint="eastAsia"/>
                <w:u w:val="single"/>
                <w:lang w:val="en-US" w:eastAsia="zh-CN"/>
              </w:rPr>
              <w:t xml:space="preserve"> </w:t>
            </w:r>
            <w:r>
              <w:rPr>
                <w:rFonts w:hint="eastAsia"/>
                <w:u w:val="single"/>
              </w:rPr>
              <w:t xml:space="preserve">    </w:t>
            </w:r>
            <w:r>
              <w:rPr>
                <w:rFonts w:hint="eastAsia"/>
              </w:rPr>
              <w:t xml:space="preserve"> </w:t>
            </w:r>
            <w:r>
              <w:t>，作为输入报告给管理评审。</w:t>
            </w:r>
          </w:p>
          <w:p/>
        </w:tc>
        <w:tc>
          <w:tcPr>
            <w:tcW w:w="1585" w:type="dxa"/>
            <w:vMerge w:val="continue"/>
            <w:shd w:val="clear" w:color="auto" w:fill="EBF1DE" w:themeFill="accent3" w:themeFillTint="32"/>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2A1B1"/>
    <w:multiLevelType w:val="singleLevel"/>
    <w:tmpl w:val="B1C2A1B1"/>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E76061C7"/>
    <w:multiLevelType w:val="singleLevel"/>
    <w:tmpl w:val="E76061C7"/>
    <w:lvl w:ilvl="0" w:tentative="0">
      <w:start w:val="1"/>
      <w:numFmt w:val="decimal"/>
      <w:suff w:val="nothing"/>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2715A1DF"/>
    <w:multiLevelType w:val="singleLevel"/>
    <w:tmpl w:val="2715A1DF"/>
    <w:lvl w:ilvl="0" w:tentative="0">
      <w:start w:val="1"/>
      <w:numFmt w:val="decimal"/>
      <w:suff w:val="space"/>
      <w:lvlText w:val="%1."/>
      <w:lvlJc w:val="left"/>
    </w:lvl>
  </w:abstractNum>
  <w:abstractNum w:abstractNumId="5">
    <w:nsid w:val="642B7DFC"/>
    <w:multiLevelType w:val="singleLevel"/>
    <w:tmpl w:val="642B7DFC"/>
    <w:lvl w:ilvl="0" w:tentative="0">
      <w:start w:val="1"/>
      <w:numFmt w:val="decimal"/>
      <w:suff w:val="space"/>
      <w:lvlText w:val="%1."/>
      <w:lvlJc w:val="left"/>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1377F"/>
    <w:rsid w:val="000237F6"/>
    <w:rsid w:val="0003373A"/>
    <w:rsid w:val="000400E2"/>
    <w:rsid w:val="00053043"/>
    <w:rsid w:val="00062E46"/>
    <w:rsid w:val="00077C57"/>
    <w:rsid w:val="000E6B21"/>
    <w:rsid w:val="000E7D69"/>
    <w:rsid w:val="001037D1"/>
    <w:rsid w:val="00111EBB"/>
    <w:rsid w:val="001140D6"/>
    <w:rsid w:val="00126B2A"/>
    <w:rsid w:val="001301E2"/>
    <w:rsid w:val="001A2D7F"/>
    <w:rsid w:val="001A336D"/>
    <w:rsid w:val="001F1502"/>
    <w:rsid w:val="00203518"/>
    <w:rsid w:val="0023692C"/>
    <w:rsid w:val="002805E0"/>
    <w:rsid w:val="002822F1"/>
    <w:rsid w:val="002939AD"/>
    <w:rsid w:val="002A7D96"/>
    <w:rsid w:val="002E061E"/>
    <w:rsid w:val="002E5925"/>
    <w:rsid w:val="00304BD2"/>
    <w:rsid w:val="00314AF6"/>
    <w:rsid w:val="003263CD"/>
    <w:rsid w:val="00332DD3"/>
    <w:rsid w:val="00334BC0"/>
    <w:rsid w:val="003359ED"/>
    <w:rsid w:val="00337922"/>
    <w:rsid w:val="00340867"/>
    <w:rsid w:val="00380837"/>
    <w:rsid w:val="003A198A"/>
    <w:rsid w:val="00410914"/>
    <w:rsid w:val="0042042C"/>
    <w:rsid w:val="00454842"/>
    <w:rsid w:val="00477A20"/>
    <w:rsid w:val="0048201E"/>
    <w:rsid w:val="0048635A"/>
    <w:rsid w:val="0049215F"/>
    <w:rsid w:val="004B2B8D"/>
    <w:rsid w:val="004D161C"/>
    <w:rsid w:val="004E753A"/>
    <w:rsid w:val="005203B8"/>
    <w:rsid w:val="00531A59"/>
    <w:rsid w:val="00536930"/>
    <w:rsid w:val="00542263"/>
    <w:rsid w:val="00564E53"/>
    <w:rsid w:val="00571451"/>
    <w:rsid w:val="00593F84"/>
    <w:rsid w:val="005B7968"/>
    <w:rsid w:val="005C6B53"/>
    <w:rsid w:val="005D5659"/>
    <w:rsid w:val="005E2DC1"/>
    <w:rsid w:val="005F0777"/>
    <w:rsid w:val="00600C20"/>
    <w:rsid w:val="00644FE2"/>
    <w:rsid w:val="00651ED1"/>
    <w:rsid w:val="00660E47"/>
    <w:rsid w:val="00663F71"/>
    <w:rsid w:val="0067640C"/>
    <w:rsid w:val="00691D92"/>
    <w:rsid w:val="006D7C48"/>
    <w:rsid w:val="006E678B"/>
    <w:rsid w:val="006E7B1D"/>
    <w:rsid w:val="0070341D"/>
    <w:rsid w:val="00705D46"/>
    <w:rsid w:val="00714E0C"/>
    <w:rsid w:val="007757F3"/>
    <w:rsid w:val="00782A29"/>
    <w:rsid w:val="007860F5"/>
    <w:rsid w:val="007C1B48"/>
    <w:rsid w:val="007E3B15"/>
    <w:rsid w:val="007E6AEB"/>
    <w:rsid w:val="008630EE"/>
    <w:rsid w:val="008973EE"/>
    <w:rsid w:val="008C05BC"/>
    <w:rsid w:val="008C60FD"/>
    <w:rsid w:val="008E670C"/>
    <w:rsid w:val="0090032F"/>
    <w:rsid w:val="00910EB7"/>
    <w:rsid w:val="00920906"/>
    <w:rsid w:val="00923731"/>
    <w:rsid w:val="009315A7"/>
    <w:rsid w:val="009344FA"/>
    <w:rsid w:val="009637A6"/>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C589C"/>
    <w:rsid w:val="00AF0AAB"/>
    <w:rsid w:val="00B50FD7"/>
    <w:rsid w:val="00B646E3"/>
    <w:rsid w:val="00B64A32"/>
    <w:rsid w:val="00B801A2"/>
    <w:rsid w:val="00B82D4A"/>
    <w:rsid w:val="00B93797"/>
    <w:rsid w:val="00BA5DC8"/>
    <w:rsid w:val="00BB07DF"/>
    <w:rsid w:val="00BB34A7"/>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E27364"/>
    <w:rsid w:val="02C75A20"/>
    <w:rsid w:val="032F5195"/>
    <w:rsid w:val="034F668F"/>
    <w:rsid w:val="03A0688A"/>
    <w:rsid w:val="03A32F8E"/>
    <w:rsid w:val="03AC3D8E"/>
    <w:rsid w:val="03CE483E"/>
    <w:rsid w:val="03CF54E8"/>
    <w:rsid w:val="0405614C"/>
    <w:rsid w:val="046E797D"/>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274F3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D61049"/>
    <w:rsid w:val="13EB79B2"/>
    <w:rsid w:val="145B46D3"/>
    <w:rsid w:val="14C400FD"/>
    <w:rsid w:val="14D5407F"/>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5B7C8D"/>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8948AE"/>
    <w:rsid w:val="1AAF33A8"/>
    <w:rsid w:val="1AB42370"/>
    <w:rsid w:val="1ACD09C2"/>
    <w:rsid w:val="1ACF1254"/>
    <w:rsid w:val="1AED5B63"/>
    <w:rsid w:val="1B462375"/>
    <w:rsid w:val="1B5E3B97"/>
    <w:rsid w:val="1BC5069A"/>
    <w:rsid w:val="1C392A3A"/>
    <w:rsid w:val="1C6465C0"/>
    <w:rsid w:val="1CB1322F"/>
    <w:rsid w:val="1D0723A1"/>
    <w:rsid w:val="1D3F332D"/>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5B68EA"/>
    <w:rsid w:val="226B2F60"/>
    <w:rsid w:val="22813299"/>
    <w:rsid w:val="23461CA8"/>
    <w:rsid w:val="238A1BAA"/>
    <w:rsid w:val="23900E62"/>
    <w:rsid w:val="23996C88"/>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DF72FA"/>
    <w:rsid w:val="29F77BA5"/>
    <w:rsid w:val="2A3A6E77"/>
    <w:rsid w:val="2A85024C"/>
    <w:rsid w:val="2B0D2F04"/>
    <w:rsid w:val="2B1D2572"/>
    <w:rsid w:val="2B206A2D"/>
    <w:rsid w:val="2B4C1179"/>
    <w:rsid w:val="2BAC5760"/>
    <w:rsid w:val="2BD60481"/>
    <w:rsid w:val="2BEA3FA7"/>
    <w:rsid w:val="2C2E44D4"/>
    <w:rsid w:val="2C3E7250"/>
    <w:rsid w:val="2C575891"/>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8817F8"/>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6E2A0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9E04D90"/>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771A54"/>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84060F"/>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172AB6"/>
    <w:rsid w:val="50286CDF"/>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283162"/>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884147"/>
    <w:rsid w:val="58B728A2"/>
    <w:rsid w:val="58B868EB"/>
    <w:rsid w:val="590D059A"/>
    <w:rsid w:val="592802C2"/>
    <w:rsid w:val="5978735A"/>
    <w:rsid w:val="59A13904"/>
    <w:rsid w:val="59D37462"/>
    <w:rsid w:val="59E42114"/>
    <w:rsid w:val="59E710C8"/>
    <w:rsid w:val="59F34F80"/>
    <w:rsid w:val="5A1C59A1"/>
    <w:rsid w:val="5A386EB4"/>
    <w:rsid w:val="5A407674"/>
    <w:rsid w:val="5A432974"/>
    <w:rsid w:val="5A5D24E4"/>
    <w:rsid w:val="5A6A20C5"/>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9A4BC5"/>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5802FD"/>
    <w:rsid w:val="626F54FE"/>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155A1F"/>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27495B"/>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381E5F"/>
    <w:rsid w:val="734F0911"/>
    <w:rsid w:val="736054C4"/>
    <w:rsid w:val="736C572D"/>
    <w:rsid w:val="73A422EB"/>
    <w:rsid w:val="74103E55"/>
    <w:rsid w:val="744B4C6A"/>
    <w:rsid w:val="745B622A"/>
    <w:rsid w:val="753E2D2E"/>
    <w:rsid w:val="75DB13A5"/>
    <w:rsid w:val="75E552E3"/>
    <w:rsid w:val="75EC38CD"/>
    <w:rsid w:val="760D7976"/>
    <w:rsid w:val="76174057"/>
    <w:rsid w:val="7648538B"/>
    <w:rsid w:val="76577132"/>
    <w:rsid w:val="76BD747C"/>
    <w:rsid w:val="76CD52EB"/>
    <w:rsid w:val="76FE004A"/>
    <w:rsid w:val="77462C4C"/>
    <w:rsid w:val="77A268F6"/>
    <w:rsid w:val="77CC3658"/>
    <w:rsid w:val="780F54C3"/>
    <w:rsid w:val="782C6CF7"/>
    <w:rsid w:val="78633445"/>
    <w:rsid w:val="78680ECD"/>
    <w:rsid w:val="7880670B"/>
    <w:rsid w:val="78EE7F5B"/>
    <w:rsid w:val="78F11CE1"/>
    <w:rsid w:val="78F66955"/>
    <w:rsid w:val="79053EDA"/>
    <w:rsid w:val="79097264"/>
    <w:rsid w:val="791D3993"/>
    <w:rsid w:val="79202162"/>
    <w:rsid w:val="7924138B"/>
    <w:rsid w:val="7938460C"/>
    <w:rsid w:val="79826449"/>
    <w:rsid w:val="79D339B9"/>
    <w:rsid w:val="7A200C95"/>
    <w:rsid w:val="7A594332"/>
    <w:rsid w:val="7A8564DB"/>
    <w:rsid w:val="7AB3096A"/>
    <w:rsid w:val="7AC22B97"/>
    <w:rsid w:val="7ACB083F"/>
    <w:rsid w:val="7B1F77A4"/>
    <w:rsid w:val="7B292799"/>
    <w:rsid w:val="7B593EC6"/>
    <w:rsid w:val="7BEE23EC"/>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1372</Words>
  <Characters>7824</Characters>
  <Lines>65</Lines>
  <Paragraphs>18</Paragraphs>
  <TotalTime>0</TotalTime>
  <ScaleCrop>false</ScaleCrop>
  <LinksUpToDate>false</LinksUpToDate>
  <CharactersWithSpaces>9178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2022-09-07T08:50:37Z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FD80CA7ECCCE4F4FBA9F42EC26D52546</vt:lpwstr>
  </property>
</Properties>
</file>