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 w:hAnsi="仿宋" w:eastAsia="仿宋" w:cs="仿宋"/>
          <w:bCs/>
          <w:color w:val="000000"/>
          <w:sz w:val="21"/>
          <w:szCs w:val="21"/>
        </w:rPr>
      </w:pPr>
      <w:r>
        <w:rPr>
          <w:rFonts w:hint="eastAsia" w:ascii="仿宋" w:hAnsi="仿宋" w:eastAsia="仿宋" w:cs="仿宋"/>
          <w:bCs/>
          <w:color w:val="000000"/>
          <w:sz w:val="21"/>
          <w:szCs w:val="21"/>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28"/>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2" w:type="dxa"/>
            <w:vMerge w:val="restart"/>
            <w:vAlign w:val="center"/>
          </w:tcPr>
          <w:p>
            <w:pPr>
              <w:spacing w:before="120" w:line="360" w:lineRule="auto"/>
              <w:jc w:val="center"/>
              <w:rPr>
                <w:rFonts w:hint="eastAsia" w:ascii="仿宋" w:hAnsi="仿宋" w:eastAsia="仿宋" w:cs="仿宋"/>
                <w:sz w:val="21"/>
                <w:szCs w:val="21"/>
              </w:rPr>
            </w:pPr>
            <w:r>
              <w:rPr>
                <w:rFonts w:hint="eastAsia" w:ascii="仿宋" w:hAnsi="仿宋" w:eastAsia="仿宋" w:cs="仿宋"/>
                <w:sz w:val="21"/>
                <w:szCs w:val="21"/>
              </w:rPr>
              <w:t>过程与活动、</w:t>
            </w:r>
          </w:p>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抽样计划</w:t>
            </w:r>
          </w:p>
        </w:tc>
        <w:tc>
          <w:tcPr>
            <w:tcW w:w="1228" w:type="dxa"/>
            <w:vMerge w:val="restart"/>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涉及</w:t>
            </w:r>
          </w:p>
          <w:p>
            <w:pPr>
              <w:spacing w:line="360" w:lineRule="auto"/>
              <w:rPr>
                <w:rFonts w:hint="eastAsia" w:ascii="仿宋" w:hAnsi="仿宋" w:eastAsia="仿宋" w:cs="仿宋"/>
                <w:sz w:val="21"/>
                <w:szCs w:val="21"/>
              </w:rPr>
            </w:pPr>
            <w:r>
              <w:rPr>
                <w:rFonts w:hint="eastAsia" w:ascii="仿宋" w:hAnsi="仿宋" w:eastAsia="仿宋" w:cs="仿宋"/>
                <w:sz w:val="21"/>
                <w:szCs w:val="21"/>
              </w:rPr>
              <w:t>条款</w:t>
            </w:r>
          </w:p>
        </w:tc>
        <w:tc>
          <w:tcPr>
            <w:tcW w:w="10943"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受审核部门：管理层    总经理：</w:t>
            </w:r>
            <w:r>
              <w:rPr>
                <w:rFonts w:hint="eastAsia" w:ascii="仿宋" w:hAnsi="仿宋" w:eastAsia="仿宋" w:cs="仿宋"/>
                <w:sz w:val="21"/>
                <w:szCs w:val="21"/>
                <w:lang w:eastAsia="zh-CN"/>
              </w:rPr>
              <w:t>董鹏</w:t>
            </w:r>
            <w:r>
              <w:rPr>
                <w:rFonts w:hint="eastAsia" w:ascii="仿宋" w:hAnsi="仿宋" w:eastAsia="仿宋" w:cs="仿宋"/>
                <w:sz w:val="21"/>
                <w:szCs w:val="21"/>
              </w:rPr>
              <w:t xml:space="preserve">   管理者代表：郭鹏</w:t>
            </w:r>
            <w:r>
              <w:rPr>
                <w:rFonts w:hint="eastAsia" w:ascii="仿宋" w:hAnsi="仿宋" w:eastAsia="仿宋" w:cs="仿宋"/>
                <w:bCs/>
                <w:sz w:val="21"/>
                <w:szCs w:val="21"/>
              </w:rPr>
              <w:t xml:space="preserve">     员工职业健康安全事务代表：张正霞</w:t>
            </w:r>
          </w:p>
        </w:tc>
        <w:tc>
          <w:tcPr>
            <w:tcW w:w="646" w:type="dxa"/>
            <w:vMerge w:val="restart"/>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2" w:type="dxa"/>
            <w:vMerge w:val="continue"/>
            <w:vAlign w:val="center"/>
          </w:tcPr>
          <w:p>
            <w:pPr>
              <w:spacing w:line="360" w:lineRule="auto"/>
              <w:rPr>
                <w:rFonts w:hint="eastAsia" w:ascii="仿宋" w:hAnsi="仿宋" w:eastAsia="仿宋" w:cs="仿宋"/>
                <w:sz w:val="21"/>
                <w:szCs w:val="21"/>
              </w:rPr>
            </w:pPr>
          </w:p>
        </w:tc>
        <w:tc>
          <w:tcPr>
            <w:tcW w:w="1228" w:type="dxa"/>
            <w:vMerge w:val="continue"/>
            <w:vAlign w:val="center"/>
          </w:tcPr>
          <w:p>
            <w:pPr>
              <w:spacing w:line="360" w:lineRule="auto"/>
              <w:rPr>
                <w:rFonts w:hint="eastAsia" w:ascii="仿宋" w:hAnsi="仿宋" w:eastAsia="仿宋" w:cs="仿宋"/>
                <w:sz w:val="21"/>
                <w:szCs w:val="21"/>
              </w:rPr>
            </w:pPr>
          </w:p>
        </w:tc>
        <w:tc>
          <w:tcPr>
            <w:tcW w:w="10943"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审核员：</w:t>
            </w:r>
            <w:r>
              <w:rPr>
                <w:rFonts w:hint="eastAsia" w:ascii="仿宋" w:hAnsi="仿宋" w:eastAsia="仿宋" w:cs="仿宋"/>
                <w:sz w:val="21"/>
                <w:szCs w:val="21"/>
                <w:lang w:val="en-US" w:eastAsia="zh-CN"/>
              </w:rPr>
              <w:t>强兴 田玉发</w:t>
            </w:r>
            <w:r>
              <w:rPr>
                <w:rFonts w:hint="eastAsia" w:ascii="仿宋" w:hAnsi="仿宋" w:eastAsia="仿宋" w:cs="仿宋"/>
                <w:sz w:val="21"/>
                <w:szCs w:val="21"/>
              </w:rPr>
              <w:t xml:space="preserve">           审核时间：202</w:t>
            </w:r>
            <w:r>
              <w:rPr>
                <w:rFonts w:hint="eastAsia" w:ascii="仿宋" w:hAnsi="仿宋" w:eastAsia="仿宋" w:cs="仿宋"/>
                <w:sz w:val="21"/>
                <w:szCs w:val="21"/>
                <w:lang w:val="en-US" w:eastAsia="zh-CN"/>
              </w:rPr>
              <w:t>2</w:t>
            </w:r>
            <w:r>
              <w:rPr>
                <w:rFonts w:hint="eastAsia" w:ascii="仿宋" w:hAnsi="仿宋" w:eastAsia="仿宋" w:cs="仿宋"/>
                <w:sz w:val="21"/>
                <w:szCs w:val="21"/>
              </w:rPr>
              <w:t>年</w:t>
            </w:r>
            <w:r>
              <w:rPr>
                <w:rFonts w:hint="eastAsia" w:ascii="仿宋" w:hAnsi="仿宋" w:eastAsia="仿宋" w:cs="仿宋"/>
                <w:sz w:val="21"/>
                <w:szCs w:val="21"/>
                <w:lang w:val="en-US" w:eastAsia="zh-CN"/>
              </w:rPr>
              <w:t>8</w:t>
            </w:r>
            <w:r>
              <w:rPr>
                <w:rFonts w:hint="eastAsia" w:ascii="仿宋" w:hAnsi="仿宋" w:eastAsia="仿宋" w:cs="仿宋"/>
                <w:sz w:val="21"/>
                <w:szCs w:val="21"/>
              </w:rPr>
              <w:t>月</w:t>
            </w:r>
            <w:r>
              <w:rPr>
                <w:rFonts w:hint="eastAsia" w:ascii="仿宋" w:hAnsi="仿宋" w:eastAsia="仿宋" w:cs="仿宋"/>
                <w:sz w:val="21"/>
                <w:szCs w:val="21"/>
                <w:lang w:val="en-US" w:eastAsia="zh-CN"/>
              </w:rPr>
              <w:t>23</w:t>
            </w:r>
            <w:r>
              <w:rPr>
                <w:rFonts w:hint="eastAsia" w:ascii="仿宋" w:hAnsi="仿宋" w:eastAsia="仿宋" w:cs="仿宋"/>
                <w:sz w:val="21"/>
                <w:szCs w:val="21"/>
              </w:rPr>
              <w:t>日</w:t>
            </w:r>
          </w:p>
        </w:tc>
        <w:tc>
          <w:tcPr>
            <w:tcW w:w="646" w:type="dxa"/>
            <w:vMerge w:val="continue"/>
          </w:tcPr>
          <w:p>
            <w:pPr>
              <w:spacing w:line="36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Merge w:val="continue"/>
            <w:vAlign w:val="center"/>
          </w:tcPr>
          <w:p>
            <w:pPr>
              <w:spacing w:line="360" w:lineRule="auto"/>
              <w:rPr>
                <w:rFonts w:hint="eastAsia" w:ascii="仿宋" w:hAnsi="仿宋" w:eastAsia="仿宋" w:cs="仿宋"/>
                <w:sz w:val="21"/>
                <w:szCs w:val="21"/>
              </w:rPr>
            </w:pPr>
          </w:p>
        </w:tc>
        <w:tc>
          <w:tcPr>
            <w:tcW w:w="1228" w:type="dxa"/>
            <w:vMerge w:val="continue"/>
            <w:vAlign w:val="center"/>
          </w:tcPr>
          <w:p>
            <w:pPr>
              <w:spacing w:line="360" w:lineRule="auto"/>
              <w:rPr>
                <w:rFonts w:hint="eastAsia" w:ascii="仿宋" w:hAnsi="仿宋" w:eastAsia="仿宋" w:cs="仿宋"/>
                <w:sz w:val="21"/>
                <w:szCs w:val="21"/>
              </w:rPr>
            </w:pPr>
          </w:p>
        </w:tc>
        <w:tc>
          <w:tcPr>
            <w:tcW w:w="10943" w:type="dxa"/>
            <w:vAlign w:val="center"/>
          </w:tcPr>
          <w:p>
            <w:pPr>
              <w:snapToGrid w:val="0"/>
              <w:spacing w:line="360" w:lineRule="auto"/>
              <w:rPr>
                <w:rFonts w:hint="eastAsia" w:ascii="仿宋" w:hAnsi="仿宋" w:eastAsia="仿宋" w:cs="仿宋"/>
                <w:sz w:val="21"/>
                <w:szCs w:val="21"/>
              </w:rPr>
            </w:pPr>
            <w:r>
              <w:rPr>
                <w:rFonts w:hint="eastAsia" w:ascii="仿宋" w:hAnsi="仿宋" w:eastAsia="仿宋" w:cs="仿宋"/>
                <w:sz w:val="21"/>
                <w:szCs w:val="21"/>
              </w:rPr>
              <w:t>审核条款：</w:t>
            </w:r>
          </w:p>
          <w:p>
            <w:pPr>
              <w:snapToGrid w:val="0"/>
              <w:spacing w:line="360" w:lineRule="auto"/>
              <w:rPr>
                <w:rFonts w:hint="eastAsia" w:ascii="仿宋" w:hAnsi="仿宋" w:eastAsia="仿宋" w:cs="仿宋"/>
                <w:sz w:val="21"/>
                <w:szCs w:val="21"/>
              </w:rPr>
            </w:pPr>
            <w:r>
              <w:rPr>
                <w:rFonts w:hint="eastAsia" w:ascii="仿宋" w:hAnsi="仿宋" w:eastAsia="仿宋" w:cs="仿宋"/>
                <w:sz w:val="21"/>
                <w:szCs w:val="21"/>
              </w:rPr>
              <w:t>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Q6.3变更的策划、7.1.1（EO7.1）资源总则、9.3管理评审、10.1改进、10.3持续改进，</w:t>
            </w:r>
          </w:p>
        </w:tc>
        <w:tc>
          <w:tcPr>
            <w:tcW w:w="646" w:type="dxa"/>
            <w:vMerge w:val="continue"/>
          </w:tcPr>
          <w:p>
            <w:pPr>
              <w:spacing w:line="360" w:lineRule="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理解组织及其环境</w:t>
            </w:r>
          </w:p>
          <w:p>
            <w:pPr>
              <w:spacing w:line="360" w:lineRule="auto"/>
              <w:rPr>
                <w:rFonts w:hint="eastAsia" w:ascii="仿宋" w:hAnsi="仿宋" w:eastAsia="仿宋" w:cs="仿宋"/>
                <w:sz w:val="21"/>
                <w:szCs w:val="21"/>
              </w:rPr>
            </w:pPr>
          </w:p>
        </w:tc>
        <w:tc>
          <w:tcPr>
            <w:tcW w:w="1228"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QEO：4.1</w:t>
            </w:r>
          </w:p>
          <w:p>
            <w:pPr>
              <w:spacing w:line="360" w:lineRule="auto"/>
              <w:rPr>
                <w:rFonts w:hint="eastAsia" w:ascii="仿宋" w:hAnsi="仿宋" w:eastAsia="仿宋" w:cs="仿宋"/>
                <w:sz w:val="21"/>
                <w:szCs w:val="21"/>
              </w:rPr>
            </w:pPr>
          </w:p>
        </w:tc>
        <w:tc>
          <w:tcPr>
            <w:tcW w:w="10943" w:type="dxa"/>
            <w:vAlign w:val="center"/>
          </w:tcPr>
          <w:p>
            <w:pPr>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提供《质量/环境/职业健康安全/管理手册》，对公司地理位置、国内市场地位、法律法规要求、公司内部文化观价值观、内外部环境变化等均作出描述。</w:t>
            </w:r>
          </w:p>
          <w:p>
            <w:pPr>
              <w:spacing w:line="360" w:lineRule="auto"/>
              <w:ind w:firstLine="420" w:firstLineChars="200"/>
              <w:jc w:val="left"/>
              <w:rPr>
                <w:rFonts w:hint="default" w:ascii="仿宋" w:hAnsi="仿宋" w:eastAsia="仿宋" w:cs="仿宋"/>
                <w:sz w:val="21"/>
                <w:szCs w:val="21"/>
                <w:lang w:val="en-US" w:eastAsia="zh-CN"/>
              </w:rPr>
            </w:pPr>
            <w:r>
              <w:rPr>
                <w:rFonts w:hint="eastAsia" w:ascii="仿宋" w:hAnsi="仿宋" w:eastAsia="仿宋" w:cs="仿宋"/>
                <w:sz w:val="21"/>
                <w:szCs w:val="21"/>
              </w:rPr>
              <w:t>公司位于环渤海经济协作圈中部，中国弯头管件之都盐山县境内，地理位置十分优越，交通便利，运输快捷。主要从事锻制法兰、管件的加工销售，防腐保温耐磨管件、管道支吊架、电厂配件、焊接结构件、钢材、钢管、阀门、五金配件的销售；20</w:t>
            </w:r>
            <w:r>
              <w:rPr>
                <w:rFonts w:hint="eastAsia" w:ascii="仿宋" w:hAnsi="仿宋" w:eastAsia="仿宋" w:cs="仿宋"/>
                <w:sz w:val="21"/>
                <w:szCs w:val="21"/>
                <w:lang w:val="en-US" w:eastAsia="zh-CN"/>
              </w:rPr>
              <w:t>21.8.13</w:t>
            </w:r>
            <w:r>
              <w:rPr>
                <w:rFonts w:hint="eastAsia" w:ascii="仿宋" w:hAnsi="仿宋" w:eastAsia="仿宋" w:cs="仿宋"/>
                <w:sz w:val="21"/>
                <w:szCs w:val="21"/>
              </w:rPr>
              <w:t>获编号：TS2713238- 202</w:t>
            </w:r>
            <w:r>
              <w:rPr>
                <w:rFonts w:hint="eastAsia" w:ascii="仿宋" w:hAnsi="仿宋" w:eastAsia="仿宋" w:cs="仿宋"/>
                <w:sz w:val="21"/>
                <w:szCs w:val="21"/>
                <w:lang w:val="en-US" w:eastAsia="zh-CN"/>
              </w:rPr>
              <w:t>5</w:t>
            </w:r>
            <w:r>
              <w:rPr>
                <w:rFonts w:hint="eastAsia" w:ascii="仿宋" w:hAnsi="仿宋" w:eastAsia="仿宋" w:cs="仿宋"/>
                <w:sz w:val="21"/>
                <w:szCs w:val="21"/>
              </w:rPr>
              <w:t xml:space="preserve">  中国人民共和国特种设备制造许可证(压力管道元件)，有效期：202</w:t>
            </w:r>
            <w:r>
              <w:rPr>
                <w:rFonts w:hint="eastAsia" w:ascii="仿宋" w:hAnsi="仿宋" w:eastAsia="仿宋" w:cs="仿宋"/>
                <w:sz w:val="21"/>
                <w:szCs w:val="21"/>
                <w:lang w:val="en-US" w:eastAsia="zh-CN"/>
              </w:rPr>
              <w:t>5</w:t>
            </w:r>
            <w:r>
              <w:rPr>
                <w:rFonts w:hint="eastAsia" w:ascii="仿宋" w:hAnsi="仿宋" w:eastAsia="仿宋" w:cs="仿宋"/>
                <w:sz w:val="21"/>
                <w:szCs w:val="21"/>
              </w:rPr>
              <w:t>年</w:t>
            </w:r>
            <w:r>
              <w:rPr>
                <w:rFonts w:hint="eastAsia" w:ascii="仿宋" w:hAnsi="仿宋" w:eastAsia="仿宋" w:cs="仿宋"/>
                <w:sz w:val="21"/>
                <w:szCs w:val="21"/>
                <w:lang w:val="en-US" w:eastAsia="zh-CN"/>
              </w:rPr>
              <w:t>8</w:t>
            </w:r>
            <w:r>
              <w:rPr>
                <w:rFonts w:hint="eastAsia" w:ascii="仿宋" w:hAnsi="仿宋" w:eastAsia="仿宋" w:cs="仿宋"/>
                <w:sz w:val="21"/>
                <w:szCs w:val="21"/>
              </w:rPr>
              <w:t>月1</w:t>
            </w:r>
            <w:r>
              <w:rPr>
                <w:rFonts w:hint="eastAsia" w:ascii="仿宋" w:hAnsi="仿宋" w:eastAsia="仿宋" w:cs="仿宋"/>
                <w:sz w:val="21"/>
                <w:szCs w:val="21"/>
                <w:lang w:val="en-US" w:eastAsia="zh-CN"/>
              </w:rPr>
              <w:t>2</w:t>
            </w:r>
            <w:r>
              <w:rPr>
                <w:rFonts w:hint="eastAsia" w:ascii="仿宋" w:hAnsi="仿宋" w:eastAsia="仿宋" w:cs="仿宋"/>
                <w:sz w:val="21"/>
                <w:szCs w:val="21"/>
              </w:rPr>
              <w:t>日</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见附件。</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与总经理沟通，简单介绍了企业的经营状况、顾客分布，介绍了公司文化的形成与发展、长短期发展目标、价值观的沟通，并对的公司内部环境和外部环境进行了分</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析。公司产品在行业内有一定的市场地位。</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公司管理体系设置了办公室、质检部、供销部、生产部。</w:t>
            </w:r>
          </w:p>
          <w:p>
            <w:pPr>
              <w:spacing w:line="360" w:lineRule="auto"/>
              <w:rPr>
                <w:rFonts w:hint="eastAsia" w:ascii="仿宋" w:hAnsi="仿宋" w:eastAsia="仿宋" w:cs="仿宋"/>
                <w:sz w:val="21"/>
                <w:szCs w:val="21"/>
              </w:rPr>
            </w:pPr>
            <w:r>
              <w:rPr>
                <w:rFonts w:hint="eastAsia" w:ascii="仿宋" w:hAnsi="仿宋" w:eastAsia="仿宋" w:cs="仿宋"/>
                <w:sz w:val="21"/>
                <w:szCs w:val="21"/>
              </w:rPr>
              <w:t>总经理说：公司推行管理体系的目的就是提高公司市场准入。总经理确定与</w:t>
            </w:r>
          </w:p>
          <w:p>
            <w:pPr>
              <w:spacing w:line="360" w:lineRule="auto"/>
              <w:rPr>
                <w:rFonts w:hint="eastAsia" w:ascii="仿宋" w:hAnsi="仿宋" w:eastAsia="仿宋" w:cs="仿宋"/>
                <w:sz w:val="21"/>
                <w:szCs w:val="21"/>
              </w:rPr>
            </w:pPr>
            <w:r>
              <w:rPr>
                <w:rFonts w:hint="eastAsia" w:ascii="仿宋" w:hAnsi="仿宋" w:eastAsia="仿宋" w:cs="仿宋"/>
                <w:sz w:val="21"/>
                <w:szCs w:val="21"/>
              </w:rPr>
              <w:t>本公司管理目标和战略方向相关并影响实现管理体系预期结果的各种内部因</w:t>
            </w:r>
          </w:p>
          <w:p>
            <w:pPr>
              <w:spacing w:line="360" w:lineRule="auto"/>
              <w:rPr>
                <w:rFonts w:hint="eastAsia" w:ascii="仿宋" w:hAnsi="仿宋" w:eastAsia="仿宋" w:cs="仿宋"/>
                <w:sz w:val="21"/>
                <w:szCs w:val="21"/>
              </w:rPr>
            </w:pPr>
            <w:r>
              <w:rPr>
                <w:rFonts w:hint="eastAsia" w:ascii="仿宋" w:hAnsi="仿宋" w:eastAsia="仿宋" w:cs="仿宋"/>
                <w:sz w:val="21"/>
                <w:szCs w:val="21"/>
              </w:rPr>
              <w:t>素和外部因素（国际、国家、地区和当地的各种法律法规、技术、竞争、文</w:t>
            </w:r>
          </w:p>
          <w:p>
            <w:pPr>
              <w:spacing w:line="360" w:lineRule="auto"/>
              <w:rPr>
                <w:rFonts w:hint="eastAsia" w:ascii="仿宋" w:hAnsi="仿宋" w:eastAsia="仿宋" w:cs="仿宋"/>
                <w:sz w:val="21"/>
                <w:szCs w:val="21"/>
              </w:rPr>
            </w:pPr>
            <w:r>
              <w:rPr>
                <w:rFonts w:hint="eastAsia" w:ascii="仿宋" w:hAnsi="仿宋" w:eastAsia="仿宋" w:cs="仿宋"/>
                <w:sz w:val="21"/>
                <w:szCs w:val="21"/>
              </w:rPr>
              <w:t>化和社会因素等）。这些因素包括了需要考虑的正面和负面因素或条件。公</w:t>
            </w:r>
          </w:p>
          <w:p>
            <w:pPr>
              <w:spacing w:line="360" w:lineRule="auto"/>
              <w:rPr>
                <w:rFonts w:hint="eastAsia" w:ascii="仿宋" w:hAnsi="仿宋" w:eastAsia="仿宋" w:cs="仿宋"/>
                <w:sz w:val="21"/>
                <w:szCs w:val="21"/>
              </w:rPr>
            </w:pPr>
            <w:r>
              <w:rPr>
                <w:rFonts w:hint="eastAsia" w:ascii="仿宋" w:hAnsi="仿宋" w:eastAsia="仿宋" w:cs="仿宋"/>
                <w:sz w:val="21"/>
                <w:szCs w:val="21"/>
              </w:rPr>
              <w:t>司每年办公室根据由公司销售人员从市场、客户、网络等搜集到的信息并结</w:t>
            </w:r>
          </w:p>
          <w:p>
            <w:pPr>
              <w:spacing w:line="360" w:lineRule="auto"/>
              <w:rPr>
                <w:rFonts w:hint="eastAsia" w:ascii="仿宋" w:hAnsi="仿宋" w:eastAsia="仿宋" w:cs="仿宋"/>
                <w:sz w:val="21"/>
                <w:szCs w:val="21"/>
              </w:rPr>
            </w:pPr>
            <w:r>
              <w:rPr>
                <w:rFonts w:hint="eastAsia" w:ascii="仿宋" w:hAnsi="仿宋" w:eastAsia="仿宋" w:cs="仿宋"/>
                <w:sz w:val="21"/>
                <w:szCs w:val="21"/>
              </w:rPr>
              <w:t>合公司自身业务运作情况进行分析，通过分析对这些内部和外部因素的相关</w:t>
            </w:r>
          </w:p>
          <w:p>
            <w:pPr>
              <w:spacing w:line="360" w:lineRule="auto"/>
              <w:rPr>
                <w:rFonts w:hint="eastAsia" w:ascii="仿宋" w:hAnsi="仿宋" w:eastAsia="仿宋" w:cs="仿宋"/>
                <w:sz w:val="21"/>
                <w:szCs w:val="21"/>
              </w:rPr>
            </w:pPr>
            <w:r>
              <w:rPr>
                <w:rFonts w:hint="eastAsia" w:ascii="仿宋" w:hAnsi="仿宋" w:eastAsia="仿宋" w:cs="仿宋"/>
                <w:sz w:val="21"/>
                <w:szCs w:val="21"/>
              </w:rPr>
              <w:t>信息进行监视和评审以确保其充分和适宜。</w:t>
            </w:r>
          </w:p>
        </w:tc>
        <w:tc>
          <w:tcPr>
            <w:tcW w:w="646" w:type="dxa"/>
          </w:tcPr>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理解相关方的需求和期望</w:t>
            </w:r>
          </w:p>
        </w:tc>
        <w:tc>
          <w:tcPr>
            <w:tcW w:w="1228"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QEO：4.2</w:t>
            </w:r>
          </w:p>
        </w:tc>
        <w:tc>
          <w:tcPr>
            <w:tcW w:w="10943"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提供了《组织的相关方需求和期望调查表》，相关方包括顾客、供方、员工、政府部门、审核机构、股东等。相关方需求和期望：检测能力符合顾客要求、及时交货、价格合理；合作双赢、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hint="eastAsia" w:ascii="仿宋" w:hAnsi="仿宋" w:eastAsia="仿宋" w:cs="仿宋"/>
                <w:sz w:val="21"/>
                <w:szCs w:val="21"/>
                <w:lang w:val="zh-CN"/>
              </w:rPr>
              <w:t>。</w:t>
            </w:r>
            <w:r>
              <w:rPr>
                <w:rFonts w:hint="eastAsia" w:ascii="仿宋" w:hAnsi="仿宋" w:eastAsia="仿宋" w:cs="仿宋"/>
                <w:sz w:val="21"/>
                <w:szCs w:val="21"/>
              </w:rPr>
              <w:t>公司对这些相关方及其要求的相关信息进行制定责任部门制定每年进行一次评审，以便于理解和持续满足相关方的需求和期望。</w:t>
            </w:r>
          </w:p>
          <w:p>
            <w:pPr>
              <w:spacing w:line="360" w:lineRule="auto"/>
              <w:rPr>
                <w:rFonts w:hint="eastAsia" w:ascii="仿宋" w:hAnsi="仿宋" w:eastAsia="仿宋" w:cs="仿宋"/>
                <w:sz w:val="21"/>
                <w:szCs w:val="21"/>
              </w:rPr>
            </w:pPr>
            <w:r>
              <w:rPr>
                <w:rFonts w:hint="eastAsia" w:ascii="仿宋" w:hAnsi="仿宋" w:eastAsia="仿宋" w:cs="仿宋"/>
                <w:sz w:val="21"/>
                <w:szCs w:val="21"/>
              </w:rPr>
              <w:t>本公司考虑以下相关方：--顾客；--最终用户或受益人；股东；---外部供应商；--雇员及其他为组织工作者；--法律法规及监管机关；--地方社区团体；--非政府组织等。</w:t>
            </w:r>
          </w:p>
          <w:p>
            <w:pPr>
              <w:spacing w:line="360" w:lineRule="auto"/>
              <w:rPr>
                <w:rFonts w:hint="eastAsia" w:ascii="仿宋" w:hAnsi="仿宋" w:eastAsia="仿宋" w:cs="仿宋"/>
                <w:sz w:val="21"/>
                <w:szCs w:val="21"/>
              </w:rPr>
            </w:pPr>
            <w:r>
              <w:rPr>
                <w:rFonts w:hint="eastAsia" w:ascii="仿宋" w:hAnsi="仿宋" w:eastAsia="仿宋" w:cs="仿宋"/>
                <w:sz w:val="21"/>
                <w:szCs w:val="21"/>
              </w:rPr>
              <w:t>目前顾客的主要需求期望是：提供顾客满意的生产产品和销售产品和服务。</w:t>
            </w:r>
          </w:p>
        </w:tc>
        <w:tc>
          <w:tcPr>
            <w:tcW w:w="646" w:type="dxa"/>
          </w:tcPr>
          <w:p>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质量/环境/职业健康安全/职业健康安全管理体系的范围</w:t>
            </w:r>
          </w:p>
        </w:tc>
        <w:tc>
          <w:tcPr>
            <w:tcW w:w="1228"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QEO：4.3</w:t>
            </w:r>
          </w:p>
        </w:tc>
        <w:tc>
          <w:tcPr>
            <w:tcW w:w="10943"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经确认企业的管理体系范围是：</w:t>
            </w:r>
          </w:p>
          <w:p>
            <w:pPr>
              <w:spacing w:line="360" w:lineRule="auto"/>
              <w:rPr>
                <w:rFonts w:hint="eastAsia" w:ascii="仿宋" w:hAnsi="仿宋" w:eastAsia="仿宋" w:cs="仿宋"/>
                <w:sz w:val="21"/>
                <w:szCs w:val="21"/>
              </w:rPr>
            </w:pPr>
            <w:bookmarkStart w:id="0" w:name="审核范围"/>
            <w:r>
              <w:rPr>
                <w:rFonts w:hint="eastAsia" w:ascii="仿宋" w:hAnsi="仿宋" w:eastAsia="仿宋" w:cs="仿宋"/>
                <w:sz w:val="21"/>
                <w:szCs w:val="21"/>
              </w:rPr>
              <w:t>Q：许可范围内的锻制法兰、管件的加工销售，防腐保温耐磨管件、管道支吊架、电厂配件、焊接结构件、钢材、钢管、阀门、五金配件的销售</w:t>
            </w:r>
          </w:p>
          <w:p>
            <w:pPr>
              <w:spacing w:line="360" w:lineRule="auto"/>
              <w:rPr>
                <w:rFonts w:hint="eastAsia" w:ascii="仿宋" w:hAnsi="仿宋" w:eastAsia="仿宋" w:cs="仿宋"/>
                <w:sz w:val="21"/>
                <w:szCs w:val="21"/>
              </w:rPr>
            </w:pPr>
            <w:r>
              <w:rPr>
                <w:rFonts w:hint="eastAsia" w:ascii="仿宋" w:hAnsi="仿宋" w:eastAsia="仿宋" w:cs="仿宋"/>
                <w:sz w:val="21"/>
                <w:szCs w:val="21"/>
              </w:rPr>
              <w:t>E：许可范围内的锻制法兰、管件的加工销售，防腐保温耐磨管件、管道支吊架、电厂配件、焊接结构件、钢材、钢管、阀门、五金配件的销售及其所涉及场所相关的环境管理活动</w:t>
            </w:r>
          </w:p>
          <w:p>
            <w:pPr>
              <w:spacing w:line="360" w:lineRule="auto"/>
              <w:rPr>
                <w:rFonts w:hint="eastAsia" w:ascii="仿宋" w:hAnsi="仿宋" w:eastAsia="仿宋" w:cs="仿宋"/>
                <w:sz w:val="21"/>
                <w:szCs w:val="21"/>
              </w:rPr>
            </w:pPr>
            <w:r>
              <w:rPr>
                <w:rFonts w:hint="eastAsia" w:ascii="仿宋" w:hAnsi="仿宋" w:eastAsia="仿宋" w:cs="仿宋"/>
                <w:sz w:val="21"/>
                <w:szCs w:val="21"/>
              </w:rPr>
              <w:t>O：许可范围内的锻制法兰、管件的加工销售，防腐保温耐磨管件、管道支吊架、电厂配件、焊接结构件、钢材、钢管、阀门、五金配件的销售及其所涉及场所相关的职业健康安全管理活动</w:t>
            </w:r>
            <w:bookmarkEnd w:id="0"/>
            <w:r>
              <w:rPr>
                <w:rFonts w:hint="eastAsia" w:ascii="仿宋" w:hAnsi="仿宋" w:eastAsia="仿宋" w:cs="仿宋"/>
                <w:sz w:val="21"/>
                <w:szCs w:val="21"/>
              </w:rPr>
              <w:t>；</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不适用情况：企业按照传统工艺、顾客要求生产，无需设计，质量管理体系8.3条款不适用，</w:t>
            </w:r>
          </w:p>
          <w:p>
            <w:pPr>
              <w:pStyle w:val="3"/>
              <w:spacing w:line="360" w:lineRule="auto"/>
              <w:ind w:firstLine="422" w:firstLineChars="200"/>
              <w:jc w:val="both"/>
              <w:rPr>
                <w:rFonts w:hint="eastAsia" w:ascii="仿宋" w:hAnsi="仿宋" w:eastAsia="仿宋" w:cs="仿宋"/>
                <w:kern w:val="2"/>
                <w:sz w:val="21"/>
                <w:szCs w:val="21"/>
              </w:rPr>
            </w:pPr>
            <w:r>
              <w:rPr>
                <w:rFonts w:hint="eastAsia" w:ascii="仿宋" w:hAnsi="仿宋" w:eastAsia="仿宋" w:cs="仿宋"/>
                <w:kern w:val="2"/>
                <w:sz w:val="21"/>
                <w:szCs w:val="21"/>
              </w:rPr>
              <w:t>外包情况：运输。</w:t>
            </w:r>
          </w:p>
        </w:tc>
        <w:tc>
          <w:tcPr>
            <w:tcW w:w="646" w:type="dxa"/>
          </w:tcPr>
          <w:p>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质量/环境/职业健康安全管理体系及其过程</w:t>
            </w:r>
          </w:p>
        </w:tc>
        <w:tc>
          <w:tcPr>
            <w:tcW w:w="1228"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QEO：4.4</w:t>
            </w:r>
          </w:p>
        </w:tc>
        <w:tc>
          <w:tcPr>
            <w:tcW w:w="10943" w:type="dxa"/>
            <w:vAlign w:val="center"/>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公司按照标准建立了文件化的管理体系，编写了管理手册、程序文件、三级文件，文件中包括了QEO方针、目标,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公司文件适宜，符合公司规模、人员能力、过程及其相互作用的复杂程度。基本符合标准要求。</w:t>
            </w:r>
          </w:p>
          <w:p>
            <w:pPr>
              <w:spacing w:line="360" w:lineRule="auto"/>
              <w:rPr>
                <w:rFonts w:hint="eastAsia" w:ascii="仿宋" w:hAnsi="仿宋" w:eastAsia="仿宋" w:cs="仿宋"/>
                <w:sz w:val="21"/>
                <w:szCs w:val="21"/>
              </w:rPr>
            </w:pPr>
            <w:r>
              <w:rPr>
                <w:rFonts w:hint="eastAsia" w:ascii="仿宋" w:hAnsi="仿宋" w:eastAsia="仿宋" w:cs="仿宋"/>
                <w:sz w:val="21"/>
                <w:szCs w:val="21"/>
              </w:rPr>
              <w:t>公司确保按照标准的要求，建立、实施、保持和持续改进环境、职业健康安全管理体系，包括所需过程及其相互作用。公司确定环境、职业健康安全管理体系所需的过程及其在整个组织中的应用。</w:t>
            </w:r>
          </w:p>
          <w:p>
            <w:pPr>
              <w:pStyle w:val="3"/>
              <w:jc w:val="both"/>
              <w:rPr>
                <w:rFonts w:hint="eastAsia" w:ascii="仿宋" w:hAnsi="仿宋" w:eastAsia="仿宋" w:cs="仿宋"/>
                <w:sz w:val="21"/>
                <w:szCs w:val="21"/>
              </w:rPr>
            </w:pPr>
            <w:r>
              <w:rPr>
                <w:rFonts w:hint="eastAsia" w:ascii="仿宋" w:hAnsi="仿宋" w:eastAsia="仿宋" w:cs="仿宋"/>
                <w:kern w:val="2"/>
                <w:sz w:val="21"/>
                <w:szCs w:val="21"/>
              </w:rPr>
              <w:t>经现场确认，特殊过程：销售过程。</w:t>
            </w:r>
          </w:p>
        </w:tc>
        <w:tc>
          <w:tcPr>
            <w:tcW w:w="646" w:type="dxa"/>
          </w:tcPr>
          <w:p>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r>
              <w:rPr>
                <w:rFonts w:hint="eastAsia" w:ascii="仿宋" w:hAnsi="仿宋" w:eastAsia="仿宋" w:cs="仿宋"/>
                <w:sz w:val="21"/>
                <w:szCs w:val="21"/>
              </w:rPr>
              <w:t>领导作用与承诺</w:t>
            </w:r>
          </w:p>
          <w:p>
            <w:pPr>
              <w:spacing w:line="360" w:lineRule="auto"/>
              <w:rPr>
                <w:rFonts w:hint="eastAsia" w:ascii="仿宋" w:hAnsi="仿宋" w:eastAsia="仿宋" w:cs="仿宋"/>
                <w:sz w:val="21"/>
                <w:szCs w:val="21"/>
              </w:rPr>
            </w:pPr>
          </w:p>
        </w:tc>
        <w:tc>
          <w:tcPr>
            <w:tcW w:w="1228" w:type="dxa"/>
            <w:vAlign w:val="center"/>
          </w:tcPr>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r>
              <w:rPr>
                <w:rFonts w:hint="eastAsia" w:ascii="仿宋" w:hAnsi="仿宋" w:eastAsia="仿宋" w:cs="仿宋"/>
                <w:sz w:val="21"/>
                <w:szCs w:val="21"/>
              </w:rPr>
              <w:t>QEO：5.1</w:t>
            </w:r>
          </w:p>
        </w:tc>
        <w:tc>
          <w:tcPr>
            <w:tcW w:w="10943" w:type="dxa"/>
            <w:vAlign w:val="center"/>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通过管理评审、内部审核及有效实施纠正、改进措施等方法来有效完善和持续发展公司的管理体系。公司总经理是</w:t>
            </w:r>
            <w:r>
              <w:rPr>
                <w:rFonts w:hint="eastAsia" w:ascii="仿宋" w:hAnsi="仿宋" w:eastAsia="仿宋" w:cs="仿宋"/>
                <w:sz w:val="21"/>
                <w:szCs w:val="21"/>
                <w:lang w:eastAsia="zh-CN"/>
              </w:rPr>
              <w:t>董鹏</w:t>
            </w:r>
            <w:r>
              <w:rPr>
                <w:rFonts w:hint="eastAsia" w:ascii="仿宋" w:hAnsi="仿宋" w:eastAsia="仿宋" w:cs="仿宋"/>
                <w:sz w:val="21"/>
                <w:szCs w:val="21"/>
              </w:rPr>
              <w:t>，主要承诺有：</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1)对公司的质量、环境和职业健康安全管理体系的有效性承担责任；</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2)确保公司管理方针和目标的建立,并确保其与公司的战略方向及所处的环境相一致；</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3)确保公司质量、环境和职业健康安全管理体系要求融入到公司的各种业务过程；</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4)确保获得公司质量、环境和职业健康安全管理体系所需的资源；</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5)就有效的质量、环境和职业健康安全管理重要性和符合其管理体系要求的重要性进行沟通；</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6)确保公司的质量、环境和职业健康安全管理体系使用过程方法和基于风险的思维；</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7)确保公司质量、环境和职业健康安全管理体系的预期结果；</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8)促使、指导和支持员工努力提高管理体系的有效性，并对管理体系的有效性做出贡献；</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9)推动质量、环境和职业健康安全管理体系的改进；</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10)支持其他管理者履行其相关领域的职责。</w:t>
            </w:r>
          </w:p>
        </w:tc>
        <w:tc>
          <w:tcPr>
            <w:tcW w:w="646" w:type="dxa"/>
          </w:tcPr>
          <w:p>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92" w:type="dxa"/>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方针</w:t>
            </w:r>
          </w:p>
        </w:tc>
        <w:tc>
          <w:tcPr>
            <w:tcW w:w="1228"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QEO：5.2</w:t>
            </w:r>
          </w:p>
        </w:tc>
        <w:tc>
          <w:tcPr>
            <w:tcW w:w="10943" w:type="dxa"/>
            <w:vAlign w:val="center"/>
          </w:tcPr>
          <w:p>
            <w:pPr>
              <w:pStyle w:val="5"/>
              <w:tabs>
                <w:tab w:val="left" w:pos="0"/>
                <w:tab w:val="left" w:pos="180"/>
              </w:tabs>
              <w:spacing w:line="360" w:lineRule="auto"/>
              <w:rPr>
                <w:rFonts w:hint="eastAsia" w:ascii="仿宋" w:hAnsi="仿宋" w:eastAsia="仿宋" w:cs="仿宋"/>
                <w:sz w:val="21"/>
                <w:szCs w:val="21"/>
              </w:rPr>
            </w:pPr>
            <w:r>
              <w:rPr>
                <w:rFonts w:hint="eastAsia" w:ascii="仿宋" w:hAnsi="仿宋" w:eastAsia="仿宋" w:cs="仿宋"/>
                <w:sz w:val="21"/>
                <w:szCs w:val="21"/>
              </w:rPr>
              <w:t>公司的质量、环境和职业健康安全管理方针：</w:t>
            </w:r>
          </w:p>
          <w:p>
            <w:pPr>
              <w:pStyle w:val="5"/>
              <w:tabs>
                <w:tab w:val="left" w:pos="0"/>
                <w:tab w:val="left" w:pos="180"/>
              </w:tabs>
              <w:spacing w:line="360" w:lineRule="auto"/>
              <w:rPr>
                <w:rFonts w:hint="eastAsia" w:ascii="仿宋" w:hAnsi="仿宋" w:eastAsia="仿宋" w:cs="仿宋"/>
                <w:sz w:val="21"/>
                <w:szCs w:val="21"/>
              </w:rPr>
            </w:pPr>
            <w:r>
              <w:rPr>
                <w:rFonts w:hint="eastAsia" w:ascii="仿宋" w:hAnsi="仿宋" w:eastAsia="仿宋" w:cs="仿宋"/>
                <w:sz w:val="21"/>
                <w:szCs w:val="21"/>
              </w:rPr>
              <w:t xml:space="preserve">    方针:坚持标准，持续改进，争创一流，顾客满意。</w:t>
            </w:r>
          </w:p>
          <w:p>
            <w:pPr>
              <w:pStyle w:val="5"/>
              <w:tabs>
                <w:tab w:val="left" w:pos="0"/>
                <w:tab w:val="left" w:pos="180"/>
              </w:tabs>
              <w:spacing w:line="360" w:lineRule="auto"/>
              <w:rPr>
                <w:rFonts w:hint="eastAsia" w:ascii="仿宋" w:hAnsi="仿宋" w:eastAsia="仿宋" w:cs="仿宋"/>
                <w:sz w:val="21"/>
                <w:szCs w:val="21"/>
              </w:rPr>
            </w:pPr>
            <w:r>
              <w:rPr>
                <w:rFonts w:hint="eastAsia" w:ascii="仿宋" w:hAnsi="仿宋" w:eastAsia="仿宋" w:cs="仿宋"/>
                <w:sz w:val="21"/>
                <w:szCs w:val="21"/>
              </w:rPr>
              <w:t xml:space="preserve">   安全第一，预防为主；遵规守法，减污降耗；持续发展。</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公司以质量、环境、职业健康安全标准为基础，结合公司实际特制定管理方针。与</w:t>
            </w:r>
            <w:r>
              <w:rPr>
                <w:rFonts w:hint="eastAsia" w:ascii="仿宋" w:hAnsi="仿宋" w:eastAsia="仿宋" w:cs="仿宋"/>
                <w:sz w:val="21"/>
                <w:szCs w:val="21"/>
                <w:lang w:eastAsia="zh-CN"/>
              </w:rPr>
              <w:t>董鹏</w:t>
            </w:r>
            <w:r>
              <w:rPr>
                <w:rFonts w:hint="eastAsia" w:ascii="仿宋" w:hAnsi="仿宋" w:eastAsia="仿宋" w:cs="仿宋"/>
                <w:sz w:val="21"/>
                <w:szCs w:val="21"/>
              </w:rPr>
              <w:t>进行交谈，对方针内涵的理解较深刻。方针能为制定目标提供框架，方针基本符合标准的要求。</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总经理</w:t>
            </w:r>
            <w:r>
              <w:rPr>
                <w:rFonts w:hint="eastAsia" w:ascii="仿宋" w:hAnsi="仿宋" w:eastAsia="仿宋" w:cs="仿宋"/>
                <w:sz w:val="21"/>
                <w:szCs w:val="21"/>
                <w:lang w:eastAsia="zh-CN"/>
              </w:rPr>
              <w:t>董鹏</w:t>
            </w:r>
            <w:r>
              <w:rPr>
                <w:rFonts w:hint="eastAsia" w:ascii="仿宋" w:hAnsi="仿宋" w:eastAsia="仿宋" w:cs="仿宋"/>
                <w:sz w:val="21"/>
                <w:szCs w:val="21"/>
              </w:rPr>
              <w:t>用会议、文件等手段保证管理方针为全体员工理解并落实到工作中。总经理</w:t>
            </w:r>
            <w:r>
              <w:rPr>
                <w:rFonts w:hint="eastAsia" w:ascii="仿宋" w:hAnsi="仿宋" w:eastAsia="仿宋" w:cs="仿宋"/>
                <w:sz w:val="21"/>
                <w:szCs w:val="21"/>
                <w:lang w:eastAsia="zh-CN"/>
              </w:rPr>
              <w:t>董鹏</w:t>
            </w:r>
            <w:r>
              <w:rPr>
                <w:rFonts w:hint="eastAsia" w:ascii="仿宋" w:hAnsi="仿宋" w:eastAsia="仿宋" w:cs="仿宋"/>
                <w:sz w:val="21"/>
                <w:szCs w:val="21"/>
              </w:rPr>
              <w:t>说管理评审时对方针的持续适宜性进行了评审，有评审记录。</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以上管理方针通过文件、培训等形式将公司管理方针传达给所有为公司工作或代表公司的人员，相关方也可通过办公室获取公司管理方针</w:t>
            </w:r>
          </w:p>
        </w:tc>
        <w:tc>
          <w:tcPr>
            <w:tcW w:w="646" w:type="dxa"/>
          </w:tcPr>
          <w:p>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组织的岗位、职责和权限</w:t>
            </w:r>
          </w:p>
          <w:p>
            <w:pPr>
              <w:spacing w:line="360" w:lineRule="auto"/>
              <w:jc w:val="center"/>
              <w:rPr>
                <w:rFonts w:hint="eastAsia" w:ascii="仿宋" w:hAnsi="仿宋" w:eastAsia="仿宋" w:cs="仿宋"/>
                <w:sz w:val="21"/>
                <w:szCs w:val="21"/>
              </w:rPr>
            </w:pPr>
          </w:p>
        </w:tc>
        <w:tc>
          <w:tcPr>
            <w:tcW w:w="1228"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QEO：5.3</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 </w:t>
            </w:r>
          </w:p>
        </w:tc>
        <w:tc>
          <w:tcPr>
            <w:tcW w:w="10943" w:type="dxa"/>
            <w:vAlign w:val="center"/>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郭鹏为管理体系的管理者代表。其职责和权限规定如下：</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确保本公司管理体系所需的过程得到建立、实施和保持，代表</w:t>
            </w:r>
            <w:r>
              <w:rPr>
                <w:rFonts w:hint="eastAsia" w:ascii="仿宋" w:hAnsi="仿宋" w:eastAsia="仿宋" w:cs="仿宋"/>
                <w:sz w:val="21"/>
                <w:szCs w:val="21"/>
                <w:lang w:eastAsia="zh-CN"/>
              </w:rPr>
              <w:t>董鹏</w:t>
            </w:r>
            <w:r>
              <w:rPr>
                <w:rFonts w:hint="eastAsia" w:ascii="仿宋" w:hAnsi="仿宋" w:eastAsia="仿宋" w:cs="仿宋"/>
                <w:sz w:val="21"/>
                <w:szCs w:val="21"/>
              </w:rPr>
              <w:t>行使职权；</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询问管代郭鹏，职责回答正确。</w:t>
            </w:r>
          </w:p>
        </w:tc>
        <w:tc>
          <w:tcPr>
            <w:tcW w:w="646" w:type="dxa"/>
          </w:tcPr>
          <w:p>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应对风险和机会的措施</w:t>
            </w:r>
          </w:p>
        </w:tc>
        <w:tc>
          <w:tcPr>
            <w:tcW w:w="1228" w:type="dxa"/>
            <w:vAlign w:val="center"/>
          </w:tcPr>
          <w:p>
            <w:pPr>
              <w:rPr>
                <w:rFonts w:hint="eastAsia" w:ascii="仿宋" w:hAnsi="仿宋" w:eastAsia="仿宋" w:cs="仿宋"/>
                <w:sz w:val="21"/>
                <w:szCs w:val="21"/>
              </w:rPr>
            </w:pPr>
            <w:r>
              <w:rPr>
                <w:rFonts w:hint="eastAsia" w:ascii="仿宋" w:hAnsi="仿宋" w:eastAsia="仿宋" w:cs="仿宋"/>
                <w:sz w:val="21"/>
                <w:szCs w:val="21"/>
              </w:rPr>
              <w:t>Q：6.1</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EO： 6.1.1</w:t>
            </w:r>
          </w:p>
        </w:tc>
        <w:tc>
          <w:tcPr>
            <w:tcW w:w="10943" w:type="dxa"/>
            <w:vAlign w:val="center"/>
          </w:tcPr>
          <w:p>
            <w:pPr>
              <w:pStyle w:val="5"/>
              <w:rPr>
                <w:rFonts w:hint="eastAsia" w:ascii="仿宋" w:hAnsi="仿宋" w:eastAsia="仿宋" w:cs="仿宋"/>
                <w:sz w:val="21"/>
                <w:szCs w:val="21"/>
              </w:rPr>
            </w:pPr>
            <w:r>
              <w:rPr>
                <w:rFonts w:hint="eastAsia" w:ascii="仿宋" w:hAnsi="仿宋" w:eastAsia="仿宋" w:cs="仿宋"/>
                <w:sz w:val="21"/>
                <w:szCs w:val="21"/>
              </w:rPr>
              <w:t>提供《风险和机遇的应对控制程序》，对组织内外的风险和机遇进行了策划。提供“风险排查和机遇评估分析表”，识别了风险的类型、类别、风险和机遇识别、风险和机遇的评估、风险和机遇应对措施、执行情况等：风险的类型：外部因素、外部因素；风险的类别法规要求、相关方要求、社会、竞争、文化、产品供应；</w:t>
            </w:r>
          </w:p>
          <w:p>
            <w:pPr>
              <w:pStyle w:val="5"/>
              <w:rPr>
                <w:rFonts w:hint="eastAsia" w:ascii="仿宋" w:hAnsi="仿宋" w:eastAsia="仿宋" w:cs="仿宋"/>
                <w:sz w:val="21"/>
                <w:szCs w:val="21"/>
              </w:rPr>
            </w:pPr>
            <w:r>
              <w:rPr>
                <w:rFonts w:hint="eastAsia" w:ascii="仿宋" w:hAnsi="仿宋" w:eastAsia="仿宋" w:cs="仿宋"/>
                <w:sz w:val="21"/>
                <w:szCs w:val="21"/>
              </w:rPr>
              <w:t>风险、机遇：从客户开发、合同评审、产品交付、领导作用、信息交流、采购管理、仓库管理等方面进行分析评估。从严重程度、发生概率、可探测性、RPN等确定风险和机遇。</w:t>
            </w:r>
          </w:p>
          <w:p>
            <w:pPr>
              <w:pStyle w:val="5"/>
              <w:rPr>
                <w:rFonts w:hint="eastAsia" w:ascii="仿宋" w:hAnsi="仿宋" w:eastAsia="仿宋" w:cs="仿宋"/>
                <w:sz w:val="21"/>
                <w:szCs w:val="21"/>
              </w:rPr>
            </w:pPr>
            <w:r>
              <w:rPr>
                <w:rFonts w:hint="eastAsia" w:ascii="仿宋" w:hAnsi="仿宋" w:eastAsia="仿宋" w:cs="仿宋"/>
                <w:sz w:val="21"/>
                <w:szCs w:val="21"/>
              </w:rPr>
              <w:t>应对措施：与风险、机遇相适应。</w:t>
            </w:r>
          </w:p>
        </w:tc>
        <w:tc>
          <w:tcPr>
            <w:tcW w:w="646" w:type="dxa"/>
          </w:tcPr>
          <w:p>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目标和措施计划（管理方案）</w:t>
            </w:r>
          </w:p>
        </w:tc>
        <w:tc>
          <w:tcPr>
            <w:tcW w:w="1228" w:type="dxa"/>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QEO：6.2</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EO：6.1.4</w:t>
            </w:r>
          </w:p>
        </w:tc>
        <w:tc>
          <w:tcPr>
            <w:tcW w:w="10943"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查PR/QES—SC—2019《管理手册》，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ascii="仿宋" w:hAnsi="仿宋" w:eastAsia="仿宋" w:cs="仿宋"/>
                <w:sz w:val="21"/>
                <w:szCs w:val="21"/>
              </w:rPr>
            </w:pPr>
            <w:r>
              <w:rPr>
                <w:rFonts w:hint="eastAsia" w:ascii="仿宋" w:hAnsi="仿宋" w:eastAsia="仿宋" w:cs="仿宋"/>
                <w:sz w:val="21"/>
                <w:szCs w:val="21"/>
              </w:rPr>
              <w:t>查《管理手册》，制定了公司目标，并在管理体系所需的相关职能。</w:t>
            </w:r>
          </w:p>
          <w:p>
            <w:pPr>
              <w:overflowPunct w:val="0"/>
              <w:autoSpaceDE w:val="0"/>
              <w:autoSpaceDN w:val="0"/>
              <w:adjustRightInd w:val="0"/>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公司的质量、环境和职业健康安全管理方针：</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    坚持标准，持续改进，争创一流，顾客满意。安全第一，预防为主；遵规守法，减污降耗；持续发展。</w:t>
            </w:r>
          </w:p>
          <w:p>
            <w:pPr>
              <w:tabs>
                <w:tab w:val="left" w:pos="1115"/>
              </w:tabs>
              <w:spacing w:line="360" w:lineRule="auto"/>
              <w:rPr>
                <w:rFonts w:hint="eastAsia" w:ascii="仿宋" w:hAnsi="仿宋" w:eastAsia="仿宋" w:cs="仿宋"/>
                <w:sz w:val="21"/>
                <w:szCs w:val="21"/>
              </w:rPr>
            </w:pPr>
            <w:r>
              <w:rPr>
                <w:rFonts w:hint="eastAsia" w:ascii="仿宋" w:hAnsi="仿宋" w:eastAsia="仿宋" w:cs="仿宋"/>
                <w:sz w:val="21"/>
                <w:szCs w:val="21"/>
              </w:rPr>
              <w:t xml:space="preserve"> 质量目标：</w:t>
            </w:r>
          </w:p>
          <w:p>
            <w:pPr>
              <w:numPr>
                <w:ilvl w:val="0"/>
                <w:numId w:val="1"/>
              </w:numPr>
              <w:tabs>
                <w:tab w:val="left" w:pos="1115"/>
              </w:tabs>
              <w:spacing w:line="360" w:lineRule="auto"/>
              <w:rPr>
                <w:rFonts w:hint="eastAsia" w:ascii="仿宋" w:hAnsi="仿宋" w:eastAsia="仿宋" w:cs="仿宋"/>
                <w:sz w:val="21"/>
                <w:szCs w:val="21"/>
              </w:rPr>
            </w:pPr>
            <w:r>
              <w:rPr>
                <w:rFonts w:hint="eastAsia" w:ascii="仿宋" w:hAnsi="仿宋" w:eastAsia="仿宋" w:cs="仿宋"/>
                <w:sz w:val="21"/>
                <w:szCs w:val="21"/>
              </w:rPr>
              <w:t>顾客满意度达到90%以上；</w:t>
            </w:r>
          </w:p>
          <w:p>
            <w:pPr>
              <w:numPr>
                <w:ilvl w:val="0"/>
                <w:numId w:val="2"/>
              </w:numPr>
              <w:tabs>
                <w:tab w:val="left" w:pos="1115"/>
              </w:tabs>
              <w:spacing w:line="360" w:lineRule="auto"/>
              <w:ind w:left="418"/>
              <w:rPr>
                <w:rFonts w:hint="eastAsia" w:ascii="仿宋" w:hAnsi="仿宋" w:eastAsia="仿宋" w:cs="仿宋"/>
                <w:sz w:val="21"/>
                <w:szCs w:val="21"/>
              </w:rPr>
            </w:pPr>
            <w:r>
              <w:rPr>
                <w:rFonts w:hint="eastAsia" w:ascii="仿宋" w:hAnsi="仿宋" w:eastAsia="仿宋" w:cs="仿宋"/>
                <w:sz w:val="21"/>
                <w:szCs w:val="21"/>
              </w:rPr>
              <w:t>一次交验合格率达98%</w:t>
            </w:r>
          </w:p>
          <w:p>
            <w:pPr>
              <w:numPr>
                <w:ilvl w:val="0"/>
                <w:numId w:val="2"/>
              </w:numPr>
              <w:tabs>
                <w:tab w:val="left" w:pos="1115"/>
              </w:tabs>
              <w:spacing w:line="360" w:lineRule="auto"/>
              <w:ind w:left="418"/>
              <w:rPr>
                <w:rFonts w:hint="eastAsia" w:ascii="仿宋" w:hAnsi="仿宋" w:eastAsia="仿宋" w:cs="仿宋"/>
                <w:sz w:val="21"/>
                <w:szCs w:val="21"/>
              </w:rPr>
            </w:pPr>
            <w:r>
              <w:rPr>
                <w:rFonts w:hint="eastAsia" w:ascii="仿宋" w:hAnsi="仿宋" w:eastAsia="仿宋" w:cs="仿宋"/>
                <w:sz w:val="21"/>
                <w:szCs w:val="21"/>
              </w:rPr>
              <w:t>产品出厂合格率100％；;</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环境目标:</w:t>
            </w:r>
          </w:p>
          <w:p>
            <w:pPr>
              <w:spacing w:line="360" w:lineRule="auto"/>
              <w:ind w:left="235" w:leftChars="112" w:firstLine="210" w:firstLineChars="100"/>
              <w:jc w:val="left"/>
              <w:rPr>
                <w:rFonts w:hint="eastAsia" w:ascii="仿宋" w:hAnsi="仿宋" w:eastAsia="仿宋" w:cs="仿宋"/>
                <w:sz w:val="21"/>
                <w:szCs w:val="21"/>
              </w:rPr>
            </w:pPr>
            <w:r>
              <w:rPr>
                <w:rFonts w:hint="eastAsia" w:ascii="仿宋" w:hAnsi="仿宋" w:eastAsia="仿宋" w:cs="仿宋"/>
                <w:sz w:val="21"/>
                <w:szCs w:val="21"/>
              </w:rPr>
              <w:t>1、年度内重大环境事故为0；</w:t>
            </w:r>
          </w:p>
          <w:p>
            <w:pPr>
              <w:spacing w:line="360" w:lineRule="auto"/>
              <w:ind w:left="235" w:leftChars="112" w:firstLine="210" w:firstLineChars="100"/>
              <w:jc w:val="left"/>
              <w:rPr>
                <w:rFonts w:hint="eastAsia" w:ascii="仿宋" w:hAnsi="仿宋" w:eastAsia="仿宋" w:cs="仿宋"/>
                <w:sz w:val="21"/>
                <w:szCs w:val="21"/>
              </w:rPr>
            </w:pPr>
            <w:r>
              <w:rPr>
                <w:rFonts w:hint="eastAsia" w:ascii="仿宋" w:hAnsi="仿宋" w:eastAsia="仿宋" w:cs="仿宋"/>
                <w:sz w:val="21"/>
                <w:szCs w:val="21"/>
              </w:rPr>
              <w:t>2、固体废弃物处理率大于95%；</w:t>
            </w:r>
          </w:p>
          <w:p>
            <w:pPr>
              <w:spacing w:line="360" w:lineRule="auto"/>
              <w:ind w:left="235" w:leftChars="112" w:firstLine="210" w:firstLineChars="100"/>
              <w:jc w:val="left"/>
              <w:rPr>
                <w:rFonts w:hint="eastAsia" w:ascii="仿宋" w:hAnsi="仿宋" w:eastAsia="仿宋" w:cs="仿宋"/>
                <w:sz w:val="21"/>
                <w:szCs w:val="21"/>
              </w:rPr>
            </w:pPr>
            <w:r>
              <w:rPr>
                <w:rFonts w:hint="eastAsia" w:ascii="仿宋" w:hAnsi="仿宋" w:eastAsia="仿宋" w:cs="仿宋"/>
                <w:sz w:val="21"/>
                <w:szCs w:val="21"/>
              </w:rPr>
              <w:t>3、废水、废气、噪声达标排放；</w:t>
            </w:r>
          </w:p>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职业健康安全目标：</w:t>
            </w:r>
          </w:p>
          <w:p>
            <w:pPr>
              <w:spacing w:line="360" w:lineRule="auto"/>
              <w:ind w:firstLine="415" w:firstLineChars="198"/>
              <w:jc w:val="left"/>
              <w:rPr>
                <w:rFonts w:hint="eastAsia" w:ascii="仿宋" w:hAnsi="仿宋" w:eastAsia="仿宋" w:cs="仿宋"/>
                <w:sz w:val="21"/>
                <w:szCs w:val="21"/>
              </w:rPr>
            </w:pPr>
            <w:r>
              <w:rPr>
                <w:rFonts w:hint="eastAsia" w:ascii="仿宋" w:hAnsi="仿宋" w:eastAsia="仿宋" w:cs="仿宋"/>
                <w:sz w:val="21"/>
                <w:szCs w:val="21"/>
              </w:rPr>
              <w:t>1、无人身死亡事故；</w:t>
            </w:r>
          </w:p>
          <w:p>
            <w:pPr>
              <w:spacing w:line="360" w:lineRule="auto"/>
              <w:ind w:firstLine="415" w:firstLineChars="198"/>
              <w:jc w:val="left"/>
              <w:rPr>
                <w:rFonts w:hint="eastAsia" w:ascii="仿宋" w:hAnsi="仿宋" w:eastAsia="仿宋" w:cs="仿宋"/>
                <w:sz w:val="21"/>
                <w:szCs w:val="21"/>
              </w:rPr>
            </w:pPr>
            <w:r>
              <w:rPr>
                <w:rFonts w:hint="eastAsia" w:ascii="仿宋" w:hAnsi="仿宋" w:eastAsia="仿宋" w:cs="仿宋"/>
                <w:sz w:val="21"/>
                <w:szCs w:val="21"/>
              </w:rPr>
              <w:t>2、无重伤事故；轻伤事故控制在年度2次以内。</w:t>
            </w:r>
          </w:p>
          <w:p>
            <w:pPr>
              <w:spacing w:line="360" w:lineRule="auto"/>
              <w:ind w:firstLine="415" w:firstLineChars="198"/>
              <w:jc w:val="left"/>
              <w:rPr>
                <w:rFonts w:hint="eastAsia" w:ascii="仿宋" w:hAnsi="仿宋" w:eastAsia="仿宋" w:cs="仿宋"/>
                <w:sz w:val="21"/>
                <w:szCs w:val="21"/>
              </w:rPr>
            </w:pPr>
            <w:r>
              <w:rPr>
                <w:rFonts w:hint="eastAsia" w:ascii="仿宋" w:hAnsi="仿宋" w:eastAsia="仿宋" w:cs="仿宋"/>
                <w:sz w:val="21"/>
                <w:szCs w:val="21"/>
              </w:rPr>
              <w:t>3、无火灾爆炸事故。</w:t>
            </w:r>
          </w:p>
          <w:p>
            <w:pPr>
              <w:spacing w:line="360" w:lineRule="auto"/>
              <w:ind w:firstLine="415" w:firstLineChars="198"/>
              <w:jc w:val="left"/>
              <w:rPr>
                <w:rFonts w:hint="eastAsia" w:ascii="仿宋" w:hAnsi="仿宋" w:eastAsia="仿宋" w:cs="仿宋"/>
                <w:sz w:val="21"/>
                <w:szCs w:val="21"/>
              </w:rPr>
            </w:pPr>
            <w:r>
              <w:rPr>
                <w:rFonts w:hint="eastAsia" w:ascii="仿宋" w:hAnsi="仿宋" w:eastAsia="仿宋" w:cs="仿宋"/>
                <w:sz w:val="21"/>
                <w:szCs w:val="21"/>
              </w:rPr>
              <w:t>4、无重大交通事故。</w:t>
            </w:r>
          </w:p>
          <w:p>
            <w:pPr>
              <w:spacing w:line="360" w:lineRule="auto"/>
              <w:ind w:firstLine="415" w:firstLineChars="198"/>
              <w:jc w:val="left"/>
              <w:rPr>
                <w:rFonts w:hint="eastAsia" w:ascii="仿宋" w:hAnsi="仿宋" w:eastAsia="仿宋" w:cs="仿宋"/>
                <w:sz w:val="21"/>
                <w:szCs w:val="21"/>
              </w:rPr>
            </w:pPr>
            <w:r>
              <w:rPr>
                <w:rFonts w:hint="eastAsia" w:ascii="仿宋" w:hAnsi="仿宋" w:eastAsia="仿宋" w:cs="仿宋"/>
                <w:sz w:val="21"/>
                <w:szCs w:val="21"/>
              </w:rPr>
              <w:t>5、职业病发病率为0.</w:t>
            </w:r>
          </w:p>
          <w:p>
            <w:pPr>
              <w:spacing w:line="360" w:lineRule="auto"/>
              <w:rPr>
                <w:rFonts w:hint="eastAsia" w:ascii="仿宋" w:hAnsi="仿宋" w:eastAsia="仿宋" w:cs="仿宋"/>
                <w:sz w:val="21"/>
                <w:szCs w:val="21"/>
              </w:rPr>
            </w:pPr>
            <w:r>
              <w:rPr>
                <w:rFonts w:hint="eastAsia" w:ascii="仿宋" w:hAnsi="仿宋" w:eastAsia="仿宋" w:cs="仿宋"/>
                <w:sz w:val="21"/>
                <w:szCs w:val="21"/>
              </w:rPr>
              <w:t>组织对公司质量、环境、职业健康安全目标、指标予以分解，并在相关职能层次部门建立分目标，</w:t>
            </w:r>
          </w:p>
          <w:p>
            <w:pPr>
              <w:spacing w:line="360" w:lineRule="auto"/>
              <w:rPr>
                <w:rFonts w:hint="eastAsia" w:ascii="仿宋" w:hAnsi="仿宋" w:eastAsia="仿宋" w:cs="仿宋"/>
                <w:sz w:val="21"/>
                <w:szCs w:val="21"/>
              </w:rPr>
            </w:pPr>
            <w:r>
              <w:rPr>
                <w:rFonts w:hint="eastAsia" w:ascii="仿宋" w:hAnsi="仿宋" w:eastAsia="仿宋" w:cs="仿宋"/>
                <w:sz w:val="21"/>
                <w:szCs w:val="21"/>
              </w:rPr>
              <w:t>查见《目标、指标、管理方案实施情况检查表》，20</w:t>
            </w:r>
            <w:r>
              <w:rPr>
                <w:rFonts w:hint="eastAsia" w:ascii="仿宋" w:hAnsi="仿宋" w:eastAsia="仿宋" w:cs="仿宋"/>
                <w:sz w:val="21"/>
                <w:szCs w:val="21"/>
                <w:lang w:val="en-US" w:eastAsia="zh-CN"/>
              </w:rPr>
              <w:t>22.6.20</w:t>
            </w:r>
            <w:r>
              <w:rPr>
                <w:rFonts w:hint="eastAsia" w:ascii="仿宋" w:hAnsi="仿宋" w:eastAsia="仿宋" w:cs="仿宋"/>
                <w:sz w:val="21"/>
                <w:szCs w:val="21"/>
              </w:rPr>
              <w:t>统计均完成。</w:t>
            </w:r>
          </w:p>
        </w:tc>
        <w:tc>
          <w:tcPr>
            <w:tcW w:w="646" w:type="dxa"/>
          </w:tcPr>
          <w:p>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hint="eastAsia" w:ascii="仿宋" w:hAnsi="仿宋" w:eastAsia="仿宋" w:cs="仿宋"/>
                <w:sz w:val="21"/>
                <w:szCs w:val="21"/>
              </w:rPr>
            </w:pPr>
            <w:r>
              <w:rPr>
                <w:rFonts w:hint="eastAsia" w:ascii="仿宋" w:hAnsi="仿宋" w:eastAsia="仿宋" w:cs="仿宋"/>
                <w:sz w:val="21"/>
                <w:szCs w:val="21"/>
              </w:rPr>
              <w:t>变更的策划</w:t>
            </w:r>
          </w:p>
        </w:tc>
        <w:tc>
          <w:tcPr>
            <w:tcW w:w="1228" w:type="dxa"/>
            <w:vAlign w:val="center"/>
          </w:tcPr>
          <w:p>
            <w:pPr>
              <w:rPr>
                <w:rFonts w:hint="eastAsia" w:ascii="仿宋" w:hAnsi="仿宋" w:eastAsia="仿宋" w:cs="仿宋"/>
                <w:sz w:val="21"/>
                <w:szCs w:val="21"/>
              </w:rPr>
            </w:pPr>
            <w:r>
              <w:rPr>
                <w:rFonts w:hint="eastAsia" w:ascii="仿宋" w:hAnsi="仿宋" w:eastAsia="仿宋" w:cs="仿宋"/>
                <w:sz w:val="21"/>
                <w:szCs w:val="21"/>
              </w:rPr>
              <w:t>Q：6.3</w:t>
            </w:r>
          </w:p>
        </w:tc>
        <w:tc>
          <w:tcPr>
            <w:tcW w:w="10943" w:type="dxa"/>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tcPr>
          <w:p>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hint="eastAsia" w:ascii="仿宋" w:hAnsi="仿宋" w:eastAsia="仿宋" w:cs="仿宋"/>
                <w:sz w:val="21"/>
                <w:szCs w:val="21"/>
              </w:rPr>
            </w:pPr>
            <w:r>
              <w:rPr>
                <w:rFonts w:hint="eastAsia" w:ascii="仿宋" w:hAnsi="仿宋" w:eastAsia="仿宋" w:cs="仿宋"/>
                <w:sz w:val="21"/>
                <w:szCs w:val="21"/>
              </w:rPr>
              <w:t>资源</w:t>
            </w:r>
          </w:p>
        </w:tc>
        <w:tc>
          <w:tcPr>
            <w:tcW w:w="1228" w:type="dxa"/>
            <w:vAlign w:val="center"/>
          </w:tcPr>
          <w:p>
            <w:pPr>
              <w:rPr>
                <w:rFonts w:hint="eastAsia" w:ascii="仿宋" w:hAnsi="仿宋" w:eastAsia="仿宋" w:cs="仿宋"/>
                <w:sz w:val="21"/>
                <w:szCs w:val="21"/>
              </w:rPr>
            </w:pPr>
            <w:r>
              <w:rPr>
                <w:rFonts w:hint="eastAsia" w:ascii="仿宋" w:hAnsi="仿宋" w:eastAsia="仿宋" w:cs="仿宋"/>
                <w:sz w:val="21"/>
                <w:szCs w:val="21"/>
              </w:rPr>
              <w:t xml:space="preserve">Q：7.1.1  </w:t>
            </w:r>
          </w:p>
          <w:p>
            <w:pPr>
              <w:rPr>
                <w:rFonts w:hint="eastAsia" w:ascii="仿宋" w:hAnsi="仿宋" w:eastAsia="仿宋" w:cs="仿宋"/>
                <w:sz w:val="21"/>
                <w:szCs w:val="21"/>
              </w:rPr>
            </w:pPr>
            <w:r>
              <w:rPr>
                <w:rFonts w:hint="eastAsia" w:ascii="仿宋" w:hAnsi="仿宋" w:eastAsia="仿宋" w:cs="仿宋"/>
                <w:sz w:val="21"/>
                <w:szCs w:val="21"/>
              </w:rPr>
              <w:t>EO：7.1</w:t>
            </w:r>
          </w:p>
        </w:tc>
        <w:tc>
          <w:tcPr>
            <w:tcW w:w="10943" w:type="dxa"/>
            <w:vAlign w:val="center"/>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检测设备等基础设施以及必要的工作环境，配备较为充分。</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总经理</w:t>
            </w:r>
            <w:r>
              <w:rPr>
                <w:rFonts w:hint="eastAsia" w:ascii="仿宋" w:hAnsi="仿宋" w:eastAsia="仿宋" w:cs="仿宋"/>
                <w:sz w:val="21"/>
                <w:szCs w:val="21"/>
                <w:lang w:eastAsia="zh-CN"/>
              </w:rPr>
              <w:t>董鹏</w:t>
            </w:r>
            <w:r>
              <w:rPr>
                <w:rFonts w:hint="eastAsia" w:ascii="仿宋" w:hAnsi="仿宋" w:eastAsia="仿宋" w:cs="仿宋"/>
                <w:sz w:val="21"/>
                <w:szCs w:val="21"/>
              </w:rPr>
              <w:t>主持了今年的管理评审，对方针、目标的适宜性进行了评审，协助管代进行了内审，确保所需资源得到满足。</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高温补助、取暖费、口罩）福利费用和疫情防护等投入方面。</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现场观察及与领导沟通了解到，公司为确保管理体系的有效运行和持续改进，确保满足顾客要求，增强顾客满意，确定并提供了必要的资源，目前仓库和综合等资源配备基本能满足要求，机构设置合理。经过管理体系运行证明，现有资源可满足体系和产品的要求。</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公司目前的基础设施，能够满足当前质量/环境/职业健康安全/体系的要求。公司将依据经营发展的需要，会不断补充与增加。</w:t>
            </w:r>
          </w:p>
        </w:tc>
        <w:tc>
          <w:tcPr>
            <w:tcW w:w="646" w:type="dxa"/>
          </w:tcPr>
          <w:p>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92" w:type="dxa"/>
            <w:vAlign w:val="top"/>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协商与参与</w:t>
            </w:r>
          </w:p>
          <w:p>
            <w:pPr>
              <w:spacing w:line="360" w:lineRule="auto"/>
              <w:ind w:firstLine="420" w:firstLineChars="200"/>
              <w:jc w:val="left"/>
              <w:rPr>
                <w:rFonts w:hint="eastAsia" w:ascii="仿宋" w:hAnsi="仿宋" w:eastAsia="仿宋" w:cs="仿宋"/>
                <w:sz w:val="21"/>
                <w:szCs w:val="21"/>
              </w:rPr>
            </w:pPr>
          </w:p>
        </w:tc>
        <w:tc>
          <w:tcPr>
            <w:tcW w:w="1228" w:type="dxa"/>
            <w:vAlign w:val="top"/>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O 5.4 </w:t>
            </w:r>
          </w:p>
          <w:p>
            <w:pPr>
              <w:spacing w:line="360" w:lineRule="auto"/>
              <w:ind w:firstLine="420" w:firstLineChars="200"/>
              <w:jc w:val="left"/>
              <w:rPr>
                <w:rFonts w:hint="eastAsia" w:ascii="仿宋" w:hAnsi="仿宋" w:eastAsia="仿宋" w:cs="仿宋"/>
                <w:sz w:val="21"/>
                <w:szCs w:val="21"/>
              </w:rPr>
            </w:pPr>
          </w:p>
        </w:tc>
        <w:tc>
          <w:tcPr>
            <w:tcW w:w="10943" w:type="dxa"/>
            <w:vAlign w:val="top"/>
          </w:tcPr>
          <w:p>
            <w:pPr>
              <w:spacing w:line="360" w:lineRule="auto"/>
              <w:ind w:firstLine="460" w:firstLineChars="200"/>
              <w:jc w:val="left"/>
              <w:rPr>
                <w:rFonts w:hint="eastAsia" w:ascii="仿宋" w:hAnsi="仿宋" w:eastAsia="仿宋" w:cs="仿宋"/>
                <w:bCs/>
                <w:color w:val="000000"/>
                <w:spacing w:val="10"/>
                <w:sz w:val="21"/>
                <w:szCs w:val="21"/>
              </w:rPr>
            </w:pPr>
            <w:r>
              <w:rPr>
                <w:rFonts w:hint="eastAsia" w:ascii="仿宋" w:hAnsi="仿宋" w:eastAsia="仿宋" w:cs="仿宋"/>
                <w:bCs/>
                <w:color w:val="000000"/>
                <w:spacing w:val="10"/>
                <w:sz w:val="21"/>
                <w:szCs w:val="21"/>
              </w:rPr>
              <w:t>公司设立了安全事务代表，提供时间、培训、人力财力物力等资源，及时提供渠道，以获取清晰的、可理解的和相关的职业健康安全信息。考虑了确定和消除妨碍参与的障碍或壁垒，并尽可能减少那些无法消除的障碍或壁垒。明确了与非管理类工作人员的协商和参与内容。</w:t>
            </w:r>
          </w:p>
          <w:p>
            <w:pPr>
              <w:spacing w:line="360" w:lineRule="auto"/>
              <w:ind w:firstLine="460" w:firstLineChars="200"/>
              <w:jc w:val="left"/>
              <w:rPr>
                <w:rFonts w:hint="eastAsia" w:ascii="仿宋" w:hAnsi="仿宋" w:eastAsia="仿宋" w:cs="仿宋"/>
                <w:bCs/>
                <w:color w:val="000000"/>
                <w:spacing w:val="10"/>
                <w:sz w:val="21"/>
                <w:szCs w:val="21"/>
              </w:rPr>
            </w:pPr>
            <w:r>
              <w:rPr>
                <w:rFonts w:hint="eastAsia" w:ascii="仿宋" w:hAnsi="仿宋" w:eastAsia="仿宋" w:cs="仿宋"/>
                <w:bCs/>
                <w:color w:val="000000"/>
                <w:spacing w:val="10"/>
                <w:sz w:val="21"/>
                <w:szCs w:val="21"/>
              </w:rPr>
              <w:t>公司安全事务代表须经公司各部门会议选举，并正式公告。</w:t>
            </w:r>
          </w:p>
          <w:p>
            <w:pPr>
              <w:spacing w:line="360" w:lineRule="auto"/>
              <w:ind w:firstLine="460" w:firstLineChars="200"/>
              <w:jc w:val="left"/>
              <w:rPr>
                <w:rFonts w:hint="eastAsia" w:ascii="仿宋" w:hAnsi="仿宋" w:eastAsia="仿宋" w:cs="仿宋"/>
                <w:sz w:val="21"/>
                <w:szCs w:val="21"/>
              </w:rPr>
            </w:pPr>
            <w:r>
              <w:rPr>
                <w:rFonts w:hint="eastAsia" w:ascii="仿宋" w:hAnsi="仿宋" w:eastAsia="仿宋" w:cs="仿宋"/>
                <w:bCs/>
                <w:color w:val="000000"/>
                <w:spacing w:val="10"/>
                <w:sz w:val="21"/>
                <w:szCs w:val="21"/>
              </w:rPr>
              <w:t>与安全事务代表</w:t>
            </w:r>
            <w:r>
              <w:rPr>
                <w:rFonts w:hint="eastAsia" w:ascii="仿宋" w:hAnsi="仿宋" w:eastAsia="仿宋" w:cs="仿宋"/>
                <w:bCs/>
                <w:color w:val="000000"/>
                <w:spacing w:val="10"/>
                <w:sz w:val="21"/>
                <w:szCs w:val="21"/>
                <w:u w:val="single"/>
                <w:lang w:val="en-US" w:eastAsia="zh-CN"/>
              </w:rPr>
              <w:t>张正霞</w:t>
            </w:r>
            <w:r>
              <w:rPr>
                <w:rFonts w:hint="eastAsia" w:ascii="仿宋" w:hAnsi="仿宋" w:eastAsia="仿宋" w:cs="仿宋"/>
                <w:bCs/>
                <w:color w:val="000000"/>
                <w:spacing w:val="10"/>
                <w:sz w:val="21"/>
                <w:szCs w:val="21"/>
              </w:rPr>
              <w:t>交流其应当履行的职责和权限：收集员工对职业健康安全存在的问题和建议，向管理者代表和公司汇报职业健康安全存在的问题、提出意见和建议，并对公司职业健康安全管理体系的运行进行监督，为评审和改进职业健康安全管理体系提供依据。</w:t>
            </w:r>
          </w:p>
        </w:tc>
        <w:tc>
          <w:tcPr>
            <w:tcW w:w="646" w:type="dxa"/>
            <w:vAlign w:val="center"/>
          </w:tcPr>
          <w:p>
            <w:pPr>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92" w:type="dxa"/>
          </w:tcPr>
          <w:p>
            <w:pPr>
              <w:spacing w:line="360" w:lineRule="auto"/>
              <w:rPr>
                <w:rFonts w:hint="eastAsia" w:ascii="仿宋" w:hAnsi="仿宋" w:eastAsia="仿宋" w:cs="仿宋"/>
                <w:color w:val="000000" w:themeColor="text1"/>
                <w:sz w:val="21"/>
                <w:szCs w:val="21"/>
              </w:rPr>
            </w:pPr>
          </w:p>
          <w:p>
            <w:pPr>
              <w:spacing w:line="360" w:lineRule="auto"/>
              <w:rPr>
                <w:rFonts w:hint="eastAsia" w:ascii="仿宋" w:hAnsi="仿宋" w:eastAsia="仿宋" w:cs="仿宋"/>
                <w:color w:val="000000" w:themeColor="text1"/>
                <w:sz w:val="21"/>
                <w:szCs w:val="21"/>
              </w:rPr>
            </w:pPr>
          </w:p>
          <w:p>
            <w:pPr>
              <w:spacing w:line="360" w:lineRule="auto"/>
              <w:rPr>
                <w:rFonts w:hint="eastAsia" w:ascii="仿宋" w:hAnsi="仿宋" w:eastAsia="仿宋" w:cs="仿宋"/>
                <w:color w:val="000000" w:themeColor="text1"/>
                <w:sz w:val="21"/>
                <w:szCs w:val="21"/>
              </w:rPr>
            </w:pPr>
          </w:p>
          <w:p>
            <w:pPr>
              <w:spacing w:line="360" w:lineRule="auto"/>
              <w:rPr>
                <w:rFonts w:hint="eastAsia" w:ascii="仿宋" w:hAnsi="仿宋" w:eastAsia="仿宋" w:cs="仿宋"/>
                <w:color w:val="000000" w:themeColor="text1"/>
                <w:sz w:val="21"/>
                <w:szCs w:val="21"/>
              </w:rPr>
            </w:pPr>
          </w:p>
          <w:p>
            <w:pPr>
              <w:spacing w:line="360" w:lineRule="auto"/>
              <w:rPr>
                <w:rFonts w:hint="eastAsia" w:ascii="仿宋" w:hAnsi="仿宋" w:eastAsia="仿宋" w:cs="仿宋"/>
                <w:color w:val="000000" w:themeColor="text1"/>
                <w:sz w:val="21"/>
                <w:szCs w:val="21"/>
              </w:rPr>
            </w:pPr>
          </w:p>
          <w:p>
            <w:pPr>
              <w:spacing w:line="360" w:lineRule="auto"/>
              <w:rPr>
                <w:rFonts w:hint="eastAsia" w:ascii="仿宋" w:hAnsi="仿宋" w:eastAsia="仿宋" w:cs="仿宋"/>
                <w:color w:val="000000" w:themeColor="text1"/>
                <w:sz w:val="21"/>
                <w:szCs w:val="21"/>
              </w:rPr>
            </w:pPr>
          </w:p>
          <w:p>
            <w:pPr>
              <w:spacing w:line="360" w:lineRule="auto"/>
              <w:ind w:firstLine="210" w:firstLineChars="100"/>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管理评审</w:t>
            </w:r>
          </w:p>
          <w:p>
            <w:pPr>
              <w:spacing w:line="360" w:lineRule="auto"/>
              <w:rPr>
                <w:rFonts w:hint="eastAsia" w:ascii="仿宋" w:hAnsi="仿宋" w:eastAsia="仿宋" w:cs="仿宋"/>
                <w:color w:val="000000" w:themeColor="text1"/>
                <w:sz w:val="21"/>
                <w:szCs w:val="21"/>
              </w:rPr>
            </w:pPr>
          </w:p>
        </w:tc>
        <w:tc>
          <w:tcPr>
            <w:tcW w:w="1228" w:type="dxa"/>
          </w:tcPr>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sz w:val="21"/>
                <w:szCs w:val="21"/>
              </w:rPr>
            </w:pPr>
          </w:p>
          <w:p>
            <w:pPr>
              <w:spacing w:line="360" w:lineRule="auto"/>
              <w:rPr>
                <w:rFonts w:hint="eastAsia" w:ascii="仿宋" w:hAnsi="仿宋" w:eastAsia="仿宋" w:cs="仿宋"/>
                <w:color w:val="000000" w:themeColor="text1"/>
                <w:sz w:val="21"/>
                <w:szCs w:val="21"/>
              </w:rPr>
            </w:pPr>
            <w:r>
              <w:rPr>
                <w:rFonts w:hint="eastAsia" w:ascii="仿宋" w:hAnsi="仿宋" w:eastAsia="仿宋" w:cs="仿宋"/>
                <w:sz w:val="21"/>
                <w:szCs w:val="21"/>
              </w:rPr>
              <w:t>QEO：</w:t>
            </w:r>
            <w:r>
              <w:rPr>
                <w:rFonts w:hint="eastAsia" w:ascii="仿宋" w:hAnsi="仿宋" w:eastAsia="仿宋" w:cs="仿宋"/>
                <w:color w:val="000000" w:themeColor="text1"/>
                <w:sz w:val="21"/>
                <w:szCs w:val="21"/>
              </w:rPr>
              <w:t>9.3</w:t>
            </w:r>
          </w:p>
          <w:p>
            <w:pPr>
              <w:spacing w:line="360" w:lineRule="auto"/>
              <w:rPr>
                <w:rFonts w:hint="eastAsia" w:ascii="仿宋" w:hAnsi="仿宋" w:eastAsia="仿宋" w:cs="仿宋"/>
                <w:color w:val="000000" w:themeColor="text1"/>
                <w:sz w:val="21"/>
                <w:szCs w:val="21"/>
              </w:rPr>
            </w:pPr>
          </w:p>
          <w:p>
            <w:pPr>
              <w:spacing w:line="360" w:lineRule="auto"/>
              <w:rPr>
                <w:rFonts w:hint="eastAsia" w:ascii="仿宋" w:hAnsi="仿宋" w:eastAsia="仿宋" w:cs="仿宋"/>
                <w:sz w:val="21"/>
                <w:szCs w:val="21"/>
              </w:rPr>
            </w:pPr>
          </w:p>
        </w:tc>
        <w:tc>
          <w:tcPr>
            <w:tcW w:w="10943" w:type="dxa"/>
            <w:vAlign w:val="center"/>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公司编制并实施《管理评审控制程序》，规定管理评审每年至少进行一次，根据具体情况可以增加，增加审核由综合提出审核计划，报管理者代表批准后实施。</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查策划：在《管理评审程序》中明确了管理评审的实施要求。策划每年进行一次管理评审，间隔不超过12个月。</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查阅公司管理评审资料，提供：</w:t>
            </w:r>
          </w:p>
          <w:p>
            <w:pPr>
              <w:spacing w:line="360" w:lineRule="auto"/>
              <w:rPr>
                <w:rFonts w:hint="eastAsia" w:ascii="仿宋" w:hAnsi="仿宋" w:eastAsia="仿宋" w:cs="仿宋"/>
                <w:sz w:val="21"/>
                <w:szCs w:val="21"/>
              </w:rPr>
            </w:pPr>
            <w:r>
              <w:rPr>
                <w:rFonts w:hint="eastAsia" w:ascii="仿宋" w:hAnsi="仿宋" w:eastAsia="仿宋" w:cs="仿宋"/>
                <w:sz w:val="21"/>
                <w:szCs w:val="21"/>
              </w:rPr>
              <w:t>查《管理评审计划》</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评审时间：计划 20</w:t>
            </w:r>
            <w:r>
              <w:rPr>
                <w:rFonts w:hint="eastAsia" w:ascii="仿宋" w:hAnsi="仿宋" w:eastAsia="仿宋" w:cs="仿宋"/>
                <w:sz w:val="21"/>
                <w:szCs w:val="21"/>
                <w:lang w:val="en-US" w:eastAsia="zh-CN"/>
              </w:rPr>
              <w:t>22</w:t>
            </w:r>
            <w:r>
              <w:rPr>
                <w:rFonts w:hint="eastAsia" w:ascii="仿宋" w:hAnsi="仿宋" w:eastAsia="仿宋" w:cs="仿宋"/>
                <w:sz w:val="21"/>
                <w:szCs w:val="21"/>
              </w:rPr>
              <w:t>年</w:t>
            </w:r>
            <w:r>
              <w:rPr>
                <w:rFonts w:hint="eastAsia" w:ascii="仿宋" w:hAnsi="仿宋" w:eastAsia="仿宋" w:cs="仿宋"/>
                <w:sz w:val="21"/>
                <w:szCs w:val="21"/>
                <w:lang w:val="en-US" w:eastAsia="zh-CN"/>
              </w:rPr>
              <w:t>6</w:t>
            </w:r>
            <w:r>
              <w:rPr>
                <w:rFonts w:hint="eastAsia" w:ascii="仿宋" w:hAnsi="仿宋" w:eastAsia="仿宋" w:cs="仿宋"/>
                <w:sz w:val="21"/>
                <w:szCs w:val="21"/>
              </w:rPr>
              <w:t>月</w:t>
            </w:r>
            <w:r>
              <w:rPr>
                <w:rFonts w:hint="eastAsia" w:ascii="仿宋" w:hAnsi="仿宋" w:eastAsia="仿宋" w:cs="仿宋"/>
                <w:sz w:val="21"/>
                <w:szCs w:val="21"/>
                <w:lang w:val="en-US" w:eastAsia="zh-CN"/>
              </w:rPr>
              <w:t>30</w:t>
            </w:r>
            <w:r>
              <w:rPr>
                <w:rFonts w:hint="eastAsia" w:ascii="仿宋" w:hAnsi="仿宋" w:eastAsia="仿宋" w:cs="仿宋"/>
                <w:sz w:val="21"/>
                <w:szCs w:val="21"/>
              </w:rPr>
              <w:t>日进行，评审方式：会议评审，</w:t>
            </w:r>
          </w:p>
          <w:p>
            <w:pPr>
              <w:spacing w:line="360" w:lineRule="auto"/>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rPr>
              <w:t>编制：张正霞 ，审核：郭鹏  批准：</w:t>
            </w:r>
            <w:r>
              <w:rPr>
                <w:rFonts w:hint="eastAsia" w:ascii="仿宋" w:hAnsi="仿宋" w:eastAsia="仿宋" w:cs="仿宋"/>
                <w:sz w:val="21"/>
                <w:szCs w:val="21"/>
                <w:lang w:eastAsia="zh-CN"/>
              </w:rPr>
              <w:t>董鹏</w:t>
            </w:r>
            <w:r>
              <w:rPr>
                <w:rFonts w:hint="eastAsia" w:ascii="仿宋" w:hAnsi="仿宋" w:eastAsia="仿宋" w:cs="仿宋"/>
                <w:sz w:val="21"/>
                <w:szCs w:val="21"/>
              </w:rPr>
              <w:t>。日期：20</w:t>
            </w:r>
            <w:r>
              <w:rPr>
                <w:rFonts w:hint="eastAsia" w:ascii="仿宋" w:hAnsi="仿宋" w:eastAsia="仿宋" w:cs="仿宋"/>
                <w:sz w:val="21"/>
                <w:szCs w:val="21"/>
                <w:lang w:val="en-US" w:eastAsia="zh-CN"/>
              </w:rPr>
              <w:t>22.6.20</w:t>
            </w:r>
          </w:p>
          <w:p>
            <w:pPr>
              <w:pStyle w:val="3"/>
              <w:spacing w:line="360" w:lineRule="auto"/>
              <w:jc w:val="both"/>
              <w:rPr>
                <w:rFonts w:hint="eastAsia" w:ascii="仿宋" w:hAnsi="仿宋" w:eastAsia="仿宋" w:cs="仿宋"/>
                <w:sz w:val="21"/>
                <w:szCs w:val="21"/>
              </w:rPr>
            </w:pPr>
            <w:r>
              <w:rPr>
                <w:rFonts w:hint="eastAsia" w:ascii="仿宋" w:hAnsi="仿宋" w:eastAsia="仿宋" w:cs="仿宋"/>
                <w:sz w:val="21"/>
                <w:szCs w:val="21"/>
              </w:rPr>
              <w:t>《管理评审通知书》</w:t>
            </w:r>
          </w:p>
          <w:p>
            <w:pPr>
              <w:pStyle w:val="4"/>
              <w:spacing w:line="360" w:lineRule="auto"/>
              <w:ind w:left="0" w:firstLine="420" w:firstLineChars="200"/>
              <w:rPr>
                <w:rFonts w:hint="eastAsia" w:ascii="仿宋" w:hAnsi="仿宋" w:eastAsia="仿宋" w:cs="仿宋"/>
                <w:sz w:val="21"/>
                <w:szCs w:val="21"/>
              </w:rPr>
            </w:pPr>
            <w:r>
              <w:rPr>
                <w:rFonts w:hint="eastAsia" w:ascii="仿宋" w:hAnsi="仿宋" w:eastAsia="仿宋" w:cs="仿宋"/>
                <w:sz w:val="21"/>
                <w:szCs w:val="21"/>
              </w:rPr>
              <w:t>评审时间： 20</w:t>
            </w:r>
            <w:r>
              <w:rPr>
                <w:rFonts w:hint="eastAsia" w:ascii="仿宋" w:hAnsi="仿宋" w:eastAsia="仿宋" w:cs="仿宋"/>
                <w:sz w:val="21"/>
                <w:szCs w:val="21"/>
                <w:lang w:val="en-US" w:eastAsia="zh-CN"/>
              </w:rPr>
              <w:t>22</w:t>
            </w:r>
            <w:r>
              <w:rPr>
                <w:rFonts w:hint="eastAsia" w:ascii="仿宋" w:hAnsi="仿宋" w:eastAsia="仿宋" w:cs="仿宋"/>
                <w:sz w:val="21"/>
                <w:szCs w:val="21"/>
              </w:rPr>
              <w:t>年</w:t>
            </w:r>
            <w:r>
              <w:rPr>
                <w:rFonts w:hint="eastAsia" w:ascii="仿宋" w:hAnsi="仿宋" w:eastAsia="仿宋" w:cs="仿宋"/>
                <w:sz w:val="21"/>
                <w:szCs w:val="21"/>
                <w:lang w:val="en-US" w:eastAsia="zh-CN"/>
              </w:rPr>
              <w:t>6</w:t>
            </w:r>
            <w:r>
              <w:rPr>
                <w:rFonts w:hint="eastAsia" w:ascii="仿宋" w:hAnsi="仿宋" w:eastAsia="仿宋" w:cs="仿宋"/>
                <w:sz w:val="21"/>
                <w:szCs w:val="21"/>
              </w:rPr>
              <w:t>月</w:t>
            </w:r>
            <w:r>
              <w:rPr>
                <w:rFonts w:hint="eastAsia" w:ascii="仿宋" w:hAnsi="仿宋" w:eastAsia="仿宋" w:cs="仿宋"/>
                <w:sz w:val="21"/>
                <w:szCs w:val="21"/>
                <w:lang w:val="en-US" w:eastAsia="zh-CN"/>
              </w:rPr>
              <w:t>30</w:t>
            </w:r>
            <w:r>
              <w:rPr>
                <w:rFonts w:hint="eastAsia" w:ascii="仿宋" w:hAnsi="仿宋" w:eastAsia="仿宋" w:cs="仿宋"/>
                <w:sz w:val="21"/>
                <w:szCs w:val="21"/>
              </w:rPr>
              <w:t>日进行；评审地点：会议室 ；</w:t>
            </w:r>
          </w:p>
          <w:p>
            <w:pPr>
              <w:pStyle w:val="4"/>
              <w:spacing w:line="360" w:lineRule="auto"/>
              <w:ind w:left="0" w:firstLine="420" w:firstLineChars="200"/>
              <w:rPr>
                <w:rFonts w:hint="eastAsia" w:ascii="仿宋" w:hAnsi="仿宋" w:eastAsia="仿宋" w:cs="仿宋"/>
                <w:sz w:val="21"/>
                <w:szCs w:val="21"/>
              </w:rPr>
            </w:pPr>
            <w:r>
              <w:rPr>
                <w:rFonts w:hint="eastAsia" w:ascii="仿宋" w:hAnsi="仿宋" w:eastAsia="仿宋" w:cs="仿宋"/>
                <w:sz w:val="21"/>
                <w:szCs w:val="21"/>
              </w:rPr>
              <w:t>参加人员：总经理、管代及各部门负责人；</w:t>
            </w:r>
          </w:p>
          <w:p>
            <w:pPr>
              <w:pStyle w:val="4"/>
              <w:spacing w:line="360" w:lineRule="auto"/>
              <w:ind w:left="0" w:firstLine="420" w:firstLineChars="200"/>
              <w:rPr>
                <w:rFonts w:hint="eastAsia" w:ascii="仿宋" w:hAnsi="仿宋" w:eastAsia="仿宋" w:cs="仿宋"/>
                <w:sz w:val="21"/>
                <w:szCs w:val="21"/>
              </w:rPr>
            </w:pPr>
            <w:r>
              <w:rPr>
                <w:rFonts w:hint="eastAsia" w:ascii="仿宋" w:hAnsi="仿宋" w:eastAsia="仿宋" w:cs="仿宋"/>
                <w:sz w:val="21"/>
                <w:szCs w:val="21"/>
              </w:rPr>
              <w:t>评审内容要点：1内审情况和合规性评价的结果；2各部门质量、环境和职业健康安全管理体系运行情况汇报;</w:t>
            </w:r>
          </w:p>
          <w:p>
            <w:pPr>
              <w:pStyle w:val="4"/>
              <w:spacing w:line="360" w:lineRule="auto"/>
              <w:ind w:left="0"/>
              <w:rPr>
                <w:rFonts w:hint="eastAsia" w:ascii="仿宋" w:hAnsi="仿宋" w:eastAsia="仿宋" w:cs="仿宋"/>
                <w:sz w:val="21"/>
                <w:szCs w:val="21"/>
              </w:rPr>
            </w:pPr>
            <w:r>
              <w:rPr>
                <w:rFonts w:hint="eastAsia" w:ascii="仿宋" w:hAnsi="仿宋" w:eastAsia="仿宋" w:cs="仿宋"/>
                <w:sz w:val="21"/>
                <w:szCs w:val="21"/>
              </w:rPr>
              <w:t>3评价方针、目标、指标和三个管理体系文件的适宜性;4顾客及相关方满意情况,包括抱怨;5预防和纠正措状况；</w:t>
            </w:r>
          </w:p>
          <w:p>
            <w:pPr>
              <w:pStyle w:val="4"/>
              <w:spacing w:line="360" w:lineRule="auto"/>
              <w:ind w:left="0"/>
              <w:rPr>
                <w:rFonts w:hint="eastAsia" w:ascii="仿宋" w:hAnsi="仿宋" w:eastAsia="仿宋" w:cs="仿宋"/>
                <w:sz w:val="21"/>
                <w:szCs w:val="21"/>
              </w:rPr>
            </w:pPr>
            <w:r>
              <w:rPr>
                <w:rFonts w:hint="eastAsia" w:ascii="仿宋" w:hAnsi="仿宋" w:eastAsia="仿宋" w:cs="仿宋"/>
                <w:sz w:val="21"/>
                <w:szCs w:val="21"/>
              </w:rPr>
              <w:t>6应急准备和响应;7三体系运行监视控制情况。</w:t>
            </w:r>
          </w:p>
          <w:p>
            <w:pPr>
              <w:pStyle w:val="4"/>
              <w:spacing w:line="360" w:lineRule="auto"/>
              <w:ind w:left="0"/>
              <w:rPr>
                <w:rFonts w:hint="default" w:ascii="仿宋" w:hAnsi="仿宋" w:eastAsia="仿宋" w:cs="仿宋"/>
                <w:sz w:val="21"/>
                <w:szCs w:val="21"/>
                <w:lang w:val="en-US" w:eastAsia="zh-CN"/>
              </w:rPr>
            </w:pPr>
            <w:r>
              <w:rPr>
                <w:rFonts w:hint="eastAsia" w:ascii="仿宋" w:hAnsi="仿宋" w:eastAsia="仿宋" w:cs="仿宋"/>
                <w:sz w:val="21"/>
                <w:szCs w:val="21"/>
              </w:rPr>
              <w:t>编制：张正霞 ，审核：郭鹏  批准：</w:t>
            </w:r>
            <w:r>
              <w:rPr>
                <w:rFonts w:hint="eastAsia" w:ascii="仿宋" w:hAnsi="仿宋" w:eastAsia="仿宋" w:cs="仿宋"/>
                <w:sz w:val="21"/>
                <w:szCs w:val="21"/>
                <w:lang w:eastAsia="zh-CN"/>
              </w:rPr>
              <w:t>董鹏</w:t>
            </w:r>
            <w:r>
              <w:rPr>
                <w:rFonts w:hint="eastAsia" w:ascii="仿宋" w:hAnsi="仿宋" w:eastAsia="仿宋" w:cs="仿宋"/>
                <w:sz w:val="21"/>
                <w:szCs w:val="21"/>
              </w:rPr>
              <w:t>。日期：20</w:t>
            </w:r>
            <w:r>
              <w:rPr>
                <w:rFonts w:hint="eastAsia" w:ascii="仿宋" w:hAnsi="仿宋" w:eastAsia="仿宋" w:cs="仿宋"/>
                <w:sz w:val="21"/>
                <w:szCs w:val="21"/>
                <w:lang w:val="en-US" w:eastAsia="zh-CN"/>
              </w:rPr>
              <w:t>2.6.20</w:t>
            </w:r>
          </w:p>
          <w:p>
            <w:pPr>
              <w:spacing w:line="360" w:lineRule="auto"/>
              <w:rPr>
                <w:rFonts w:hint="eastAsia" w:ascii="仿宋" w:hAnsi="仿宋" w:eastAsia="仿宋" w:cs="仿宋"/>
                <w:sz w:val="21"/>
                <w:szCs w:val="21"/>
              </w:rPr>
            </w:pPr>
            <w:r>
              <w:rPr>
                <w:rFonts w:hint="eastAsia" w:ascii="仿宋" w:hAnsi="仿宋" w:eastAsia="仿宋" w:cs="仿宋"/>
                <w:sz w:val="21"/>
                <w:szCs w:val="21"/>
              </w:rPr>
              <w:t>《管理评审会议记录》</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20</w:t>
            </w:r>
            <w:r>
              <w:rPr>
                <w:rFonts w:hint="eastAsia" w:ascii="仿宋" w:hAnsi="仿宋" w:eastAsia="仿宋" w:cs="仿宋"/>
                <w:sz w:val="21"/>
                <w:szCs w:val="21"/>
                <w:lang w:val="en-US" w:eastAsia="zh-CN"/>
              </w:rPr>
              <w:t>22</w:t>
            </w:r>
            <w:r>
              <w:rPr>
                <w:rFonts w:hint="eastAsia" w:ascii="仿宋" w:hAnsi="仿宋" w:eastAsia="仿宋" w:cs="仿宋"/>
                <w:sz w:val="21"/>
                <w:szCs w:val="21"/>
              </w:rPr>
              <w:t>年</w:t>
            </w:r>
            <w:r>
              <w:rPr>
                <w:rFonts w:hint="eastAsia" w:ascii="仿宋" w:hAnsi="仿宋" w:eastAsia="仿宋" w:cs="仿宋"/>
                <w:sz w:val="21"/>
                <w:szCs w:val="21"/>
                <w:lang w:val="en-US" w:eastAsia="zh-CN"/>
              </w:rPr>
              <w:t>6</w:t>
            </w:r>
            <w:r>
              <w:rPr>
                <w:rFonts w:hint="eastAsia" w:ascii="仿宋" w:hAnsi="仿宋" w:eastAsia="仿宋" w:cs="仿宋"/>
                <w:sz w:val="21"/>
                <w:szCs w:val="21"/>
              </w:rPr>
              <w:t>月</w:t>
            </w:r>
            <w:r>
              <w:rPr>
                <w:rFonts w:hint="eastAsia" w:ascii="仿宋" w:hAnsi="仿宋" w:eastAsia="仿宋" w:cs="仿宋"/>
                <w:sz w:val="21"/>
                <w:szCs w:val="21"/>
                <w:lang w:val="en-US" w:eastAsia="zh-CN"/>
              </w:rPr>
              <w:t>30</w:t>
            </w:r>
            <w:bookmarkStart w:id="1" w:name="_GoBack"/>
            <w:bookmarkEnd w:id="1"/>
            <w:r>
              <w:rPr>
                <w:rFonts w:hint="eastAsia" w:ascii="仿宋" w:hAnsi="仿宋" w:eastAsia="仿宋" w:cs="仿宋"/>
                <w:sz w:val="21"/>
                <w:szCs w:val="21"/>
              </w:rPr>
              <w:t>日在公司会议室，由</w:t>
            </w:r>
            <w:r>
              <w:rPr>
                <w:rFonts w:hint="eastAsia" w:ascii="仿宋" w:hAnsi="仿宋" w:eastAsia="仿宋" w:cs="仿宋"/>
                <w:sz w:val="21"/>
                <w:szCs w:val="21"/>
                <w:lang w:eastAsia="zh-CN"/>
              </w:rPr>
              <w:t>董鹏</w:t>
            </w:r>
            <w:r>
              <w:rPr>
                <w:rFonts w:hint="eastAsia" w:ascii="仿宋" w:hAnsi="仿宋" w:eastAsia="仿宋" w:cs="仿宋"/>
                <w:sz w:val="21"/>
                <w:szCs w:val="21"/>
              </w:rPr>
              <w:t xml:space="preserve">主持人， 参加人员：管代  各部门主管。  </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管理评审内容包括：1)质量、环境、职业健康安全管理体系内审审核和合规性评价的结果。2)顾客的反馈; (包括抱怨、满意程度的测量结果及与顾客沟通的结果和外部相关方的交流等。3)质量、环境、职业健康安全管理体系运行情况;4)过程的业绩和产品的合格情况;5)组织的环境、职业健康安全绩效;6)质量、环境、职业健康安全方针、目标的评审及目标、指标和管理方案的实现程度;7)所采取纠正/预防措施的实施情况及其有效性;8)可能导致质量、环境、职业健康安全管理体系发生变化的内外部因素;9)客观环境、职业健康安全的变化,包括与组织环境因素、危险源和法律法规和其他要求有关的发展变化;10)以往管理评审的跟踪措施。11)各部门质量、环境、职业健康安全境管理体系汇报。</w:t>
            </w:r>
          </w:p>
          <w:p>
            <w:pPr>
              <w:spacing w:line="360" w:lineRule="auto"/>
              <w:rPr>
                <w:rFonts w:hint="eastAsia" w:ascii="仿宋" w:hAnsi="仿宋" w:eastAsia="仿宋" w:cs="仿宋"/>
                <w:sz w:val="21"/>
                <w:szCs w:val="21"/>
              </w:rPr>
            </w:pPr>
            <w:r>
              <w:rPr>
                <w:rFonts w:hint="eastAsia" w:ascii="仿宋" w:hAnsi="仿宋" w:eastAsia="仿宋" w:cs="仿宋"/>
                <w:sz w:val="21"/>
                <w:szCs w:val="21"/>
              </w:rPr>
              <w:t>12)质量、环境、职业健康安全管理体系的文件是否适宜,是否需要修改13）改进的建议等。</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管理评审结论：在评审会上，经过综合讨论分析就公司的管理方针和目标的贯彻、运行现状及适用性、符合性和有效性作出如下结论：</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通过三体系文件的运行，我公司各项管理制度更加健全，并促进了各项工作的规范化、制度化和标准化。使得我公司的质量及环境更加符合管理体系的方针和目标，为确保文明供销部提供了有力的体系支承平台。</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体系的运行也促进了公司文件及记录管理的规范化和标准化，促进了公司资料的规范整理。体系的正常运行，也使得公司物资采购及机械设备的管理更加规范合理。总之，通过三个管理体系的运行，使得公司的各项管理工作走上了一条正规合理有效的道路。改进建议:</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根据管理评审结果，对发现的个性、偶然性问题，举一反三制订纠正和预防措施计划（详见附表），并按计划要求组织实施及跟踪检查验证，确保ISO9001：2015、ISO14001：2015、ISO45001:2018管理体系高质量的顺畅运行，提高公司绩效管理。</w:t>
            </w:r>
          </w:p>
          <w:p>
            <w:pPr>
              <w:pStyle w:val="3"/>
              <w:jc w:val="left"/>
              <w:rPr>
                <w:rFonts w:hint="eastAsia" w:ascii="仿宋" w:hAnsi="仿宋" w:eastAsia="仿宋" w:cs="仿宋"/>
                <w:sz w:val="21"/>
                <w:szCs w:val="21"/>
              </w:rPr>
            </w:pPr>
            <w:r>
              <w:rPr>
                <w:rFonts w:hint="eastAsia" w:ascii="仿宋" w:hAnsi="仿宋" w:eastAsia="仿宋" w:cs="仿宋"/>
                <w:b w:val="0"/>
                <w:bCs w:val="0"/>
                <w:kern w:val="2"/>
                <w:sz w:val="21"/>
                <w:szCs w:val="21"/>
                <w:lang w:val="en-US" w:eastAsia="zh-CN" w:bidi="ar-SA"/>
              </w:rPr>
              <w:t>进一步强化车间员工的技能培训。经现场查验，以上资料有效。</w:t>
            </w:r>
          </w:p>
        </w:tc>
        <w:tc>
          <w:tcPr>
            <w:tcW w:w="646" w:type="dxa"/>
            <w:vAlign w:val="center"/>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改进</w:t>
            </w:r>
          </w:p>
          <w:p>
            <w:pPr>
              <w:rPr>
                <w:rFonts w:hint="eastAsia" w:ascii="仿宋" w:hAnsi="仿宋" w:eastAsia="仿宋" w:cs="仿宋"/>
                <w:color w:val="000000" w:themeColor="text1"/>
                <w:sz w:val="21"/>
                <w:szCs w:val="21"/>
              </w:rPr>
            </w:pPr>
          </w:p>
        </w:tc>
        <w:tc>
          <w:tcPr>
            <w:tcW w:w="1228" w:type="dxa"/>
            <w:vAlign w:val="center"/>
          </w:tcPr>
          <w:p>
            <w:pP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QEO：</w:t>
            </w:r>
          </w:p>
          <w:p>
            <w:pPr>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10.1、10.3</w:t>
            </w:r>
          </w:p>
          <w:p>
            <w:pPr>
              <w:rPr>
                <w:rFonts w:hint="eastAsia" w:ascii="仿宋" w:hAnsi="仿宋" w:eastAsia="仿宋" w:cs="仿宋"/>
                <w:color w:val="000000" w:themeColor="text1"/>
                <w:sz w:val="21"/>
                <w:szCs w:val="21"/>
              </w:rPr>
            </w:pPr>
          </w:p>
        </w:tc>
        <w:tc>
          <w:tcPr>
            <w:tcW w:w="10943" w:type="dxa"/>
            <w:vAlign w:val="center"/>
          </w:tcPr>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管理者代表根据总经理意图组织持续改进过程的策划工作，由综合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自体系运行以来，全员的质量意识、服务意识、环保意识、职业健康安全防护有较大的提高，市场经营规模有了较大发展，持续改进了管理体系的有效性。</w:t>
            </w:r>
          </w:p>
        </w:tc>
        <w:tc>
          <w:tcPr>
            <w:tcW w:w="646" w:type="dxa"/>
            <w:vAlign w:val="center"/>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top"/>
          </w:tcPr>
          <w:p>
            <w:pPr>
              <w:spacing w:line="280" w:lineRule="exact"/>
              <w:jc w:val="left"/>
              <w:rPr>
                <w:rFonts w:hint="eastAsia" w:ascii="仿宋" w:hAnsi="仿宋" w:eastAsia="仿宋" w:cs="仿宋"/>
                <w:spacing w:val="-6"/>
                <w:sz w:val="21"/>
                <w:szCs w:val="21"/>
              </w:rPr>
            </w:pPr>
            <w:r>
              <w:rPr>
                <w:rFonts w:hint="eastAsia" w:ascii="仿宋" w:hAnsi="仿宋" w:eastAsia="仿宋" w:cs="仿宋"/>
                <w:spacing w:val="-6"/>
                <w:sz w:val="21"/>
                <w:szCs w:val="21"/>
              </w:rPr>
              <w:t>国家/地方监督抽查情况；顾客满意、相关方投诉及处理情况；</w:t>
            </w:r>
          </w:p>
          <w:p>
            <w:pPr>
              <w:pageBreakBefore w:val="0"/>
              <w:widowControl w:val="0"/>
              <w:kinsoku/>
              <w:wordWrap/>
              <w:overflowPunct/>
              <w:topLinePunct w:val="0"/>
              <w:bidi w:val="0"/>
              <w:adjustRightInd w:val="0"/>
              <w:snapToGrid w:val="0"/>
              <w:spacing w:line="240" w:lineRule="auto"/>
              <w:jc w:val="left"/>
              <w:textAlignment w:val="auto"/>
              <w:rPr>
                <w:rFonts w:hint="eastAsia" w:ascii="仿宋" w:hAnsi="仿宋" w:eastAsia="仿宋" w:cs="仿宋"/>
                <w:sz w:val="21"/>
                <w:szCs w:val="21"/>
              </w:rPr>
            </w:pPr>
            <w:r>
              <w:rPr>
                <w:rFonts w:hint="eastAsia" w:ascii="仿宋" w:hAnsi="仿宋" w:eastAsia="仿宋" w:cs="仿宋"/>
                <w:spacing w:val="-6"/>
                <w:sz w:val="21"/>
                <w:szCs w:val="21"/>
              </w:rPr>
              <w:t>验证企业相关资质证明的有效性</w:t>
            </w:r>
            <w:r>
              <w:rPr>
                <w:rFonts w:hint="eastAsia" w:ascii="仿宋" w:hAnsi="仿宋" w:eastAsia="仿宋" w:cs="仿宋"/>
                <w:sz w:val="21"/>
                <w:szCs w:val="21"/>
              </w:rPr>
              <w:t>，证书及标志的使用，变更，上次审核不符合验证；</w:t>
            </w:r>
          </w:p>
        </w:tc>
        <w:tc>
          <w:tcPr>
            <w:tcW w:w="1228" w:type="dxa"/>
            <w:vAlign w:val="top"/>
          </w:tcPr>
          <w:p>
            <w:pPr>
              <w:pageBreakBefore w:val="0"/>
              <w:widowControl w:val="0"/>
              <w:kinsoku/>
              <w:wordWrap/>
              <w:overflowPunct/>
              <w:topLinePunct w:val="0"/>
              <w:bidi w:val="0"/>
              <w:spacing w:line="240" w:lineRule="auto"/>
              <w:textAlignment w:val="auto"/>
              <w:rPr>
                <w:rFonts w:hint="eastAsia" w:ascii="仿宋" w:hAnsi="仿宋" w:eastAsia="仿宋" w:cs="仿宋"/>
                <w:sz w:val="21"/>
                <w:szCs w:val="21"/>
              </w:rPr>
            </w:pPr>
          </w:p>
        </w:tc>
        <w:tc>
          <w:tcPr>
            <w:tcW w:w="10943" w:type="dxa"/>
            <w:vAlign w:val="top"/>
          </w:tcPr>
          <w:p>
            <w:pPr>
              <w:pageBreakBefore w:val="0"/>
              <w:widowControl w:val="0"/>
              <w:kinsoku/>
              <w:wordWrap/>
              <w:overflowPunct/>
              <w:topLinePunct w:val="0"/>
              <w:bidi w:val="0"/>
              <w:spacing w:line="24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公司严格执行国标及行业要求和法律、法规要求。</w:t>
            </w:r>
          </w:p>
          <w:p>
            <w:pPr>
              <w:pageBreakBefore w:val="0"/>
              <w:widowControl w:val="0"/>
              <w:kinsoku/>
              <w:wordWrap/>
              <w:overflowPunct/>
              <w:topLinePunct w:val="0"/>
              <w:bidi w:val="0"/>
              <w:spacing w:line="24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本次审核周期内</w:t>
            </w:r>
            <w:r>
              <w:rPr>
                <w:rFonts w:hint="eastAsia" w:ascii="仿宋" w:hAnsi="仿宋" w:eastAsia="仿宋" w:cs="仿宋"/>
                <w:sz w:val="21"/>
                <w:szCs w:val="21"/>
              </w:rPr>
              <w:t>，公司无重大产品质量投诉，通过顾客满意度调查，顾客对公司提供的产品普遍反映较好。</w:t>
            </w:r>
          </w:p>
          <w:p>
            <w:pPr>
              <w:pStyle w:val="16"/>
              <w:pageBreakBefore w:val="0"/>
              <w:widowControl w:val="0"/>
              <w:kinsoku/>
              <w:wordWrap/>
              <w:overflowPunct/>
              <w:topLinePunct w:val="0"/>
              <w:bidi w:val="0"/>
              <w:spacing w:line="240" w:lineRule="auto"/>
              <w:ind w:firstLine="210" w:firstLineChars="100"/>
              <w:textAlignment w:val="auto"/>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产品暂无质量监督抽查情况</w:t>
            </w:r>
          </w:p>
          <w:p>
            <w:pPr>
              <w:pageBreakBefore w:val="0"/>
              <w:widowControl w:val="0"/>
              <w:kinsoku/>
              <w:wordWrap/>
              <w:overflowPunct/>
              <w:topLinePunct w:val="0"/>
              <w:bidi w:val="0"/>
              <w:spacing w:line="24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无重大环境和职业健康安全的问题和投诉。</w:t>
            </w:r>
          </w:p>
          <w:p>
            <w:pPr>
              <w:spacing w:line="28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上次审核</w:t>
            </w:r>
            <w:r>
              <w:rPr>
                <w:rFonts w:hint="eastAsia" w:ascii="仿宋" w:hAnsi="仿宋" w:eastAsia="仿宋" w:cs="仿宋"/>
                <w:color w:val="auto"/>
                <w:sz w:val="21"/>
                <w:szCs w:val="21"/>
              </w:rPr>
              <w:t>问题验证：</w:t>
            </w:r>
            <w:r>
              <w:rPr>
                <w:rFonts w:hint="eastAsia" w:ascii="仿宋" w:hAnsi="仿宋" w:eastAsia="仿宋" w:cs="仿宋"/>
                <w:color w:val="auto"/>
                <w:sz w:val="21"/>
                <w:szCs w:val="21"/>
                <w:lang w:val="en-US" w:eastAsia="zh-CN"/>
              </w:rPr>
              <w:t>已完成整改，整改有效</w:t>
            </w:r>
            <w:r>
              <w:rPr>
                <w:rFonts w:hint="eastAsia" w:ascii="仿宋" w:hAnsi="仿宋" w:eastAsia="仿宋" w:cs="仿宋"/>
                <w:color w:val="auto"/>
                <w:sz w:val="21"/>
                <w:szCs w:val="21"/>
              </w:rPr>
              <w:t>。</w:t>
            </w:r>
          </w:p>
          <w:p>
            <w:pPr>
              <w:spacing w:line="28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企业对认证证书用于项目投标，未使用认证标志，对认证证书、标志的使用情况满足要求。</w:t>
            </w:r>
          </w:p>
          <w:p>
            <w:pPr>
              <w:spacing w:line="280"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未做变更。</w:t>
            </w:r>
          </w:p>
          <w:p>
            <w:pPr>
              <w:pStyle w:val="16"/>
              <w:pageBreakBefore w:val="0"/>
              <w:widowControl w:val="0"/>
              <w:kinsoku/>
              <w:wordWrap/>
              <w:overflowPunct/>
              <w:topLinePunct w:val="0"/>
              <w:bidi w:val="0"/>
              <w:spacing w:line="240" w:lineRule="auto"/>
              <w:ind w:firstLine="210" w:firstLineChars="100"/>
              <w:textAlignment w:val="auto"/>
              <w:rPr>
                <w:rFonts w:hint="eastAsia" w:ascii="仿宋" w:hAnsi="仿宋" w:eastAsia="仿宋" w:cs="仿宋"/>
                <w:sz w:val="21"/>
                <w:szCs w:val="21"/>
              </w:rPr>
            </w:pPr>
          </w:p>
        </w:tc>
        <w:tc>
          <w:tcPr>
            <w:tcW w:w="646" w:type="dxa"/>
            <w:vAlign w:val="center"/>
          </w:tcPr>
          <w:p>
            <w:pPr>
              <w:rPr>
                <w:rFonts w:hint="eastAsia" w:ascii="仿宋" w:hAnsi="仿宋" w:eastAsia="仿宋" w:cs="仿宋"/>
                <w:sz w:val="21"/>
                <w:szCs w:val="21"/>
              </w:rPr>
            </w:pPr>
            <w:r>
              <w:rPr>
                <w:rFonts w:hint="eastAsia" w:ascii="仿宋" w:hAnsi="仿宋" w:eastAsia="仿宋" w:cs="仿宋"/>
                <w:sz w:val="21"/>
                <w:szCs w:val="21"/>
                <w:lang w:val="en-US" w:eastAsia="zh-CN"/>
              </w:rPr>
              <w:t>符合</w:t>
            </w:r>
          </w:p>
        </w:tc>
      </w:tr>
    </w:tbl>
    <w:p>
      <w:pPr>
        <w:rPr>
          <w:rFonts w:hint="eastAsia" w:ascii="仿宋" w:hAnsi="仿宋" w:eastAsia="仿宋" w:cs="仿宋"/>
          <w:sz w:val="21"/>
          <w:szCs w:val="21"/>
        </w:rPr>
      </w:pPr>
    </w:p>
    <w:p>
      <w:pPr>
        <w:pStyle w:val="8"/>
        <w:rPr>
          <w:rFonts w:hint="eastAsia" w:ascii="仿宋" w:hAnsi="仿宋" w:eastAsia="仿宋" w:cs="仿宋"/>
          <w:sz w:val="21"/>
          <w:szCs w:val="21"/>
        </w:rPr>
      </w:pPr>
      <w:r>
        <w:rPr>
          <w:rFonts w:hint="eastAsia" w:ascii="仿宋" w:hAnsi="仿宋" w:eastAsia="仿宋" w:cs="仿宋"/>
          <w:sz w:val="21"/>
          <w:szCs w:val="21"/>
        </w:rPr>
        <w:t>说明：不符合标注N</w:t>
      </w:r>
    </w:p>
    <w:p>
      <w:pPr>
        <w:rPr>
          <w:rFonts w:hint="eastAsia" w:ascii="仿宋" w:hAnsi="仿宋" w:eastAsia="仿宋" w:cs="仿宋"/>
          <w:sz w:val="21"/>
          <w:szCs w:val="21"/>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9"/>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tentative="0">
      <w:start w:val="1"/>
      <w:numFmt w:val="decimal"/>
      <w:lvlText w:val="%1、"/>
      <w:lvlJc w:val="left"/>
      <w:pPr>
        <w:tabs>
          <w:tab w:val="left" w:pos="778"/>
        </w:tabs>
        <w:ind w:left="778" w:hanging="360"/>
      </w:pPr>
      <w:rPr>
        <w:rFonts w:hint="default"/>
      </w:rPr>
    </w:lvl>
    <w:lvl w:ilvl="1" w:tentative="0">
      <w:start w:val="1"/>
      <w:numFmt w:val="lowerLetter"/>
      <w:lvlText w:val="%2)"/>
      <w:lvlJc w:val="left"/>
      <w:pPr>
        <w:tabs>
          <w:tab w:val="left" w:pos="1258"/>
        </w:tabs>
        <w:ind w:left="1258" w:hanging="420"/>
      </w:pPr>
    </w:lvl>
    <w:lvl w:ilvl="2" w:tentative="0">
      <w:start w:val="1"/>
      <w:numFmt w:val="lowerRoman"/>
      <w:lvlText w:val="%3."/>
      <w:lvlJc w:val="right"/>
      <w:pPr>
        <w:tabs>
          <w:tab w:val="left" w:pos="1678"/>
        </w:tabs>
        <w:ind w:left="1678" w:hanging="420"/>
      </w:pPr>
    </w:lvl>
    <w:lvl w:ilvl="3" w:tentative="0">
      <w:start w:val="1"/>
      <w:numFmt w:val="decimal"/>
      <w:lvlText w:val="%4."/>
      <w:lvlJc w:val="left"/>
      <w:pPr>
        <w:tabs>
          <w:tab w:val="left" w:pos="2098"/>
        </w:tabs>
        <w:ind w:left="2098" w:hanging="420"/>
      </w:pPr>
    </w:lvl>
    <w:lvl w:ilvl="4" w:tentative="0">
      <w:start w:val="1"/>
      <w:numFmt w:val="lowerLetter"/>
      <w:lvlText w:val="%5)"/>
      <w:lvlJc w:val="left"/>
      <w:pPr>
        <w:tabs>
          <w:tab w:val="left" w:pos="2518"/>
        </w:tabs>
        <w:ind w:left="2518" w:hanging="420"/>
      </w:pPr>
    </w:lvl>
    <w:lvl w:ilvl="5" w:tentative="0">
      <w:start w:val="1"/>
      <w:numFmt w:val="lowerRoman"/>
      <w:lvlText w:val="%6."/>
      <w:lvlJc w:val="right"/>
      <w:pPr>
        <w:tabs>
          <w:tab w:val="left" w:pos="2938"/>
        </w:tabs>
        <w:ind w:left="2938" w:hanging="420"/>
      </w:pPr>
    </w:lvl>
    <w:lvl w:ilvl="6" w:tentative="0">
      <w:start w:val="1"/>
      <w:numFmt w:val="decimal"/>
      <w:lvlText w:val="%7."/>
      <w:lvlJc w:val="left"/>
      <w:pPr>
        <w:tabs>
          <w:tab w:val="left" w:pos="3358"/>
        </w:tabs>
        <w:ind w:left="3358" w:hanging="420"/>
      </w:pPr>
    </w:lvl>
    <w:lvl w:ilvl="7" w:tentative="0">
      <w:start w:val="1"/>
      <w:numFmt w:val="lowerLetter"/>
      <w:lvlText w:val="%8)"/>
      <w:lvlJc w:val="left"/>
      <w:pPr>
        <w:tabs>
          <w:tab w:val="left" w:pos="3778"/>
        </w:tabs>
        <w:ind w:left="3778" w:hanging="420"/>
      </w:pPr>
    </w:lvl>
    <w:lvl w:ilvl="8" w:tentative="0">
      <w:start w:val="1"/>
      <w:numFmt w:val="lowerRoman"/>
      <w:lvlText w:val="%9."/>
      <w:lvlJc w:val="right"/>
      <w:pPr>
        <w:tabs>
          <w:tab w:val="left" w:pos="4198"/>
        </w:tabs>
        <w:ind w:left="4198" w:hanging="420"/>
      </w:pPr>
    </w:lvl>
  </w:abstractNum>
  <w:abstractNum w:abstractNumId="1">
    <w:nsid w:val="52A8F1B9"/>
    <w:multiLevelType w:val="singleLevel"/>
    <w:tmpl w:val="52A8F1B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F47033"/>
    <w:rsid w:val="08490455"/>
    <w:rsid w:val="0B1F2E18"/>
    <w:rsid w:val="0BDA116F"/>
    <w:rsid w:val="10753852"/>
    <w:rsid w:val="10F30A4F"/>
    <w:rsid w:val="155028CA"/>
    <w:rsid w:val="1F3C54E2"/>
    <w:rsid w:val="210C1465"/>
    <w:rsid w:val="249C7089"/>
    <w:rsid w:val="25F92454"/>
    <w:rsid w:val="2D84588D"/>
    <w:rsid w:val="2E704E12"/>
    <w:rsid w:val="37900498"/>
    <w:rsid w:val="41342CF1"/>
    <w:rsid w:val="434E52C8"/>
    <w:rsid w:val="48BF7524"/>
    <w:rsid w:val="5DBF39FE"/>
    <w:rsid w:val="675D2F6A"/>
    <w:rsid w:val="71A344D0"/>
    <w:rsid w:val="72835421"/>
    <w:rsid w:val="78627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99"/>
    <w:pPr>
      <w:spacing w:line="420" w:lineRule="exact"/>
    </w:pPr>
    <w:rPr>
      <w:sz w:val="24"/>
    </w:rPr>
  </w:style>
  <w:style w:type="paragraph" w:styleId="6">
    <w:name w:val="Plain Text"/>
    <w:basedOn w:val="1"/>
    <w:qFormat/>
    <w:uiPriority w:val="0"/>
    <w:rPr>
      <w:rFonts w:ascii="宋体" w:hAnsi="Courier New"/>
    </w:rPr>
  </w:style>
  <w:style w:type="paragraph" w:styleId="7">
    <w:name w:val="Balloon Text"/>
    <w:basedOn w:val="1"/>
    <w:link w:val="14"/>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rFonts w:ascii="Times New Roman" w:hAnsi="Times New Roman" w:eastAsia="宋体" w:cs="Times New Roman"/>
      <w:sz w:val="18"/>
      <w:szCs w:val="18"/>
    </w:rPr>
  </w:style>
  <w:style w:type="character" w:customStyle="1" w:styleId="13">
    <w:name w:val="页脚 Char"/>
    <w:basedOn w:val="11"/>
    <w:link w:val="8"/>
    <w:qFormat/>
    <w:uiPriority w:val="99"/>
    <w:rPr>
      <w:rFonts w:ascii="Times New Roman" w:hAnsi="Times New Roman" w:eastAsia="宋体" w:cs="Times New Roman"/>
      <w:sz w:val="18"/>
      <w:szCs w:val="18"/>
    </w:rPr>
  </w:style>
  <w:style w:type="character" w:customStyle="1" w:styleId="14">
    <w:name w:val="批注框文本 Char"/>
    <w:basedOn w:val="11"/>
    <w:link w:val="7"/>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6</TotalTime>
  <ScaleCrop>false</ScaleCrop>
  <LinksUpToDate>false</LinksUpToDate>
  <CharactersWithSpaces>101</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hb</cp:lastModifiedBy>
  <dcterms:modified xsi:type="dcterms:W3CDTF">2022-09-18T11:32:31Z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2052-11.1.0.9914</vt:lpwstr>
  </property>
</Properties>
</file>