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sz w:val="21"/>
          <w:szCs w:val="21"/>
        </w:rPr>
      </w:pPr>
      <w:r>
        <w:rPr>
          <w:rFonts w:hint="eastAsia" w:ascii="仿宋" w:hAnsi="仿宋" w:eastAsia="仿宋" w:cs="仿宋"/>
          <w:bCs/>
          <w:sz w:val="21"/>
          <w:szCs w:val="21"/>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311"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涉及条款</w:t>
            </w: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受审核部门：生产技术部     主管领导：张秀胜     陪同人员：董鹏</w:t>
            </w:r>
          </w:p>
        </w:tc>
        <w:tc>
          <w:tcPr>
            <w:tcW w:w="1585"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仿宋" w:hAnsi="仿宋" w:eastAsia="仿宋" w:cs="仿宋"/>
                <w:sz w:val="21"/>
                <w:szCs w:val="21"/>
              </w:rPr>
            </w:pPr>
          </w:p>
        </w:tc>
        <w:tc>
          <w:tcPr>
            <w:tcW w:w="1311" w:type="dxa"/>
            <w:vMerge w:val="continue"/>
            <w:vAlign w:val="center"/>
          </w:tcPr>
          <w:p>
            <w:pPr>
              <w:spacing w:line="360" w:lineRule="auto"/>
              <w:rPr>
                <w:rFonts w:hint="eastAsia" w:ascii="仿宋" w:hAnsi="仿宋" w:eastAsia="仿宋" w:cs="仿宋"/>
                <w:sz w:val="21"/>
                <w:szCs w:val="21"/>
              </w:rPr>
            </w:pPr>
          </w:p>
        </w:tc>
        <w:tc>
          <w:tcPr>
            <w:tcW w:w="10004" w:type="dxa"/>
            <w:vAlign w:val="center"/>
          </w:tcPr>
          <w:p>
            <w:pPr>
              <w:spacing w:before="120" w:line="360" w:lineRule="auto"/>
              <w:rPr>
                <w:rFonts w:hint="default"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强兴</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2.8.24</w:t>
            </w:r>
          </w:p>
        </w:tc>
        <w:tc>
          <w:tcPr>
            <w:tcW w:w="1585"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仿宋" w:hAnsi="仿宋" w:eastAsia="仿宋" w:cs="仿宋"/>
                <w:sz w:val="21"/>
                <w:szCs w:val="21"/>
              </w:rPr>
            </w:pPr>
          </w:p>
        </w:tc>
        <w:tc>
          <w:tcPr>
            <w:tcW w:w="1311" w:type="dxa"/>
            <w:vMerge w:val="continue"/>
            <w:vAlign w:val="center"/>
          </w:tcPr>
          <w:p>
            <w:pPr>
              <w:spacing w:line="360" w:lineRule="auto"/>
              <w:rPr>
                <w:rFonts w:hint="eastAsia" w:ascii="仿宋" w:hAnsi="仿宋" w:eastAsia="仿宋" w:cs="仿宋"/>
                <w:sz w:val="21"/>
                <w:szCs w:val="21"/>
              </w:rPr>
            </w:pPr>
          </w:p>
        </w:tc>
        <w:tc>
          <w:tcPr>
            <w:tcW w:w="10004" w:type="dxa"/>
            <w:vAlign w:val="center"/>
          </w:tcPr>
          <w:p>
            <w:pPr>
              <w:adjustRightInd w:val="0"/>
              <w:snapToGrid w:val="0"/>
              <w:spacing w:line="320" w:lineRule="exact"/>
              <w:ind w:right="105" w:rightChars="50"/>
              <w:textAlignment w:val="baseline"/>
              <w:rPr>
                <w:rFonts w:hint="eastAsia" w:ascii="仿宋" w:hAnsi="仿宋" w:eastAsia="仿宋" w:cs="仿宋"/>
                <w:sz w:val="21"/>
                <w:szCs w:val="21"/>
              </w:rPr>
            </w:pPr>
            <w:r>
              <w:rPr>
                <w:rFonts w:hint="eastAsia" w:ascii="仿宋" w:hAnsi="仿宋" w:eastAsia="仿宋" w:cs="仿宋"/>
                <w:sz w:val="21"/>
                <w:szCs w:val="21"/>
              </w:rPr>
              <w:t>审核条款：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pPr>
              <w:rPr>
                <w:rFonts w:hint="eastAsia" w:ascii="仿宋" w:hAnsi="仿宋" w:eastAsia="仿宋" w:cs="仿宋"/>
                <w:sz w:val="21"/>
                <w:szCs w:val="21"/>
              </w:rPr>
            </w:pPr>
            <w:r>
              <w:rPr>
                <w:rFonts w:hint="eastAsia" w:ascii="仿宋" w:hAnsi="仿宋" w:eastAsia="仿宋" w:cs="仿宋"/>
                <w:sz w:val="21"/>
                <w:szCs w:val="21"/>
              </w:rPr>
              <w:t>E/OMS: 5.3组织的岗位、职责和权限、6.2环境与职业健康安全目标、6.1.2环境因素/危险源辨识与评价、8.1运行策划和控制、8.2应急准备和响应，</w:t>
            </w:r>
          </w:p>
        </w:tc>
        <w:tc>
          <w:tcPr>
            <w:tcW w:w="1585"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组织的岗位职责和权限</w:t>
            </w:r>
          </w:p>
          <w:p>
            <w:pPr>
              <w:spacing w:line="280" w:lineRule="exact"/>
              <w:rPr>
                <w:rFonts w:hint="eastAsia" w:ascii="仿宋" w:hAnsi="仿宋" w:eastAsia="仿宋" w:cs="仿宋"/>
                <w:b/>
                <w:sz w:val="21"/>
                <w:szCs w:val="21"/>
              </w:rPr>
            </w:pPr>
          </w:p>
        </w:tc>
        <w:tc>
          <w:tcPr>
            <w:tcW w:w="1311" w:type="dxa"/>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QEO5.3</w:t>
            </w:r>
          </w:p>
          <w:p>
            <w:pPr>
              <w:spacing w:line="280" w:lineRule="exact"/>
              <w:rPr>
                <w:rFonts w:hint="eastAsia" w:ascii="仿宋" w:hAnsi="仿宋" w:eastAsia="仿宋" w:cs="仿宋"/>
                <w:b/>
                <w:sz w:val="21"/>
                <w:szCs w:val="21"/>
              </w:rPr>
            </w:pPr>
          </w:p>
        </w:tc>
        <w:tc>
          <w:tcPr>
            <w:tcW w:w="10004" w:type="dxa"/>
            <w:vAlign w:val="center"/>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本部门主要负责公司生产过程的控制；基础设施的管理、设备的维护保养工作；工作环境的管理；产品实现的策划及控制等工序控制及相应环境和职业健康安全的运行控制。</w:t>
            </w:r>
          </w:p>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与部门负责人沟通，生产技术部长了解本部门的职责权限，暂无变化。</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280" w:lineRule="exact"/>
              <w:rPr>
                <w:rFonts w:hint="eastAsia" w:ascii="仿宋" w:hAnsi="仿宋" w:eastAsia="仿宋" w:cs="仿宋"/>
                <w:b/>
                <w:sz w:val="21"/>
                <w:szCs w:val="21"/>
              </w:rPr>
            </w:pPr>
            <w:r>
              <w:rPr>
                <w:rFonts w:hint="eastAsia" w:ascii="仿宋" w:hAnsi="仿宋" w:eastAsia="仿宋" w:cs="仿宋"/>
                <w:color w:val="000000"/>
                <w:kern w:val="0"/>
                <w:sz w:val="21"/>
                <w:szCs w:val="21"/>
              </w:rPr>
              <w:t>目标及其实现的策划总要求</w:t>
            </w:r>
          </w:p>
        </w:tc>
        <w:tc>
          <w:tcPr>
            <w:tcW w:w="1311" w:type="dxa"/>
          </w:tcPr>
          <w:p>
            <w:pPr>
              <w:spacing w:line="28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QEO6.2</w:t>
            </w:r>
          </w:p>
          <w:p>
            <w:pPr>
              <w:spacing w:line="280" w:lineRule="exact"/>
              <w:rPr>
                <w:rFonts w:hint="eastAsia" w:ascii="仿宋" w:hAnsi="仿宋" w:eastAsia="仿宋" w:cs="仿宋"/>
                <w:color w:val="000000"/>
                <w:kern w:val="0"/>
                <w:sz w:val="21"/>
                <w:szCs w:val="21"/>
              </w:rPr>
            </w:pPr>
          </w:p>
          <w:p>
            <w:pPr>
              <w:spacing w:line="280" w:lineRule="exact"/>
              <w:rPr>
                <w:rFonts w:hint="eastAsia" w:ascii="仿宋" w:hAnsi="仿宋" w:eastAsia="仿宋" w:cs="仿宋"/>
                <w:b/>
                <w:sz w:val="21"/>
                <w:szCs w:val="21"/>
              </w:rPr>
            </w:pPr>
          </w:p>
        </w:tc>
        <w:tc>
          <w:tcPr>
            <w:tcW w:w="10004" w:type="dxa"/>
            <w:vAlign w:val="center"/>
          </w:tcPr>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本部门的目标有:</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产品交付合格率100%；</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固体废弃物100%分类处理</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火灾事故发生率0</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不发生重大安全事故</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部门分解目标与公司方针一致，可测量，并传达到部门相关人员，必要时适时更新，目前无变化。</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提供《目标完成情况考核统计表》，最近一次考核于</w:t>
            </w:r>
            <w:r>
              <w:rPr>
                <w:rFonts w:hint="eastAsia" w:ascii="仿宋" w:hAnsi="仿宋" w:eastAsia="仿宋" w:cs="仿宋"/>
                <w:color w:val="000000"/>
                <w:sz w:val="21"/>
                <w:szCs w:val="21"/>
                <w:lang w:val="en-US" w:eastAsia="zh-CN"/>
              </w:rPr>
              <w:t>2022.6.20</w:t>
            </w:r>
            <w:r>
              <w:rPr>
                <w:rFonts w:hint="eastAsia" w:ascii="仿宋" w:hAnsi="仿宋" w:eastAsia="仿宋" w:cs="仿宋"/>
                <w:color w:val="000000"/>
                <w:sz w:val="21"/>
                <w:szCs w:val="21"/>
              </w:rPr>
              <w:t>。完成情况：以上各产品标均已达成。</w:t>
            </w:r>
          </w:p>
          <w:p>
            <w:pPr>
              <w:spacing w:line="28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pPr>
              <w:jc w:val="both"/>
              <w:rPr>
                <w:rFonts w:hint="eastAsia" w:ascii="仿宋" w:hAnsi="仿宋" w:eastAsia="仿宋" w:cs="仿宋"/>
                <w:color w:val="000000"/>
                <w:sz w:val="21"/>
                <w:szCs w:val="21"/>
              </w:rPr>
            </w:pPr>
            <w:r>
              <w:rPr>
                <w:rFonts w:hint="eastAsia" w:ascii="仿宋" w:hAnsi="仿宋" w:eastAsia="仿宋" w:cs="仿宋"/>
                <w:color w:val="000000"/>
                <w:sz w:val="21"/>
                <w:szCs w:val="21"/>
              </w:rPr>
              <w:t>抽查20</w:t>
            </w:r>
            <w:r>
              <w:rPr>
                <w:rFonts w:hint="eastAsia" w:ascii="仿宋" w:hAnsi="仿宋" w:eastAsia="仿宋" w:cs="仿宋"/>
                <w:color w:val="000000"/>
                <w:sz w:val="21"/>
                <w:szCs w:val="21"/>
                <w:lang w:val="en-US" w:eastAsia="zh-CN"/>
              </w:rPr>
              <w:t>22</w:t>
            </w:r>
            <w:r>
              <w:rPr>
                <w:rFonts w:hint="eastAsia" w:ascii="仿宋" w:hAnsi="仿宋" w:eastAsia="仿宋" w:cs="仿宋"/>
                <w:color w:val="000000"/>
                <w:sz w:val="21"/>
                <w:szCs w:val="21"/>
              </w:rPr>
              <w:t>年</w:t>
            </w: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月</w:t>
            </w:r>
            <w:r>
              <w:rPr>
                <w:rFonts w:hint="eastAsia" w:ascii="仿宋" w:hAnsi="仿宋" w:eastAsia="仿宋" w:cs="仿宋"/>
                <w:color w:val="000000"/>
                <w:sz w:val="21"/>
                <w:szCs w:val="21"/>
                <w:lang w:val="en-US" w:eastAsia="zh-CN"/>
              </w:rPr>
              <w:t>31日</w:t>
            </w:r>
            <w:r>
              <w:rPr>
                <w:rFonts w:hint="eastAsia" w:ascii="仿宋" w:hAnsi="仿宋" w:eastAsia="仿宋" w:cs="仿宋"/>
                <w:color w:val="000000"/>
                <w:sz w:val="21"/>
                <w:szCs w:val="21"/>
              </w:rPr>
              <w:t>《环境管理方案实施情况表》</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管理方案实施情况较好，符合计划要求。</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280" w:lineRule="exact"/>
              <w:rPr>
                <w:rFonts w:hint="eastAsia" w:ascii="仿宋" w:hAnsi="仿宋" w:eastAsia="仿宋" w:cs="仿宋"/>
                <w:bCs/>
                <w:color w:val="000000"/>
                <w:sz w:val="21"/>
                <w:szCs w:val="21"/>
              </w:rPr>
            </w:pPr>
            <w:r>
              <w:rPr>
                <w:rFonts w:hint="eastAsia" w:ascii="仿宋" w:hAnsi="仿宋" w:eastAsia="仿宋" w:cs="仿宋"/>
                <w:bCs/>
                <w:color w:val="000000"/>
                <w:sz w:val="21"/>
                <w:szCs w:val="21"/>
              </w:rPr>
              <w:t>过程运行环境</w:t>
            </w:r>
          </w:p>
          <w:p>
            <w:pPr>
              <w:spacing w:line="280" w:lineRule="exact"/>
              <w:rPr>
                <w:rFonts w:hint="eastAsia" w:ascii="仿宋" w:hAnsi="仿宋" w:eastAsia="仿宋" w:cs="仿宋"/>
                <w:b/>
                <w:sz w:val="21"/>
                <w:szCs w:val="21"/>
              </w:rPr>
            </w:pPr>
          </w:p>
        </w:tc>
        <w:tc>
          <w:tcPr>
            <w:tcW w:w="1311" w:type="dxa"/>
          </w:tcPr>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Q7.1.4</w:t>
            </w:r>
          </w:p>
        </w:tc>
        <w:tc>
          <w:tcPr>
            <w:tcW w:w="10004" w:type="dxa"/>
          </w:tcPr>
          <w:p>
            <w:pPr>
              <w:tabs>
                <w:tab w:val="left" w:pos="6597"/>
              </w:tabs>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产品生产对环境没有特殊要求。生产技术部负责工作环境的管理，组织确定并提供了产品要求所需的工作环境。</w:t>
            </w:r>
          </w:p>
          <w:p>
            <w:pPr>
              <w:tabs>
                <w:tab w:val="left" w:pos="6597"/>
              </w:tabs>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现场查看：生产环境适宜，生产车间面积适宜，产品摆放场地宽敞平整，车间内设备安装合理，但是地面不够干净，通风、采光效果良好。配备有排气扇、灭火器等安全防护设备设施。员工根据工种的不同，配有相关的劳动防护用品（手套、口罩），并佩带合理。</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办公室内配有取暖设施，采光、通风条件良好。</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工作环境均能满足生产合格产品的要求，未发现有不良的环境因素。</w:t>
            </w:r>
          </w:p>
        </w:tc>
        <w:tc>
          <w:tcPr>
            <w:tcW w:w="1585"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运行的策划和控制</w:t>
            </w:r>
          </w:p>
          <w:p>
            <w:pPr>
              <w:spacing w:line="360" w:lineRule="auto"/>
              <w:rPr>
                <w:rFonts w:hint="eastAsia" w:ascii="仿宋" w:hAnsi="仿宋" w:eastAsia="仿宋" w:cs="仿宋"/>
                <w:b/>
                <w:sz w:val="21"/>
                <w:szCs w:val="21"/>
              </w:rPr>
            </w:pPr>
          </w:p>
        </w:tc>
        <w:tc>
          <w:tcPr>
            <w:tcW w:w="1311" w:type="dxa"/>
          </w:tcPr>
          <w:p>
            <w:pPr>
              <w:spacing w:line="360" w:lineRule="auto"/>
              <w:rPr>
                <w:rFonts w:hint="eastAsia" w:ascii="仿宋" w:hAnsi="仿宋" w:eastAsia="仿宋" w:cs="仿宋"/>
                <w:b/>
                <w:sz w:val="21"/>
                <w:szCs w:val="21"/>
              </w:rPr>
            </w:pPr>
            <w:r>
              <w:rPr>
                <w:rFonts w:hint="eastAsia" w:ascii="仿宋" w:hAnsi="仿宋" w:eastAsia="仿宋" w:cs="仿宋"/>
                <w:bCs/>
                <w:sz w:val="21"/>
                <w:szCs w:val="21"/>
              </w:rPr>
              <w:t>Q8.1</w:t>
            </w:r>
          </w:p>
        </w:tc>
        <w:tc>
          <w:tcPr>
            <w:tcW w:w="10004" w:type="dxa"/>
          </w:tcPr>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组织对许可范围内的锻制法兰、管件的加工销售，防腐保温耐磨管件、管道支吊架、电厂配件、焊接结构件、钢材、钢管、阀门、五金配件的销售过程进行了策划。</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产品执行：GB/T12459-2017钢制对焊无缝管件、HG/T20592-2009钢制管法兰（PN系列）、GB/T14383-2008锻制承插焊和螺纹管件等标准及顾客要求等。并作为产品的质量目标和要求。</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制定的产品生产工艺图和销售流程图清晰地描述了产品生产和销售服务的过程。</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组织确定了《工艺流程卡》、《图纸》、《作业指导书》、《安全操作规程》、《工艺守则》、《产品检验规范》、《销售服务作业指导书》等文件，描述了产品实现的方法和接收准则。</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体系覆盖的产品为：锻制法兰、管件、防腐保温耐磨管件、管道支吊架、电厂配件、焊接结构件、钢材、钢管、阀门、五金配件的销售。</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公司为产品实现提供了充足的资源，如：设备、人员、工厂车间、物料等。</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为提供证据公司确定了有关产品实现的记录，如《原材料验收记录》、《过程检验记录》、《成品检验单》、《产品质量合格证明书》、《销售服务过程检查记录表》等。</w:t>
            </w:r>
          </w:p>
          <w:p>
            <w:pPr>
              <w:spacing w:line="360" w:lineRule="auto"/>
              <w:ind w:firstLine="480"/>
              <w:rPr>
                <w:rFonts w:hint="eastAsia" w:ascii="仿宋" w:hAnsi="仿宋" w:eastAsia="仿宋" w:cs="仿宋"/>
                <w:sz w:val="21"/>
                <w:szCs w:val="21"/>
              </w:rPr>
            </w:pPr>
            <w:r>
              <w:rPr>
                <w:rFonts w:hint="eastAsia" w:ascii="仿宋" w:hAnsi="仿宋" w:eastAsia="仿宋" w:cs="仿宋"/>
                <w:sz w:val="21"/>
                <w:szCs w:val="21"/>
              </w:rPr>
              <w:t>与部门负责人沟通，</w:t>
            </w:r>
            <w:r>
              <w:rPr>
                <w:rFonts w:hint="eastAsia" w:ascii="仿宋" w:hAnsi="仿宋" w:eastAsia="仿宋" w:cs="仿宋"/>
                <w:bCs/>
                <w:sz w:val="21"/>
                <w:szCs w:val="21"/>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Pr>
                <w:rFonts w:hint="eastAsia" w:ascii="仿宋" w:hAnsi="仿宋" w:eastAsia="仿宋" w:cs="仿宋"/>
                <w:sz w:val="21"/>
                <w:szCs w:val="21"/>
              </w:rPr>
              <w:t>目前暂无更改情况。</w:t>
            </w:r>
          </w:p>
          <w:p>
            <w:pPr>
              <w:tabs>
                <w:tab w:val="left" w:pos="6597"/>
              </w:tabs>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组织对产品实现的策划管理符合标准的要求。</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仿宋" w:hAnsi="仿宋" w:eastAsia="仿宋" w:cs="仿宋"/>
                <w:bCs/>
                <w:sz w:val="21"/>
                <w:szCs w:val="21"/>
              </w:rPr>
            </w:pPr>
            <w:r>
              <w:rPr>
                <w:rFonts w:hint="eastAsia" w:ascii="仿宋" w:hAnsi="仿宋" w:eastAsia="仿宋" w:cs="仿宋"/>
                <w:sz w:val="21"/>
                <w:szCs w:val="21"/>
              </w:rPr>
              <w:t>不适用确认</w:t>
            </w:r>
          </w:p>
        </w:tc>
        <w:tc>
          <w:tcPr>
            <w:tcW w:w="1311" w:type="dxa"/>
          </w:tcPr>
          <w:p>
            <w:pPr>
              <w:spacing w:line="360" w:lineRule="auto"/>
              <w:rPr>
                <w:rFonts w:hint="eastAsia" w:ascii="仿宋" w:hAnsi="仿宋" w:eastAsia="仿宋" w:cs="仿宋"/>
                <w:bCs/>
                <w:sz w:val="21"/>
                <w:szCs w:val="21"/>
              </w:rPr>
            </w:pPr>
            <w:r>
              <w:rPr>
                <w:rFonts w:hint="eastAsia" w:ascii="仿宋" w:hAnsi="仿宋" w:eastAsia="仿宋" w:cs="仿宋"/>
                <w:sz w:val="21"/>
                <w:szCs w:val="21"/>
              </w:rPr>
              <w:t>Q8.3</w:t>
            </w:r>
          </w:p>
        </w:tc>
        <w:tc>
          <w:tcPr>
            <w:tcW w:w="10004" w:type="dxa"/>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bCs/>
                <w:sz w:val="21"/>
                <w:szCs w:val="21"/>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仿宋" w:hAnsi="仿宋" w:eastAsia="仿宋" w:cs="仿宋"/>
                <w:b/>
                <w:sz w:val="21"/>
                <w:szCs w:val="21"/>
              </w:rPr>
            </w:pPr>
            <w:r>
              <w:rPr>
                <w:rFonts w:hint="eastAsia" w:ascii="仿宋" w:hAnsi="仿宋" w:eastAsia="仿宋" w:cs="仿宋"/>
                <w:bCs/>
                <w:sz w:val="21"/>
                <w:szCs w:val="21"/>
              </w:rPr>
              <w:t>生产和服务提供的控制</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Q8.5.1</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现场观察</w:t>
            </w:r>
          </w:p>
          <w:p>
            <w:pPr>
              <w:spacing w:line="360" w:lineRule="auto"/>
              <w:rPr>
                <w:rFonts w:hint="eastAsia" w:ascii="仿宋" w:hAnsi="仿宋" w:eastAsia="仿宋" w:cs="仿宋"/>
                <w:sz w:val="21"/>
                <w:szCs w:val="21"/>
              </w:rPr>
            </w:pPr>
          </w:p>
        </w:tc>
        <w:tc>
          <w:tcPr>
            <w:tcW w:w="10004" w:type="dxa"/>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公司规定了生产和服务的控制要求，符合企业实际和标准要求，具有可操作性。</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一、现场查看受控条件：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 组织目前从事的是法兰、管件的加工销售。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color w:val="000000"/>
                <w:sz w:val="21"/>
                <w:szCs w:val="21"/>
              </w:rPr>
              <w:t>生产的工艺流程是：毛坯</w:t>
            </w:r>
            <w:r>
              <w:rPr>
                <w:rFonts w:hint="eastAsia" w:ascii="仿宋" w:hAnsi="仿宋" w:eastAsia="仿宋" w:cs="仿宋"/>
                <w:sz w:val="21"/>
                <w:szCs w:val="21"/>
              </w:rPr>
              <w:t>检验→机加工→去毛刺→刷油→标识→成品检验→包装→入库→交付。</w:t>
            </w:r>
          </w:p>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通常依据客户的订单来确定需要生产法兰、管件的数量、规格、型号、交货期等制作相应的生产计划表，从而控制生产和销售的有序进行。</w:t>
            </w:r>
          </w:p>
          <w:p>
            <w:pPr>
              <w:autoSpaceDE w:val="0"/>
              <w:autoSpaceDN w:val="0"/>
              <w:adjustRightIn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提供了顾客的订单要求，内容包括：规格型号、数量、价格、交货期，齐全完整。</w:t>
            </w:r>
          </w:p>
          <w:p>
            <w:pPr>
              <w:spacing w:line="360" w:lineRule="auto"/>
              <w:ind w:left="267" w:leftChars="127" w:firstLine="121" w:firstLineChars="58"/>
              <w:rPr>
                <w:rFonts w:hint="eastAsia" w:ascii="仿宋" w:hAnsi="仿宋" w:eastAsia="仿宋" w:cs="仿宋"/>
                <w:sz w:val="21"/>
                <w:szCs w:val="21"/>
              </w:rPr>
            </w:pPr>
            <w:r>
              <w:rPr>
                <w:rFonts w:hint="eastAsia" w:ascii="仿宋" w:hAnsi="仿宋" w:eastAsia="仿宋" w:cs="仿宋"/>
                <w:sz w:val="21"/>
                <w:szCs w:val="21"/>
              </w:rPr>
              <w:t>根据客户订单下发生产计划表，内容：产品名称、规格、生产数量、完成日期等。同时下发产品的图纸和工艺流程卡，图纸和工艺流程卡规定了产品特性和加工要求员工的实际操作依据《图纸》、《工艺卡》、《法兰机加工作业指导书》、《管件机加工作业指导书》、《设备操作规程》、检验标准等。</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2）提供和配置了游标卡尺、硬度计等，监视和测量设备配置适宜，维护保养良好，能够满足质量特性测量需要。</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color w:val="000000"/>
                <w:sz w:val="21"/>
                <w:szCs w:val="21"/>
              </w:rPr>
              <w:t>检验活动包</w:t>
            </w:r>
            <w:r>
              <w:rPr>
                <w:rFonts w:hint="eastAsia" w:ascii="仿宋" w:hAnsi="仿宋" w:eastAsia="仿宋" w:cs="仿宋"/>
                <w:sz w:val="21"/>
                <w:szCs w:val="21"/>
              </w:rPr>
              <w:t>括原材料检验、工序检验、成品检验。</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4）提供和配备了车床、立车、立钻、锯床等，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5）生产操作人员和技术人员、管理人员以及质检员都经过了培训，能力满足要求，特种作业人员持证上岗。</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6）属于机加工企业，生产过程无需确认的过程。</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7）提供了设备安全操作规程、作业指导书、图纸、专用模具等，规定了操作的步骤、方法、注意事项等，操作人员直接按要求进行控制，防止人为错误。</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8)所有的产品(从原材料至成品)都必须经检验合格后方可转序、入库和交付。质检部负责产品的检验和放行，产品经过测试检验合格后方可放行和交付，供销部负责产品交付和交付后活动的实施，并负责联系售后服务。发货前由供销部开具出库单(一式三份,留存一联、财务一联、客户一联)，成品库管员依据出库单发货，随货同行有产品合格证、出厂检验报告，公司负责联系货运交付到指定地点，经查出库、交付手续齐全。</w:t>
            </w:r>
          </w:p>
          <w:p>
            <w:pPr>
              <w:spacing w:line="360" w:lineRule="auto"/>
              <w:ind w:firstLine="308" w:firstLineChars="147"/>
              <w:rPr>
                <w:rFonts w:hint="eastAsia" w:ascii="仿宋" w:hAnsi="仿宋" w:eastAsia="仿宋" w:cs="仿宋"/>
                <w:sz w:val="21"/>
                <w:szCs w:val="21"/>
              </w:rPr>
            </w:pPr>
            <w:r>
              <w:rPr>
                <w:rFonts w:hint="eastAsia" w:ascii="仿宋" w:hAnsi="仿宋" w:eastAsia="仿宋" w:cs="仿宋"/>
                <w:sz w:val="21"/>
                <w:szCs w:val="21"/>
              </w:rPr>
              <w:t>现场观察：</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车加工工序：操作工正在根据图纸和工艺卡片要求加工法兰台阶，加工后自检尺寸，现场实测符合要求。</w:t>
            </w:r>
          </w:p>
          <w:p>
            <w:pPr>
              <w:autoSpaceDE w:val="0"/>
              <w:autoSpaceDN w:val="0"/>
              <w:adjustRightInd w:val="0"/>
              <w:spacing w:line="360"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检验</w:t>
            </w:r>
            <w:r>
              <w:rPr>
                <w:rFonts w:hint="eastAsia" w:ascii="仿宋" w:hAnsi="仿宋" w:eastAsia="仿宋" w:cs="仿宋"/>
                <w:sz w:val="21"/>
                <w:szCs w:val="21"/>
              </w:rPr>
              <w:t>工序：操作工正在</w:t>
            </w:r>
            <w:r>
              <w:rPr>
                <w:rFonts w:hint="eastAsia" w:ascii="仿宋" w:hAnsi="仿宋" w:eastAsia="仿宋" w:cs="仿宋"/>
                <w:sz w:val="21"/>
                <w:szCs w:val="21"/>
                <w:lang w:val="en-US" w:eastAsia="zh-CN"/>
              </w:rPr>
              <w:t>检验法兰尺寸和硬度</w:t>
            </w:r>
            <w:r>
              <w:rPr>
                <w:rFonts w:hint="eastAsia" w:ascii="仿宋" w:hAnsi="仿宋" w:eastAsia="仿宋" w:cs="仿宋"/>
                <w:sz w:val="21"/>
                <w:szCs w:val="21"/>
              </w:rPr>
              <w:t>，现场观察其操作符合要求。</w:t>
            </w:r>
            <w:r>
              <w:rPr>
                <w:rFonts w:hint="eastAsia" w:ascii="仿宋" w:hAnsi="仿宋" w:eastAsia="仿宋" w:cs="仿宋"/>
                <w:sz w:val="21"/>
                <w:szCs w:val="21"/>
                <w:lang w:eastAsia="zh-CN"/>
              </w:rPr>
              <w:drawing>
                <wp:inline distT="0" distB="0" distL="114300" distR="114300">
                  <wp:extent cx="5960745" cy="1380490"/>
                  <wp:effectExtent l="0" t="0" r="8255" b="3810"/>
                  <wp:docPr id="7" name="图片 7" descr="微信图片_2022091916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919163807"/>
                          <pic:cNvPicPr>
                            <a:picLocks noChangeAspect="1"/>
                          </pic:cNvPicPr>
                        </pic:nvPicPr>
                        <pic:blipFill>
                          <a:blip r:embed="rId6"/>
                          <a:stretch>
                            <a:fillRect/>
                          </a:stretch>
                        </pic:blipFill>
                        <pic:spPr>
                          <a:xfrm>
                            <a:off x="0" y="0"/>
                            <a:ext cx="5960745" cy="1380490"/>
                          </a:xfrm>
                          <a:prstGeom prst="rect">
                            <a:avLst/>
                          </a:prstGeom>
                        </pic:spPr>
                      </pic:pic>
                    </a:graphicData>
                  </a:graphic>
                </wp:inline>
              </w:drawing>
            </w:r>
          </w:p>
          <w:p>
            <w:pPr>
              <w:spacing w:line="360" w:lineRule="auto"/>
              <w:rPr>
                <w:rFonts w:hint="eastAsia" w:ascii="仿宋" w:hAnsi="仿宋" w:eastAsia="仿宋" w:cs="仿宋"/>
                <w:sz w:val="21"/>
                <w:szCs w:val="21"/>
              </w:rPr>
            </w:pPr>
            <w:r>
              <w:rPr>
                <w:rFonts w:hint="eastAsia" w:ascii="仿宋" w:hAnsi="仿宋" w:eastAsia="仿宋" w:cs="仿宋"/>
                <w:sz w:val="21"/>
                <w:szCs w:val="21"/>
              </w:rPr>
              <w:drawing>
                <wp:inline distT="0" distB="0" distL="114300" distR="114300">
                  <wp:extent cx="6009640" cy="2476500"/>
                  <wp:effectExtent l="0" t="0" r="10160" b="0"/>
                  <wp:docPr id="2" name="图片 2" descr="微信图片_20220918142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181422175"/>
                          <pic:cNvPicPr>
                            <a:picLocks noChangeAspect="1"/>
                          </pic:cNvPicPr>
                        </pic:nvPicPr>
                        <pic:blipFill>
                          <a:blip r:embed="rId7"/>
                          <a:stretch>
                            <a:fillRect/>
                          </a:stretch>
                        </pic:blipFill>
                        <pic:spPr>
                          <a:xfrm>
                            <a:off x="0" y="0"/>
                            <a:ext cx="6009640" cy="2476500"/>
                          </a:xfrm>
                          <a:prstGeom prst="rect">
                            <a:avLst/>
                          </a:prstGeom>
                        </pic:spPr>
                      </pic:pic>
                    </a:graphicData>
                  </a:graphic>
                </wp:inline>
              </w:drawing>
            </w:r>
          </w:p>
          <w:p>
            <w:pPr>
              <w:spacing w:line="360" w:lineRule="auto"/>
              <w:rPr>
                <w:rFonts w:hint="eastAsia" w:ascii="仿宋" w:hAnsi="仿宋" w:eastAsia="仿宋" w:cs="仿宋"/>
                <w:sz w:val="21"/>
                <w:szCs w:val="21"/>
              </w:rPr>
            </w:pPr>
            <w:r>
              <w:rPr>
                <w:rFonts w:hint="eastAsia" w:ascii="仿宋" w:hAnsi="仿宋" w:eastAsia="仿宋" w:cs="仿宋"/>
                <w:sz w:val="21"/>
                <w:szCs w:val="21"/>
              </w:rPr>
              <w:drawing>
                <wp:inline distT="0" distB="0" distL="114300" distR="114300">
                  <wp:extent cx="5988050" cy="2795270"/>
                  <wp:effectExtent l="0" t="0" r="6350" b="11430"/>
                  <wp:docPr id="8" name="图片 8" descr="微信图片_20220918142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9181422172"/>
                          <pic:cNvPicPr>
                            <a:picLocks noChangeAspect="1"/>
                          </pic:cNvPicPr>
                        </pic:nvPicPr>
                        <pic:blipFill>
                          <a:blip r:embed="rId8"/>
                          <a:stretch>
                            <a:fillRect/>
                          </a:stretch>
                        </pic:blipFill>
                        <pic:spPr>
                          <a:xfrm>
                            <a:off x="0" y="0"/>
                            <a:ext cx="5988050" cy="2795270"/>
                          </a:xfrm>
                          <a:prstGeom prst="rect">
                            <a:avLst/>
                          </a:prstGeom>
                        </pic:spPr>
                      </pic:pic>
                    </a:graphicData>
                  </a:graphic>
                </wp:inline>
              </w:drawing>
            </w:r>
          </w:p>
          <w:p>
            <w:pPr>
              <w:spacing w:line="360" w:lineRule="auto"/>
              <w:rPr>
                <w:rFonts w:hint="eastAsia" w:ascii="仿宋" w:hAnsi="仿宋" w:eastAsia="仿宋" w:cs="仿宋"/>
                <w:sz w:val="21"/>
                <w:szCs w:val="21"/>
              </w:rPr>
            </w:pPr>
            <w:r>
              <w:rPr>
                <w:rFonts w:hint="eastAsia" w:ascii="仿宋" w:hAnsi="仿宋" w:eastAsia="仿宋" w:cs="仿宋"/>
                <w:sz w:val="21"/>
                <w:szCs w:val="21"/>
              </w:rPr>
              <w:t>通过现场观察以上工序操作均符合操作文件要求。</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color w:val="000000"/>
                <w:sz w:val="21"/>
                <w:szCs w:val="21"/>
              </w:rPr>
              <w:t>组织生产过程的控制符合标准规定的要求。</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280" w:lineRule="exact"/>
              <w:rPr>
                <w:rFonts w:hint="eastAsia" w:ascii="仿宋" w:hAnsi="仿宋" w:eastAsia="仿宋" w:cs="仿宋"/>
                <w:b/>
                <w:sz w:val="21"/>
                <w:szCs w:val="21"/>
              </w:rPr>
            </w:pPr>
            <w:r>
              <w:rPr>
                <w:rFonts w:hint="eastAsia" w:ascii="仿宋" w:hAnsi="仿宋" w:eastAsia="仿宋" w:cs="仿宋"/>
                <w:bCs/>
                <w:sz w:val="21"/>
                <w:szCs w:val="21"/>
              </w:rPr>
              <w:t>标识和可追溯性</w:t>
            </w:r>
          </w:p>
        </w:tc>
        <w:tc>
          <w:tcPr>
            <w:tcW w:w="131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Q8.5.2</w:t>
            </w:r>
          </w:p>
          <w:p>
            <w:pPr>
              <w:spacing w:line="280" w:lineRule="exact"/>
              <w:rPr>
                <w:rFonts w:hint="eastAsia" w:ascii="仿宋" w:hAnsi="仿宋" w:eastAsia="仿宋" w:cs="仿宋"/>
                <w:b/>
                <w:sz w:val="21"/>
                <w:szCs w:val="21"/>
              </w:rPr>
            </w:pPr>
          </w:p>
        </w:tc>
        <w:tc>
          <w:tcPr>
            <w:tcW w:w="10004" w:type="dxa"/>
          </w:tcPr>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原材料、过程产品、成品采用标签进行标识。抽查半成品和成品存放在车间内划定的区域内，符合要求。</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各生产区域中设置：合格区，不合格区未设置，给企业提出。</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追溯时机和方法等在文件中有规定，生产部负责组织实施和部门负责人交谈：顾客在使用中一旦出现问题反馈到公司后，公司依据生产日期，通过生产日期可查至生产工序和操作者及供方等。</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体系运行以来追溯活动：未发生。</w:t>
            </w:r>
          </w:p>
          <w:p>
            <w:pPr>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查现场各类标识，做到清楚、合理，符合要求。</w:t>
            </w:r>
          </w:p>
          <w:p>
            <w:pPr>
              <w:spacing w:line="320" w:lineRule="exact"/>
              <w:ind w:firstLine="420" w:firstLineChars="200"/>
              <w:rPr>
                <w:rFonts w:hint="eastAsia" w:ascii="仿宋" w:hAnsi="仿宋" w:eastAsia="仿宋" w:cs="仿宋"/>
                <w:b/>
                <w:sz w:val="21"/>
                <w:szCs w:val="21"/>
              </w:rPr>
            </w:pPr>
            <w:r>
              <w:rPr>
                <w:rFonts w:hint="eastAsia" w:ascii="仿宋" w:hAnsi="仿宋" w:eastAsia="仿宋" w:cs="仿宋"/>
                <w:sz w:val="21"/>
                <w:szCs w:val="21"/>
              </w:rPr>
              <w:t>未发现标识不当而造成混淆的情况。</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防护</w:t>
            </w:r>
          </w:p>
          <w:p>
            <w:pPr>
              <w:spacing w:line="280" w:lineRule="exact"/>
              <w:rPr>
                <w:rFonts w:hint="eastAsia" w:ascii="仿宋" w:hAnsi="仿宋" w:eastAsia="仿宋" w:cs="仿宋"/>
                <w:b/>
                <w:sz w:val="21"/>
                <w:szCs w:val="21"/>
              </w:rPr>
            </w:pPr>
          </w:p>
        </w:tc>
        <w:tc>
          <w:tcPr>
            <w:tcW w:w="131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Q8.5.4</w:t>
            </w:r>
          </w:p>
          <w:p>
            <w:pPr>
              <w:spacing w:line="280" w:lineRule="exact"/>
              <w:rPr>
                <w:rFonts w:hint="eastAsia" w:ascii="仿宋" w:hAnsi="仿宋" w:eastAsia="仿宋" w:cs="仿宋"/>
                <w:b/>
                <w:sz w:val="21"/>
                <w:szCs w:val="21"/>
              </w:rPr>
            </w:pPr>
          </w:p>
        </w:tc>
        <w:tc>
          <w:tcPr>
            <w:tcW w:w="10004" w:type="dxa"/>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搬运方式采用叉车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租赁</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2.8T行车</w:t>
            </w:r>
            <w:r>
              <w:rPr>
                <w:rFonts w:hint="eastAsia" w:ascii="仿宋" w:hAnsi="仿宋" w:eastAsia="仿宋" w:cs="仿宋"/>
                <w:sz w:val="21"/>
                <w:szCs w:val="21"/>
              </w:rPr>
              <w:t>搬运，小心轻放，满足搬运要求，要求吊运稳准、放置平整防滚动等。</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储存环境没有其他特殊要求，</w:t>
            </w:r>
          </w:p>
          <w:p>
            <w:pPr>
              <w:spacing w:line="280" w:lineRule="exact"/>
              <w:ind w:firstLine="420" w:firstLineChars="200"/>
              <w:rPr>
                <w:rFonts w:hint="eastAsia" w:ascii="仿宋" w:hAnsi="仿宋" w:eastAsia="仿宋" w:cs="仿宋"/>
                <w:b/>
                <w:sz w:val="21"/>
                <w:szCs w:val="21"/>
                <w:lang w:eastAsia="zh-CN"/>
              </w:rPr>
            </w:pPr>
            <w:r>
              <w:rPr>
                <w:rFonts w:hint="eastAsia" w:ascii="仿宋" w:hAnsi="仿宋" w:eastAsia="仿宋" w:cs="仿宋"/>
                <w:sz w:val="21"/>
                <w:szCs w:val="21"/>
              </w:rPr>
              <w:t>现场未出现因防护不当产生的不合格品</w:t>
            </w:r>
            <w:r>
              <w:rPr>
                <w:rFonts w:hint="eastAsia" w:ascii="仿宋" w:hAnsi="仿宋" w:eastAsia="仿宋" w:cs="仿宋"/>
                <w:sz w:val="21"/>
                <w:szCs w:val="21"/>
                <w:lang w:eastAsia="zh-CN"/>
              </w:rPr>
              <w:t>。</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280" w:lineRule="exact"/>
              <w:rPr>
                <w:rFonts w:hint="eastAsia" w:ascii="仿宋" w:hAnsi="仿宋" w:eastAsia="仿宋" w:cs="仿宋"/>
                <w:b/>
                <w:sz w:val="21"/>
                <w:szCs w:val="21"/>
              </w:rPr>
            </w:pPr>
            <w:r>
              <w:rPr>
                <w:rFonts w:hint="eastAsia" w:ascii="仿宋" w:hAnsi="仿宋" w:eastAsia="仿宋" w:cs="仿宋"/>
                <w:bCs/>
                <w:sz w:val="21"/>
                <w:szCs w:val="21"/>
              </w:rPr>
              <w:t>变更控制</w:t>
            </w:r>
          </w:p>
        </w:tc>
        <w:tc>
          <w:tcPr>
            <w:tcW w:w="1311" w:type="dxa"/>
          </w:tcPr>
          <w:p>
            <w:pPr>
              <w:spacing w:line="280" w:lineRule="exact"/>
              <w:rPr>
                <w:rFonts w:hint="eastAsia" w:ascii="仿宋" w:hAnsi="仿宋" w:eastAsia="仿宋" w:cs="仿宋"/>
                <w:bCs/>
                <w:sz w:val="21"/>
                <w:szCs w:val="21"/>
              </w:rPr>
            </w:pPr>
            <w:r>
              <w:rPr>
                <w:rFonts w:hint="eastAsia" w:ascii="仿宋" w:hAnsi="仿宋" w:eastAsia="仿宋" w:cs="仿宋"/>
                <w:bCs/>
                <w:sz w:val="21"/>
                <w:szCs w:val="21"/>
              </w:rPr>
              <w:t>Q8.5.6</w:t>
            </w:r>
          </w:p>
          <w:p>
            <w:pPr>
              <w:spacing w:line="280" w:lineRule="exact"/>
              <w:rPr>
                <w:rFonts w:hint="eastAsia" w:ascii="仿宋" w:hAnsi="仿宋" w:eastAsia="仿宋" w:cs="仿宋"/>
                <w:b/>
                <w:sz w:val="21"/>
                <w:szCs w:val="21"/>
              </w:rPr>
            </w:pPr>
          </w:p>
        </w:tc>
        <w:tc>
          <w:tcPr>
            <w:tcW w:w="10004" w:type="dxa"/>
          </w:tcPr>
          <w:p>
            <w:pPr>
              <w:spacing w:line="280" w:lineRule="exact"/>
              <w:ind w:firstLine="421"/>
              <w:rPr>
                <w:rFonts w:hint="eastAsia" w:ascii="仿宋" w:hAnsi="仿宋" w:eastAsia="仿宋" w:cs="仿宋"/>
                <w:sz w:val="21"/>
                <w:szCs w:val="21"/>
              </w:rPr>
            </w:pPr>
            <w:r>
              <w:rPr>
                <w:rFonts w:hint="eastAsia" w:ascii="仿宋" w:hAnsi="仿宋" w:eastAsia="仿宋" w:cs="仿宋"/>
                <w:sz w:val="21"/>
                <w:szCs w:val="21"/>
              </w:rPr>
              <w:t>对于生产过程的更改，公司规定通过《生产通知单》的形式重新下达。生产过程的更改指令，若涉及到交付时间更改，均有对应的合同更改评审记录，本部门再次通过《生产通知单》下达。更改的生产指令由本部门负责人签发。</w:t>
            </w:r>
          </w:p>
          <w:p>
            <w:pPr>
              <w:spacing w:line="280" w:lineRule="exact"/>
              <w:ind w:firstLine="421"/>
              <w:rPr>
                <w:rFonts w:hint="eastAsia" w:ascii="仿宋" w:hAnsi="仿宋" w:eastAsia="仿宋" w:cs="仿宋"/>
                <w:sz w:val="21"/>
                <w:szCs w:val="21"/>
              </w:rPr>
            </w:pPr>
            <w:r>
              <w:rPr>
                <w:rFonts w:hint="eastAsia" w:ascii="仿宋" w:hAnsi="仿宋" w:eastAsia="仿宋" w:cs="仿宋"/>
                <w:sz w:val="21"/>
                <w:szCs w:val="21"/>
              </w:rPr>
              <w:t>目前无生产过程的更改。</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环境因素</w:t>
            </w:r>
          </w:p>
          <w:p>
            <w:pPr>
              <w:spacing w:line="360" w:lineRule="auto"/>
              <w:rPr>
                <w:rFonts w:hint="eastAsia" w:ascii="仿宋" w:hAnsi="仿宋" w:eastAsia="仿宋" w:cs="仿宋"/>
                <w:sz w:val="21"/>
                <w:szCs w:val="21"/>
              </w:rPr>
            </w:pPr>
            <w:r>
              <w:rPr>
                <w:rFonts w:hint="eastAsia" w:ascii="仿宋" w:hAnsi="仿宋" w:eastAsia="仿宋" w:cs="仿宋"/>
                <w:bCs/>
                <w:sz w:val="21"/>
                <w:szCs w:val="21"/>
              </w:rPr>
              <w:t>危险源</w:t>
            </w:r>
          </w:p>
        </w:tc>
        <w:tc>
          <w:tcPr>
            <w:tcW w:w="1311"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EO6.1.2</w:t>
            </w:r>
          </w:p>
          <w:p>
            <w:pPr>
              <w:spacing w:line="360" w:lineRule="auto"/>
              <w:rPr>
                <w:rFonts w:hint="eastAsia" w:ascii="仿宋" w:hAnsi="仿宋" w:eastAsia="仿宋" w:cs="仿宋"/>
                <w:sz w:val="21"/>
                <w:szCs w:val="21"/>
              </w:rPr>
            </w:pPr>
          </w:p>
        </w:tc>
        <w:tc>
          <w:tcPr>
            <w:tcW w:w="10004" w:type="dxa"/>
          </w:tcPr>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提供了《环境因素的识别、评价控制程序》、《危险源辨识、风险评价和控制措施确定控制程序》，对环境因素、危险源的识别、评价结果、控制手段等做出了规定。</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color w:val="000000"/>
                <w:sz w:val="21"/>
                <w:szCs w:val="21"/>
              </w:rPr>
              <w:t>部门负责人</w:t>
            </w:r>
            <w:r>
              <w:rPr>
                <w:rFonts w:hint="eastAsia" w:ascii="仿宋" w:hAnsi="仿宋" w:eastAsia="仿宋" w:cs="仿宋"/>
                <w:sz w:val="21"/>
                <w:szCs w:val="21"/>
              </w:rPr>
              <w:t>介绍了对环境因素、危险源进行了辨识，考虑了三种时态，过去、现在和将来，三种状态，正常、异常和紧急，按照办公区域及工作过程，另外按照区域及工作过程等进行了辨识。</w:t>
            </w:r>
          </w:p>
          <w:p>
            <w:pPr>
              <w:snapToGrid w:val="0"/>
              <w:spacing w:line="360" w:lineRule="auto"/>
              <w:ind w:right="392" w:firstLine="420" w:firstLineChars="200"/>
              <w:rPr>
                <w:rFonts w:hint="eastAsia" w:ascii="仿宋" w:hAnsi="仿宋" w:eastAsia="仿宋" w:cs="仿宋"/>
                <w:sz w:val="21"/>
                <w:szCs w:val="21"/>
              </w:rPr>
            </w:pPr>
            <w:r>
              <w:rPr>
                <w:rFonts w:hint="eastAsia" w:ascii="仿宋" w:hAnsi="仿宋" w:eastAsia="仿宋" w:cs="仿宋"/>
                <w:sz w:val="21"/>
                <w:szCs w:val="21"/>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噪声超标）、设备维修（废弃丢弃、漏油、更换新部件）、配电室（故障、操作不当、电线电路老化）等环境因素。</w:t>
            </w:r>
          </w:p>
          <w:p>
            <w:pPr>
              <w:snapToGrid w:val="0"/>
              <w:spacing w:line="360" w:lineRule="auto"/>
              <w:ind w:right="392" w:firstLine="420" w:firstLineChars="200"/>
              <w:rPr>
                <w:rFonts w:hint="eastAsia" w:ascii="仿宋" w:hAnsi="仿宋" w:eastAsia="仿宋" w:cs="仿宋"/>
                <w:sz w:val="21"/>
                <w:szCs w:val="21"/>
              </w:rPr>
            </w:pPr>
            <w:r>
              <w:rPr>
                <w:rFonts w:hint="eastAsia" w:ascii="仿宋" w:hAnsi="仿宋" w:eastAsia="仿宋" w:cs="仿宋"/>
                <w:color w:val="000000"/>
                <w:sz w:val="21"/>
                <w:szCs w:val="21"/>
              </w:rPr>
              <w:t>查到：《重要环境因素清单》，公司涉及重要环境因素：</w:t>
            </w:r>
            <w:r>
              <w:rPr>
                <w:rFonts w:hint="eastAsia" w:ascii="仿宋" w:hAnsi="仿宋" w:eastAsia="仿宋" w:cs="仿宋"/>
                <w:sz w:val="21"/>
                <w:szCs w:val="21"/>
              </w:rPr>
              <w:t>电的消耗，固体废弃物的排放，用电不当导致火灾，液压油、润滑油的泄漏，噪声排放等</w:t>
            </w:r>
            <w:r>
              <w:rPr>
                <w:rFonts w:hint="eastAsia" w:ascii="仿宋" w:hAnsi="仿宋" w:eastAsia="仿宋" w:cs="仿宋"/>
                <w:color w:val="000000"/>
                <w:sz w:val="21"/>
                <w:szCs w:val="21"/>
              </w:rPr>
              <w:t>，本部门涉及的重要环境因素：均有涉及</w:t>
            </w:r>
            <w:r>
              <w:rPr>
                <w:rFonts w:hint="eastAsia" w:ascii="仿宋" w:hAnsi="仿宋" w:eastAsia="仿宋" w:cs="仿宋"/>
                <w:sz w:val="21"/>
                <w:szCs w:val="21"/>
              </w:rPr>
              <w:t>。</w:t>
            </w:r>
          </w:p>
          <w:p>
            <w:pPr>
              <w:snapToGrid w:val="0"/>
              <w:spacing w:line="360" w:lineRule="auto"/>
              <w:ind w:right="392" w:firstLine="420" w:firstLineChars="200"/>
              <w:rPr>
                <w:rFonts w:hint="eastAsia" w:ascii="仿宋" w:hAnsi="仿宋" w:eastAsia="仿宋" w:cs="仿宋"/>
                <w:sz w:val="21"/>
                <w:szCs w:val="21"/>
              </w:rPr>
            </w:pPr>
            <w:r>
              <w:rPr>
                <w:rFonts w:hint="eastAsia" w:ascii="仿宋" w:hAnsi="仿宋" w:eastAsia="仿宋" w:cs="仿宋"/>
                <w:sz w:val="21"/>
                <w:szCs w:val="21"/>
              </w:rPr>
              <w:t>查《危险源辨识及风险评价表》，</w:t>
            </w:r>
            <w:r>
              <w:rPr>
                <w:rFonts w:hint="eastAsia" w:ascii="仿宋" w:hAnsi="仿宋" w:eastAsia="仿宋" w:cs="仿宋"/>
                <w:sz w:val="21"/>
                <w:szCs w:val="21"/>
                <w:lang w:eastAsia="zh-TW"/>
              </w:rPr>
              <w:t>部门：</w:t>
            </w:r>
            <w:r>
              <w:rPr>
                <w:rFonts w:hint="eastAsia" w:ascii="仿宋" w:hAnsi="仿宋" w:eastAsia="仿宋" w:cs="仿宋"/>
                <w:sz w:val="21"/>
                <w:szCs w:val="21"/>
              </w:rPr>
              <w:t>生产技术</w:t>
            </w:r>
            <w:r>
              <w:rPr>
                <w:rFonts w:hint="eastAsia" w:ascii="仿宋" w:hAnsi="仿宋" w:eastAsia="仿宋" w:cs="仿宋"/>
                <w:sz w:val="21"/>
                <w:szCs w:val="21"/>
                <w:lang w:eastAsia="zh-TW"/>
              </w:rPr>
              <w:t>部，识别了办公和生产过程中</w:t>
            </w:r>
            <w:r>
              <w:rPr>
                <w:rFonts w:hint="eastAsia" w:ascii="仿宋" w:hAnsi="仿宋" w:eastAsia="仿宋" w:cs="仿宋"/>
                <w:sz w:val="21"/>
                <w:szCs w:val="21"/>
              </w:rPr>
              <w:t>垃圾不理不及时</w:t>
            </w:r>
            <w:r>
              <w:rPr>
                <w:rFonts w:hint="eastAsia" w:ascii="仿宋" w:hAnsi="仿宋" w:eastAsia="仿宋" w:cs="仿宋"/>
                <w:sz w:val="21"/>
                <w:szCs w:val="21"/>
                <w:lang w:eastAsia="zh-TW"/>
              </w:rPr>
              <w:t>可能导致的</w:t>
            </w:r>
            <w:r>
              <w:rPr>
                <w:rFonts w:hint="eastAsia" w:ascii="仿宋" w:hAnsi="仿宋" w:eastAsia="仿宋" w:cs="仿宋"/>
                <w:sz w:val="21"/>
                <w:szCs w:val="21"/>
              </w:rPr>
              <w:t>疾病传染</w:t>
            </w:r>
            <w:r>
              <w:rPr>
                <w:rFonts w:hint="eastAsia" w:ascii="仿宋" w:hAnsi="仿宋" w:eastAsia="仿宋" w:cs="仿宋"/>
                <w:sz w:val="21"/>
                <w:szCs w:val="21"/>
                <w:lang w:eastAsia="zh-TW"/>
              </w:rPr>
              <w:t>、</w:t>
            </w:r>
            <w:r>
              <w:rPr>
                <w:rFonts w:hint="eastAsia" w:ascii="仿宋" w:hAnsi="仿宋" w:eastAsia="仿宋" w:cs="仿宋"/>
                <w:sz w:val="21"/>
                <w:szCs w:val="21"/>
              </w:rPr>
              <w:t>人离开未断电源</w:t>
            </w:r>
            <w:r>
              <w:rPr>
                <w:rFonts w:hint="eastAsia" w:ascii="仿宋" w:hAnsi="仿宋" w:eastAsia="仿宋" w:cs="仿宋"/>
                <w:sz w:val="21"/>
                <w:szCs w:val="21"/>
                <w:lang w:eastAsia="zh-TW"/>
              </w:rPr>
              <w:t>可能导致的的火灾、生产过程</w:t>
            </w:r>
            <w:r>
              <w:rPr>
                <w:rFonts w:hint="eastAsia" w:ascii="仿宋" w:hAnsi="仿宋" w:eastAsia="仿宋" w:cs="仿宋"/>
                <w:sz w:val="21"/>
                <w:szCs w:val="21"/>
              </w:rPr>
              <w:t>违规操作</w:t>
            </w:r>
            <w:r>
              <w:rPr>
                <w:rFonts w:hint="eastAsia" w:ascii="仿宋" w:hAnsi="仿宋" w:eastAsia="仿宋" w:cs="仿宋"/>
                <w:sz w:val="21"/>
                <w:szCs w:val="21"/>
                <w:lang w:eastAsia="zh-TW"/>
              </w:rPr>
              <w:t>可能导致的</w:t>
            </w:r>
            <w:r>
              <w:rPr>
                <w:rFonts w:hint="eastAsia" w:ascii="仿宋" w:hAnsi="仿宋" w:eastAsia="仿宋" w:cs="仿宋"/>
                <w:sz w:val="21"/>
                <w:szCs w:val="21"/>
              </w:rPr>
              <w:t>人身伤害</w:t>
            </w:r>
            <w:r>
              <w:rPr>
                <w:rFonts w:hint="eastAsia" w:ascii="仿宋" w:hAnsi="仿宋" w:eastAsia="仿宋" w:cs="仿宋"/>
                <w:sz w:val="21"/>
                <w:szCs w:val="21"/>
                <w:lang w:eastAsia="zh-TW"/>
              </w:rPr>
              <w:t>等危险源</w:t>
            </w:r>
            <w:r>
              <w:rPr>
                <w:rFonts w:hint="eastAsia" w:ascii="仿宋" w:hAnsi="仿宋" w:eastAsia="仿宋" w:cs="仿宋"/>
                <w:sz w:val="21"/>
                <w:szCs w:val="21"/>
              </w:rPr>
              <w:t>。</w:t>
            </w:r>
          </w:p>
          <w:p>
            <w:pPr>
              <w:snapToGrid w:val="0"/>
              <w:spacing w:line="360" w:lineRule="auto"/>
              <w:ind w:right="392" w:firstLine="420" w:firstLineChars="200"/>
              <w:rPr>
                <w:rFonts w:hint="eastAsia" w:ascii="仿宋" w:hAnsi="仿宋" w:eastAsia="仿宋" w:cs="仿宋"/>
                <w:sz w:val="21"/>
                <w:szCs w:val="21"/>
              </w:rPr>
            </w:pPr>
            <w:r>
              <w:rPr>
                <w:rFonts w:hint="eastAsia" w:ascii="仿宋" w:hAnsi="仿宋" w:eastAsia="仿宋" w:cs="仿宋"/>
                <w:color w:val="000000"/>
                <w:sz w:val="21"/>
                <w:szCs w:val="21"/>
              </w:rPr>
              <w:t>查到：《不可接受风险清单》，</w:t>
            </w:r>
            <w:r>
              <w:rPr>
                <w:rFonts w:hint="eastAsia" w:ascii="仿宋" w:hAnsi="仿宋" w:eastAsia="仿宋" w:cs="仿宋"/>
                <w:sz w:val="21"/>
                <w:szCs w:val="21"/>
                <w:lang w:eastAsia="zh-TW"/>
              </w:rPr>
              <w:t>公司涉及重大危险源：潜在火灾、触电、人身伤害、机械伤害，本部门涉及的不可接受风险：</w:t>
            </w:r>
            <w:r>
              <w:rPr>
                <w:rFonts w:hint="eastAsia" w:ascii="仿宋" w:hAnsi="仿宋" w:eastAsia="仿宋" w:cs="仿宋"/>
                <w:color w:val="000000"/>
                <w:sz w:val="21"/>
                <w:szCs w:val="21"/>
              </w:rPr>
              <w:t>均有涉及</w:t>
            </w:r>
            <w:r>
              <w:rPr>
                <w:rFonts w:hint="eastAsia" w:ascii="仿宋" w:hAnsi="仿宋" w:eastAsia="仿宋" w:cs="仿宋"/>
                <w:sz w:val="21"/>
                <w:szCs w:val="21"/>
              </w:rPr>
              <w:t>。</w:t>
            </w:r>
          </w:p>
          <w:p>
            <w:pPr>
              <w:snapToGrid w:val="0"/>
              <w:spacing w:line="360" w:lineRule="auto"/>
              <w:ind w:right="392" w:firstLine="420" w:firstLineChars="200"/>
              <w:rPr>
                <w:rFonts w:hint="eastAsia" w:ascii="仿宋" w:hAnsi="仿宋" w:eastAsia="仿宋" w:cs="仿宋"/>
                <w:sz w:val="21"/>
                <w:szCs w:val="21"/>
              </w:rPr>
            </w:pPr>
            <w:r>
              <w:rPr>
                <w:rFonts w:hint="eastAsia" w:ascii="仿宋" w:hAnsi="仿宋" w:eastAsia="仿宋" w:cs="仿宋"/>
                <w:sz w:val="21"/>
                <w:szCs w:val="21"/>
                <w:lang w:eastAsia="zh-TW"/>
              </w:rPr>
              <w:t>对于</w:t>
            </w:r>
            <w:r>
              <w:rPr>
                <w:rFonts w:hint="eastAsia" w:ascii="仿宋" w:hAnsi="仿宋" w:eastAsia="仿宋" w:cs="仿宋"/>
                <w:sz w:val="21"/>
                <w:szCs w:val="21"/>
              </w:rPr>
              <w:t>环境因素、重要环境因素及危险源、不可接受风险等通过运行控制、管理方案、应急准备与响应进行控制。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生产技术部环境因素、危险源的识别、评价基本符合标准要求。</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809" w:type="dxa"/>
          </w:tcPr>
          <w:p>
            <w:pPr>
              <w:spacing w:line="360" w:lineRule="auto"/>
              <w:rPr>
                <w:rFonts w:hint="eastAsia" w:ascii="仿宋" w:hAnsi="仿宋" w:eastAsia="仿宋" w:cs="仿宋"/>
                <w:sz w:val="21"/>
                <w:szCs w:val="21"/>
              </w:rPr>
            </w:pPr>
            <w:r>
              <w:rPr>
                <w:rFonts w:hint="eastAsia" w:ascii="仿宋" w:hAnsi="仿宋" w:eastAsia="仿宋" w:cs="仿宋"/>
                <w:bCs/>
                <w:sz w:val="21"/>
                <w:szCs w:val="21"/>
              </w:rPr>
              <w:t>运行控制</w:t>
            </w:r>
          </w:p>
        </w:tc>
        <w:tc>
          <w:tcPr>
            <w:tcW w:w="1311"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EO8.1</w:t>
            </w:r>
          </w:p>
          <w:p>
            <w:pPr>
              <w:spacing w:line="360" w:lineRule="auto"/>
              <w:rPr>
                <w:rFonts w:hint="eastAsia" w:ascii="仿宋" w:hAnsi="仿宋" w:eastAsia="仿宋" w:cs="仿宋"/>
                <w:sz w:val="21"/>
                <w:szCs w:val="21"/>
              </w:rPr>
            </w:pPr>
          </w:p>
        </w:tc>
        <w:tc>
          <w:tcPr>
            <w:tcW w:w="10004" w:type="dxa"/>
          </w:tcPr>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编制了与环境、安全体系运行控制有关的文件。</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1、废水管控：</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生产过程不产生废水，生活废水排入政府管网集中处理。</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2、废气管控：</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主要是机加工过程轻微废气，无组织排放，经排风扇加强通风。</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3、噪声管控：</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机加工过程产生轻微噪声，采取厂房内操作和选用低噪声的设备和工具，同时加强设备的检查和维保，确保机械设备在正常工况下运行，其他工序基本无噪声。</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4、固废管控：</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生产过程中主要为切割产生废边角余料。生产技术部将以上废弃物放置固定位置，积攒一定量后出售有处理能力的单位回收再利用。目前未处理过。</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车间机修和保养时产生的含油抹布，采取暂存后交当地环卫部门处理。废润滑油桶由供方回收再利用。</w:t>
            </w:r>
          </w:p>
          <w:p>
            <w:pPr>
              <w:numPr>
                <w:ilvl w:val="0"/>
                <w:numId w:val="1"/>
              </w:num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能源资源管控：</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生产过程注意节水、节电、节钢材，人走关闭设备和照明开关，现场未发现有漏水和浪费电能的现象。</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6、产品生命周期的环境管控：</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公司从工艺设计和采购产品时已考虑了产品的环保性，生产过程中，严格按照环保等管理制度实施，控制好辅助材料的用量，避免浪费，生命周期终了时钢材还可以回收再利用。</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7、潜在火灾管控：</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公司生产车间和办公区域配备了灭火器，均符合要求。</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8、安全防护：</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公司给员工发放手套、口罩、防护眼镜等劳保用品，车间和设备上悬挂安全警示牌。设备旋转部位和凸出部位，安装有防护罩和防护栏等，设备运行状况良好，无带病工作现象。</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9、能提供防止员工意外伤害加重的急救药品如创可贴、杀菌药水等。</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10、为主要长期员工上社保，查见交款证明。</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11、按有关程序和要求通报供方和顾客，采用〈告知函〉方式通报。查到相关方告知书。</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12、员工饮用水为纯净水通过饮水机饮用。</w:t>
            </w:r>
          </w:p>
          <w:p>
            <w:pPr>
              <w:spacing w:line="360" w:lineRule="auto"/>
              <w:ind w:firstLine="421"/>
              <w:rPr>
                <w:rFonts w:hint="eastAsia" w:ascii="仿宋" w:hAnsi="仿宋" w:eastAsia="仿宋" w:cs="仿宋"/>
                <w:sz w:val="21"/>
                <w:szCs w:val="21"/>
              </w:rPr>
            </w:pPr>
            <w:r>
              <w:rPr>
                <w:rFonts w:hint="eastAsia" w:ascii="仿宋" w:hAnsi="仿宋" w:eastAsia="仿宋" w:cs="仿宋"/>
                <w:sz w:val="21"/>
                <w:szCs w:val="21"/>
              </w:rPr>
              <w:t>13现场观察运行控制：</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现场巡视生产区域配备有灭火器多个。</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现场查看各工序设备运转基本正常，人员操作方法合理，并佩带要相应的防护措施，如手套、口罩、防护眼镜等。</w:t>
            </w:r>
          </w:p>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各车间安全设施设有提示说明，方便取用，未发现遮挡消防设施和挤占消防通道的情况。</w:t>
            </w:r>
          </w:p>
          <w:p>
            <w:pPr>
              <w:autoSpaceDE w:val="0"/>
              <w:autoSpaceDN w:val="0"/>
              <w:adjustRightInd w:val="0"/>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机加工过程基本无废气产生。</w:t>
            </w:r>
          </w:p>
          <w:p>
            <w:pPr>
              <w:autoSpaceDE w:val="0"/>
              <w:autoSpaceDN w:val="0"/>
              <w:adjustRightInd w:val="0"/>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生产车间标有各种警示标识，如：小心触电、禁止吸烟、进入厂房须戴安全帽等，车间采光良好、空气流通，车间噪音较小对员工危害不大。</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与车床、钻床、打磨岗位操作人员交流了解到，员工均接受过环保和职业健康安全相关知识的培训，包括应急预案及演练等，现场人员交流对触电、机械伤害、防火、逃生均较为清楚、明确，了解本岗位的设备安全操作规程。 </w:t>
            </w:r>
          </w:p>
          <w:p>
            <w:pPr>
              <w:autoSpaceDE w:val="0"/>
              <w:autoSpaceDN w:val="0"/>
              <w:adjustRightInd w:val="0"/>
              <w:spacing w:line="36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车床和钻床设备旋转部位和凸出部位，安装有防护罩和防护栏等，设备运行状况良好，无带病工作现象，无漏油情况，噪声轻微。搬运人员配戴线手套</w:t>
            </w:r>
            <w:r>
              <w:rPr>
                <w:rFonts w:hint="eastAsia" w:ascii="仿宋" w:hAnsi="仿宋" w:eastAsia="仿宋" w:cs="仿宋"/>
                <w:sz w:val="21"/>
                <w:szCs w:val="21"/>
                <w:lang w:val="en-US" w:eastAsia="zh-CN"/>
              </w:rPr>
              <w:t>等防护用品</w:t>
            </w:r>
            <w:r>
              <w:rPr>
                <w:rFonts w:hint="eastAsia" w:ascii="仿宋" w:hAnsi="仿宋" w:eastAsia="仿宋" w:cs="仿宋"/>
                <w:sz w:val="21"/>
                <w:szCs w:val="21"/>
                <w:lang w:eastAsia="zh-CN"/>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提供：劳保用品发放记录表，发放劳保用品有：工作服</w:t>
            </w:r>
            <w:bookmarkStart w:id="0" w:name="_GoBack"/>
            <w:bookmarkEnd w:id="0"/>
            <w:r>
              <w:rPr>
                <w:rFonts w:hint="eastAsia" w:ascii="仿宋" w:hAnsi="仿宋" w:eastAsia="仿宋" w:cs="仿宋"/>
                <w:sz w:val="21"/>
                <w:szCs w:val="21"/>
              </w:rPr>
              <w:t>、毛巾、手套等，均有相人员签字。</w:t>
            </w:r>
          </w:p>
          <w:p>
            <w:pPr>
              <w:autoSpaceDE w:val="0"/>
              <w:autoSpaceDN w:val="0"/>
              <w:adjustRightInd w:val="0"/>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使用手持电动工具时先检查有无电线裸露等安全隐患。</w:t>
            </w:r>
          </w:p>
          <w:p>
            <w:pPr>
              <w:autoSpaceDE w:val="0"/>
              <w:autoSpaceDN w:val="0"/>
              <w:adjustRightInd w:val="0"/>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润滑油存放在车间独立区域，地面干净无泄露情况，无废油桶暂存。废含油抹布和手套放在了一个小桶内，车间主任介绍由于含油抹布已不是危险固废，等暂存满了交当地环卫部门处理。</w:t>
            </w:r>
          </w:p>
          <w:p>
            <w:pPr>
              <w:spacing w:line="360" w:lineRule="auto"/>
              <w:ind w:firstLine="315" w:firstLineChars="150"/>
              <w:rPr>
                <w:rFonts w:hint="eastAsia" w:ascii="仿宋" w:hAnsi="仿宋" w:eastAsia="仿宋" w:cs="仿宋"/>
                <w:color w:val="FF0000"/>
                <w:sz w:val="21"/>
                <w:szCs w:val="21"/>
              </w:rPr>
            </w:pPr>
            <w:r>
              <w:rPr>
                <w:rFonts w:hint="eastAsia" w:ascii="仿宋" w:hAnsi="仿宋" w:eastAsia="仿宋" w:cs="仿宋"/>
                <w:sz w:val="21"/>
                <w:szCs w:val="21"/>
              </w:rPr>
              <w:t>生产车间内现场电线布线合理，电线均处于完好状态，设备有接地及保护装置，控制柜及漏电保护器状态良好。</w:t>
            </w:r>
          </w:p>
          <w:p>
            <w:pPr>
              <w:spacing w:line="360" w:lineRule="auto"/>
              <w:ind w:firstLine="421"/>
              <w:rPr>
                <w:rFonts w:hint="eastAsia" w:ascii="仿宋" w:hAnsi="仿宋" w:eastAsia="仿宋" w:cs="仿宋"/>
                <w:b/>
                <w:bCs/>
                <w:sz w:val="21"/>
                <w:szCs w:val="21"/>
              </w:rPr>
            </w:pPr>
            <w:r>
              <w:rPr>
                <w:rFonts w:hint="eastAsia" w:ascii="仿宋" w:hAnsi="仿宋" w:eastAsia="仿宋" w:cs="仿宋"/>
                <w:sz w:val="21"/>
                <w:szCs w:val="21"/>
              </w:rPr>
              <w:t>车间现场在环保和职业健康安全防护方面的控制管理基本有效。</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仿宋" w:hAnsi="仿宋" w:eastAsia="仿宋" w:cs="仿宋"/>
                <w:sz w:val="21"/>
                <w:szCs w:val="21"/>
              </w:rPr>
            </w:pPr>
            <w:r>
              <w:rPr>
                <w:rFonts w:hint="eastAsia" w:ascii="仿宋" w:hAnsi="仿宋" w:eastAsia="仿宋" w:cs="仿宋"/>
                <w:bCs/>
                <w:sz w:val="21"/>
                <w:szCs w:val="21"/>
              </w:rPr>
              <w:t>应急准备和相应</w:t>
            </w:r>
          </w:p>
        </w:tc>
        <w:tc>
          <w:tcPr>
            <w:tcW w:w="1311" w:type="dxa"/>
          </w:tcPr>
          <w:p>
            <w:pPr>
              <w:spacing w:line="360" w:lineRule="auto"/>
              <w:rPr>
                <w:rFonts w:hint="eastAsia" w:ascii="仿宋" w:hAnsi="仿宋" w:eastAsia="仿宋" w:cs="仿宋"/>
                <w:bCs/>
                <w:sz w:val="21"/>
                <w:szCs w:val="21"/>
              </w:rPr>
            </w:pPr>
            <w:r>
              <w:rPr>
                <w:rFonts w:hint="eastAsia" w:ascii="仿宋" w:hAnsi="仿宋" w:eastAsia="仿宋" w:cs="仿宋"/>
                <w:bCs/>
                <w:sz w:val="21"/>
                <w:szCs w:val="21"/>
              </w:rPr>
              <w:t>EO8.2</w:t>
            </w:r>
          </w:p>
        </w:tc>
        <w:tc>
          <w:tcPr>
            <w:tcW w:w="10004" w:type="dxa"/>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生产技术部按照策划的《应急准备和响应控制程序程序》《火灾应急预案》等，明确了相应的运行准则。</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生产过程中加强用电安全，防止触电事故和火灾事故的发生，安装了漏电保护器。</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现场审核时现场查看车间门口灭火器指针在绿色区域。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生产现场有“禁止吸烟”，“小心触电” 等环保、安全警示标识。</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配有急救药箱，箱内有创可贴、消毒酒精、碘伏、棉棒等。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月18日参加了办公室组织的火灾预案演练，提供了相关记录。</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自体系运行以来未出现应急事故情况。</w:t>
            </w:r>
          </w:p>
        </w:tc>
        <w:tc>
          <w:tcPr>
            <w:tcW w:w="1585"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bl>
    <w:p>
      <w:pPr>
        <w:rPr>
          <w:rFonts w:hint="eastAsia" w:ascii="仿宋" w:hAnsi="仿宋" w:eastAsia="仿宋" w:cs="仿宋"/>
          <w:sz w:val="21"/>
          <w:szCs w:val="21"/>
        </w:rPr>
      </w:pPr>
      <w:r>
        <w:rPr>
          <w:rFonts w:hint="eastAsia" w:ascii="仿宋" w:hAnsi="仿宋" w:eastAsia="仿宋" w:cs="仿宋"/>
          <w:sz w:val="21"/>
          <w:szCs w:val="21"/>
        </w:rPr>
        <w:ptab w:relativeTo="margin" w:alignment="center" w:leader="none"/>
      </w:r>
    </w:p>
    <w:p>
      <w:pPr>
        <w:rPr>
          <w:rFonts w:hint="eastAsia" w:ascii="仿宋" w:hAnsi="仿宋" w:eastAsia="仿宋" w:cs="仿宋"/>
          <w:sz w:val="21"/>
          <w:szCs w:val="21"/>
        </w:rPr>
      </w:pPr>
    </w:p>
    <w:p>
      <w:pPr>
        <w:pStyle w:val="6"/>
        <w:rPr>
          <w:rFonts w:hint="eastAsia" w:ascii="仿宋" w:hAnsi="仿宋" w:eastAsia="仿宋" w:cs="仿宋"/>
          <w:sz w:val="21"/>
          <w:szCs w:val="21"/>
        </w:rPr>
      </w:pPr>
      <w:r>
        <w:rPr>
          <w:rFonts w:hint="eastAsia" w:ascii="仿宋" w:hAnsi="仿宋" w:eastAsia="仿宋" w:cs="仿宋"/>
          <w:sz w:val="21"/>
          <w:szCs w:val="21"/>
        </w:rPr>
        <w:t>说明：不符合标注N</w:t>
      </w:r>
    </w:p>
    <w:p>
      <w:pPr>
        <w:rPr>
          <w:rFonts w:hint="eastAsia" w:ascii="仿宋" w:hAnsi="仿宋" w:eastAsia="仿宋" w:cs="仿宋"/>
          <w:sz w:val="21"/>
          <w:szCs w:val="2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3B36BE"/>
    <w:rsid w:val="0DF135BC"/>
    <w:rsid w:val="13021CCC"/>
    <w:rsid w:val="171D47BD"/>
    <w:rsid w:val="1B7C1B94"/>
    <w:rsid w:val="1CA009FA"/>
    <w:rsid w:val="1CD562AC"/>
    <w:rsid w:val="2D84588D"/>
    <w:rsid w:val="2F9272B2"/>
    <w:rsid w:val="3A4561C2"/>
    <w:rsid w:val="42DC1D73"/>
    <w:rsid w:val="46E34A35"/>
    <w:rsid w:val="4CBA2B72"/>
    <w:rsid w:val="580753AD"/>
    <w:rsid w:val="5C812F82"/>
    <w:rsid w:val="612D2B3D"/>
    <w:rsid w:val="64FF24C4"/>
    <w:rsid w:val="6A8B38F6"/>
    <w:rsid w:val="6D4570D7"/>
    <w:rsid w:val="6E1C34FB"/>
    <w:rsid w:val="7A4905B7"/>
    <w:rsid w:val="7F250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2022-09-19T08:50:53Z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