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Cs/>
          <w:color w:val="000000"/>
          <w:sz w:val="36"/>
          <w:szCs w:val="36"/>
        </w:rPr>
      </w:pPr>
      <w:r>
        <w:rPr>
          <w:rFonts w:hint="eastAsia" w:ascii="仿宋" w:hAnsi="仿宋" w:eastAsia="仿宋" w:cs="仿宋"/>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65"/>
        <w:gridCol w:w="116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line="360" w:lineRule="auto"/>
              <w:jc w:val="center"/>
              <w:rPr>
                <w:rFonts w:hint="eastAsia" w:ascii="仿宋" w:hAnsi="仿宋" w:eastAsia="仿宋" w:cs="仿宋"/>
                <w:sz w:val="21"/>
                <w:szCs w:val="21"/>
              </w:rPr>
            </w:pPr>
            <w:r>
              <w:rPr>
                <w:rFonts w:hint="eastAsia" w:ascii="仿宋" w:hAnsi="仿宋" w:eastAsia="仿宋" w:cs="仿宋"/>
                <w:sz w:val="21"/>
                <w:szCs w:val="21"/>
              </w:rPr>
              <w:t>过程与活动、</w:t>
            </w:r>
          </w:p>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抽样计划</w:t>
            </w:r>
          </w:p>
        </w:tc>
        <w:tc>
          <w:tcPr>
            <w:tcW w:w="965"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涉及</w:t>
            </w:r>
          </w:p>
          <w:p>
            <w:pPr>
              <w:spacing w:line="360" w:lineRule="auto"/>
              <w:rPr>
                <w:rFonts w:hint="eastAsia" w:ascii="仿宋" w:hAnsi="仿宋" w:eastAsia="仿宋" w:cs="仿宋"/>
                <w:sz w:val="21"/>
                <w:szCs w:val="21"/>
              </w:rPr>
            </w:pPr>
            <w:r>
              <w:rPr>
                <w:rFonts w:hint="eastAsia" w:ascii="仿宋" w:hAnsi="仿宋" w:eastAsia="仿宋" w:cs="仿宋"/>
                <w:sz w:val="21"/>
                <w:szCs w:val="21"/>
              </w:rPr>
              <w:t>条款</w:t>
            </w: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受审核部门：管理层        总经理：</w:t>
            </w:r>
            <w:r>
              <w:rPr>
                <w:rFonts w:hint="eastAsia" w:ascii="仿宋" w:hAnsi="仿宋" w:eastAsia="仿宋" w:cs="仿宋"/>
                <w:sz w:val="21"/>
                <w:szCs w:val="21"/>
                <w:lang w:eastAsia="zh-CN"/>
              </w:rPr>
              <w:t>张春祥</w:t>
            </w:r>
            <w:r>
              <w:rPr>
                <w:rFonts w:hint="eastAsia" w:ascii="仿宋" w:hAnsi="仿宋" w:eastAsia="仿宋" w:cs="仿宋"/>
                <w:sz w:val="21"/>
                <w:szCs w:val="21"/>
              </w:rPr>
              <w:t xml:space="preserve">   管代： 周石磊        安全事务代表：周开明    </w:t>
            </w:r>
          </w:p>
        </w:tc>
        <w:tc>
          <w:tcPr>
            <w:tcW w:w="851" w:type="dxa"/>
            <w:vMerge w:val="restart"/>
            <w:vAlign w:val="center"/>
          </w:tcPr>
          <w:p>
            <w:pPr>
              <w:rPr>
                <w:rFonts w:hint="eastAsia" w:ascii="仿宋" w:hAnsi="仿宋" w:eastAsia="仿宋" w:cs="仿宋"/>
                <w:sz w:val="21"/>
                <w:szCs w:val="21"/>
              </w:rPr>
            </w:pPr>
            <w:r>
              <w:rPr>
                <w:rFonts w:hint="eastAsia" w:ascii="仿宋" w:hAnsi="仿宋" w:eastAsia="仿宋" w:cs="仿宋"/>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42" w:type="dxa"/>
            <w:vMerge w:val="continue"/>
            <w:vAlign w:val="center"/>
          </w:tcPr>
          <w:p>
            <w:pPr>
              <w:spacing w:line="360" w:lineRule="auto"/>
              <w:rPr>
                <w:rFonts w:hint="eastAsia" w:ascii="仿宋" w:hAnsi="仿宋" w:eastAsia="仿宋" w:cs="仿宋"/>
                <w:sz w:val="21"/>
                <w:szCs w:val="21"/>
              </w:rPr>
            </w:pPr>
          </w:p>
        </w:tc>
        <w:tc>
          <w:tcPr>
            <w:tcW w:w="965" w:type="dxa"/>
            <w:vMerge w:val="continue"/>
            <w:vAlign w:val="center"/>
          </w:tcPr>
          <w:p>
            <w:pPr>
              <w:spacing w:line="360" w:lineRule="auto"/>
              <w:rPr>
                <w:rFonts w:hint="eastAsia" w:ascii="仿宋" w:hAnsi="仿宋" w:eastAsia="仿宋" w:cs="仿宋"/>
                <w:sz w:val="21"/>
                <w:szCs w:val="21"/>
              </w:rPr>
            </w:pPr>
          </w:p>
        </w:tc>
        <w:tc>
          <w:tcPr>
            <w:tcW w:w="11651" w:type="dxa"/>
            <w:vAlign w:val="center"/>
          </w:tcPr>
          <w:p>
            <w:pPr>
              <w:spacing w:line="240" w:lineRule="exact"/>
              <w:rPr>
                <w:rFonts w:hint="eastAsia" w:ascii="仿宋" w:hAnsi="仿宋" w:eastAsia="仿宋" w:cs="仿宋"/>
                <w:sz w:val="21"/>
                <w:szCs w:val="21"/>
                <w:lang w:val="en-US" w:eastAsia="zh-CN"/>
              </w:rPr>
            </w:pPr>
            <w:r>
              <w:rPr>
                <w:rFonts w:hint="eastAsia" w:ascii="仿宋" w:hAnsi="仿宋" w:eastAsia="仿宋" w:cs="仿宋"/>
                <w:sz w:val="21"/>
                <w:szCs w:val="21"/>
              </w:rPr>
              <w:t>审核员：</w:t>
            </w:r>
            <w:r>
              <w:rPr>
                <w:rFonts w:hint="eastAsia" w:ascii="仿宋" w:hAnsi="仿宋" w:eastAsia="仿宋" w:cs="仿宋"/>
                <w:sz w:val="21"/>
                <w:szCs w:val="21"/>
                <w:lang w:val="en-US" w:eastAsia="zh-CN"/>
              </w:rPr>
              <w:t>强兴</w:t>
            </w:r>
            <w:r>
              <w:rPr>
                <w:rFonts w:hint="eastAsia" w:ascii="仿宋" w:hAnsi="仿宋" w:eastAsia="仿宋" w:cs="仿宋"/>
                <w:sz w:val="21"/>
                <w:szCs w:val="21"/>
              </w:rPr>
              <w:t xml:space="preserve">           审核时间：</w:t>
            </w:r>
            <w:r>
              <w:rPr>
                <w:rFonts w:hint="eastAsia" w:ascii="仿宋" w:hAnsi="仿宋" w:eastAsia="仿宋" w:cs="仿宋"/>
                <w:sz w:val="21"/>
                <w:szCs w:val="21"/>
              </w:rPr>
              <w:t>202</w:t>
            </w:r>
            <w:r>
              <w:rPr>
                <w:rFonts w:hint="eastAsia" w:ascii="仿宋" w:hAnsi="仿宋" w:eastAsia="仿宋" w:cs="仿宋"/>
                <w:sz w:val="21"/>
                <w:szCs w:val="21"/>
                <w:lang w:val="en-US" w:eastAsia="zh-CN"/>
              </w:rPr>
              <w:t>2.8.31</w:t>
            </w:r>
          </w:p>
        </w:tc>
        <w:tc>
          <w:tcPr>
            <w:tcW w:w="851" w:type="dxa"/>
            <w:vMerge w:val="continue"/>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spacing w:line="360" w:lineRule="auto"/>
              <w:rPr>
                <w:rFonts w:hint="eastAsia" w:ascii="仿宋" w:hAnsi="仿宋" w:eastAsia="仿宋" w:cs="仿宋"/>
                <w:sz w:val="21"/>
                <w:szCs w:val="21"/>
              </w:rPr>
            </w:pPr>
          </w:p>
        </w:tc>
        <w:tc>
          <w:tcPr>
            <w:tcW w:w="965" w:type="dxa"/>
            <w:vMerge w:val="continue"/>
            <w:vAlign w:val="center"/>
          </w:tcPr>
          <w:p>
            <w:pPr>
              <w:spacing w:line="360" w:lineRule="auto"/>
              <w:rPr>
                <w:rFonts w:hint="eastAsia" w:ascii="仿宋" w:hAnsi="仿宋" w:eastAsia="仿宋" w:cs="仿宋"/>
                <w:sz w:val="21"/>
                <w:szCs w:val="21"/>
              </w:rPr>
            </w:pPr>
          </w:p>
        </w:tc>
        <w:tc>
          <w:tcPr>
            <w:tcW w:w="11651" w:type="dxa"/>
            <w:vAlign w:val="center"/>
          </w:tcPr>
          <w:p>
            <w:pPr>
              <w:adjustRightInd w:val="0"/>
              <w:snapToGrid w:val="0"/>
              <w:spacing w:line="360" w:lineRule="auto"/>
              <w:ind w:right="105" w:rightChars="50"/>
              <w:jc w:val="left"/>
              <w:textAlignment w:val="baseline"/>
              <w:rPr>
                <w:rFonts w:hint="eastAsia" w:ascii="仿宋" w:hAnsi="仿宋" w:eastAsia="仿宋" w:cs="仿宋"/>
                <w:sz w:val="21"/>
                <w:szCs w:val="21"/>
              </w:rPr>
            </w:pPr>
            <w:r>
              <w:rPr>
                <w:rFonts w:hint="eastAsia" w:ascii="仿宋" w:hAnsi="仿宋" w:eastAsia="仿宋" w:cs="仿宋"/>
                <w:sz w:val="21"/>
                <w:szCs w:val="21"/>
              </w:rPr>
              <w:t>审核条款：</w:t>
            </w:r>
          </w:p>
          <w:p>
            <w:pPr>
              <w:adjustRightInd w:val="0"/>
              <w:snapToGrid w:val="0"/>
              <w:spacing w:line="360" w:lineRule="auto"/>
              <w:ind w:right="105" w:rightChars="50"/>
              <w:jc w:val="left"/>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9.1.1监视、测量、分析和评价总则、9.1.3分析与评价、9.3管理评审、10.1改进、10.3持续改进</w:t>
            </w:r>
          </w:p>
          <w:p>
            <w:pPr>
              <w:spacing w:line="280" w:lineRule="exact"/>
              <w:ind w:firstLine="396" w:firstLineChars="200"/>
              <w:jc w:val="left"/>
              <w:rPr>
                <w:rFonts w:hint="eastAsia" w:ascii="仿宋" w:hAnsi="仿宋" w:eastAsia="仿宋" w:cs="仿宋"/>
                <w:spacing w:val="-6"/>
                <w:sz w:val="21"/>
                <w:szCs w:val="21"/>
              </w:rPr>
            </w:pPr>
            <w:r>
              <w:rPr>
                <w:rFonts w:hint="eastAsia" w:ascii="仿宋" w:hAnsi="仿宋" w:eastAsia="仿宋" w:cs="仿宋"/>
                <w:spacing w:val="-6"/>
                <w:sz w:val="21"/>
                <w:szCs w:val="21"/>
              </w:rPr>
              <w:t>国家/地方监督抽查情况；顾客满意、相关方投诉及处理情况；</w:t>
            </w:r>
          </w:p>
          <w:p>
            <w:pPr>
              <w:tabs>
                <w:tab w:val="left" w:pos="709"/>
              </w:tabs>
              <w:ind w:right="57"/>
              <w:rPr>
                <w:rFonts w:hint="eastAsia" w:ascii="仿宋" w:hAnsi="仿宋" w:eastAsia="仿宋" w:cs="仿宋"/>
                <w:spacing w:val="-6"/>
                <w:sz w:val="21"/>
                <w:szCs w:val="21"/>
              </w:rPr>
            </w:pPr>
            <w:r>
              <w:rPr>
                <w:rFonts w:hint="eastAsia" w:ascii="仿宋" w:hAnsi="仿宋" w:eastAsia="仿宋" w:cs="仿宋"/>
                <w:spacing w:val="-6"/>
                <w:sz w:val="21"/>
                <w:szCs w:val="21"/>
              </w:rPr>
              <w:t>验证企业相关资质证明的有效性</w:t>
            </w:r>
            <w:r>
              <w:rPr>
                <w:rFonts w:hint="eastAsia" w:ascii="仿宋" w:hAnsi="仿宋" w:eastAsia="仿宋" w:cs="仿宋"/>
                <w:sz w:val="21"/>
                <w:szCs w:val="21"/>
              </w:rPr>
              <w:t>，证书及标志的使用，变更，上次审核不符合验证；</w:t>
            </w:r>
          </w:p>
        </w:tc>
        <w:tc>
          <w:tcPr>
            <w:tcW w:w="851" w:type="dxa"/>
            <w:vMerge w:val="continue"/>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2" w:type="dxa"/>
          </w:tcPr>
          <w:p>
            <w:pPr>
              <w:spacing w:line="360" w:lineRule="auto"/>
              <w:jc w:val="left"/>
              <w:rPr>
                <w:rFonts w:hint="eastAsia" w:ascii="仿宋" w:hAnsi="仿宋" w:eastAsia="仿宋" w:cs="仿宋"/>
                <w:sz w:val="21"/>
                <w:szCs w:val="21"/>
                <w:lang w:val="de-DE"/>
              </w:rPr>
            </w:pPr>
            <w:r>
              <w:rPr>
                <w:rFonts w:hint="eastAsia" w:ascii="仿宋" w:hAnsi="仿宋" w:eastAsia="仿宋" w:cs="仿宋"/>
                <w:sz w:val="21"/>
                <w:szCs w:val="21"/>
                <w:lang w:val="de-DE"/>
              </w:rPr>
              <w:t>理解组织及其环境</w:t>
            </w:r>
          </w:p>
          <w:p>
            <w:pPr>
              <w:spacing w:line="360" w:lineRule="auto"/>
              <w:jc w:val="left"/>
              <w:rPr>
                <w:rFonts w:hint="eastAsia" w:ascii="仿宋" w:hAnsi="仿宋" w:eastAsia="仿宋" w:cs="仿宋"/>
                <w:sz w:val="21"/>
                <w:szCs w:val="21"/>
                <w:lang w:val="de-DE"/>
              </w:rPr>
            </w:pPr>
            <w:r>
              <w:rPr>
                <w:rFonts w:hint="eastAsia" w:ascii="仿宋" w:hAnsi="仿宋" w:eastAsia="仿宋" w:cs="仿宋"/>
                <w:sz w:val="21"/>
                <w:szCs w:val="21"/>
                <w:lang w:val="de-DE"/>
              </w:rPr>
              <w:t>总要求</w:t>
            </w:r>
          </w:p>
          <w:p>
            <w:pPr>
              <w:spacing w:line="360" w:lineRule="auto"/>
              <w:jc w:val="left"/>
              <w:rPr>
                <w:rFonts w:hint="eastAsia" w:ascii="仿宋" w:hAnsi="仿宋" w:eastAsia="仿宋" w:cs="仿宋"/>
                <w:sz w:val="21"/>
                <w:szCs w:val="21"/>
                <w:lang w:val="de-DE"/>
              </w:rPr>
            </w:pPr>
          </w:p>
        </w:tc>
        <w:tc>
          <w:tcPr>
            <w:tcW w:w="965" w:type="dxa"/>
          </w:tcPr>
          <w:p>
            <w:pPr>
              <w:spacing w:line="360" w:lineRule="auto"/>
              <w:jc w:val="left"/>
              <w:rPr>
                <w:rFonts w:hint="eastAsia" w:ascii="仿宋" w:hAnsi="仿宋" w:eastAsia="仿宋" w:cs="仿宋"/>
                <w:sz w:val="21"/>
                <w:szCs w:val="21"/>
                <w:lang w:val="de-DE"/>
              </w:rPr>
            </w:pPr>
            <w:r>
              <w:rPr>
                <w:rFonts w:hint="eastAsia" w:ascii="仿宋" w:hAnsi="仿宋" w:eastAsia="仿宋" w:cs="仿宋"/>
                <w:sz w:val="21"/>
                <w:szCs w:val="21"/>
                <w:lang w:val="de-DE"/>
              </w:rPr>
              <w:t>QE</w:t>
            </w:r>
            <w:r>
              <w:rPr>
                <w:rFonts w:hint="eastAsia" w:ascii="仿宋" w:hAnsi="仿宋" w:eastAsia="仿宋" w:cs="仿宋"/>
                <w:sz w:val="21"/>
                <w:szCs w:val="21"/>
              </w:rPr>
              <w:t>O</w:t>
            </w:r>
            <w:r>
              <w:rPr>
                <w:rFonts w:hint="eastAsia" w:ascii="仿宋" w:hAnsi="仿宋" w:eastAsia="仿宋" w:cs="仿宋"/>
                <w:sz w:val="21"/>
                <w:szCs w:val="21"/>
                <w:lang w:val="de-DE"/>
              </w:rPr>
              <w:t>4.1</w:t>
            </w:r>
          </w:p>
        </w:tc>
        <w:tc>
          <w:tcPr>
            <w:tcW w:w="1165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公司名称：沧州华煜铁路器材有限公司，公司2004年7月23日成立，有效期2034年07月20日，</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座落于</w:t>
            </w:r>
            <w:r>
              <w:rPr>
                <w:rFonts w:hint="eastAsia" w:ascii="仿宋" w:hAnsi="仿宋" w:eastAsia="仿宋" w:cs="仿宋"/>
                <w:sz w:val="21"/>
                <w:szCs w:val="21"/>
              </w:rPr>
              <w:t>东光县城东开发区惠源路43号</w:t>
            </w:r>
            <w:r>
              <w:rPr>
                <w:rFonts w:hint="eastAsia" w:ascii="仿宋" w:hAnsi="仿宋" w:eastAsia="仿宋" w:cs="仿宋"/>
                <w:sz w:val="21"/>
                <w:szCs w:val="21"/>
              </w:rPr>
              <w:t>。</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法人代表：</w:t>
            </w:r>
            <w:r>
              <w:rPr>
                <w:rFonts w:hint="eastAsia" w:ascii="仿宋" w:hAnsi="仿宋" w:eastAsia="仿宋" w:cs="仿宋"/>
                <w:sz w:val="21"/>
                <w:szCs w:val="21"/>
                <w:lang w:eastAsia="zh-CN"/>
              </w:rPr>
              <w:t>张</w:t>
            </w:r>
            <w:r>
              <w:rPr>
                <w:rFonts w:hint="eastAsia" w:ascii="仿宋" w:hAnsi="仿宋" w:eastAsia="仿宋" w:cs="仿宋"/>
                <w:sz w:val="21"/>
                <w:szCs w:val="21"/>
                <w:lang w:val="en-US" w:eastAsia="zh-CN"/>
              </w:rPr>
              <w:t>俊荣</w:t>
            </w:r>
            <w:r>
              <w:rPr>
                <w:rFonts w:hint="eastAsia" w:ascii="仿宋" w:hAnsi="仿宋" w:eastAsia="仿宋" w:cs="仿宋"/>
                <w:sz w:val="21"/>
                <w:szCs w:val="21"/>
              </w:rPr>
              <w:t>， 总经理：</w:t>
            </w:r>
            <w:r>
              <w:rPr>
                <w:rFonts w:hint="eastAsia" w:ascii="仿宋" w:hAnsi="仿宋" w:eastAsia="仿宋" w:cs="仿宋"/>
                <w:sz w:val="21"/>
                <w:szCs w:val="21"/>
                <w:lang w:eastAsia="zh-CN"/>
              </w:rPr>
              <w:t>张春祥</w:t>
            </w:r>
            <w:r>
              <w:rPr>
                <w:rFonts w:hint="eastAsia" w:ascii="仿宋" w:hAnsi="仿宋" w:eastAsia="仿宋" w:cs="仿宋"/>
                <w:sz w:val="21"/>
                <w:szCs w:val="21"/>
              </w:rPr>
              <w:t xml:space="preserve">   管代：周石磊，</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注册地址：东光县城东开发区惠源路43号，</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营业执照符合要求，见附件。</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认证范围在企业营业执照经营范围内。</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公司管理体系设置了办公室、生产技术部、质检部、供销部。</w:t>
            </w:r>
          </w:p>
          <w:p>
            <w:pPr>
              <w:spacing w:line="360" w:lineRule="auto"/>
              <w:jc w:val="left"/>
              <w:rPr>
                <w:rFonts w:hint="eastAsia" w:ascii="仿宋" w:hAnsi="仿宋" w:eastAsia="仿宋" w:cs="仿宋"/>
                <w:b/>
                <w:sz w:val="21"/>
                <w:szCs w:val="21"/>
              </w:rPr>
            </w:pPr>
            <w:r>
              <w:rPr>
                <w:rFonts w:hint="eastAsia" w:ascii="仿宋" w:hAnsi="仿宋" w:eastAsia="仿宋" w:cs="仿宋"/>
                <w:sz w:val="21"/>
                <w:szCs w:val="21"/>
              </w:rPr>
              <w:t>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851" w:type="dxa"/>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42"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理解相关方的需求和期望</w:t>
            </w:r>
          </w:p>
          <w:p>
            <w:pPr>
              <w:spacing w:line="360" w:lineRule="auto"/>
              <w:jc w:val="left"/>
              <w:rPr>
                <w:rFonts w:hint="eastAsia" w:ascii="仿宋" w:hAnsi="仿宋" w:eastAsia="仿宋" w:cs="仿宋"/>
                <w:sz w:val="21"/>
                <w:szCs w:val="21"/>
              </w:rPr>
            </w:pPr>
          </w:p>
        </w:tc>
        <w:tc>
          <w:tcPr>
            <w:tcW w:w="965"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QEO4.2</w:t>
            </w:r>
          </w:p>
          <w:p>
            <w:pPr>
              <w:spacing w:line="360" w:lineRule="auto"/>
              <w:jc w:val="left"/>
              <w:rPr>
                <w:rFonts w:hint="eastAsia" w:ascii="仿宋" w:hAnsi="仿宋" w:eastAsia="仿宋" w:cs="仿宋"/>
                <w:sz w:val="21"/>
                <w:szCs w:val="21"/>
              </w:rPr>
            </w:pPr>
          </w:p>
        </w:tc>
        <w:tc>
          <w:tcPr>
            <w:tcW w:w="1165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公司对这些相关方及其要求的相关信息进行监视和评审，以便于理解和持续满足相关方的需求和期望。</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本公司考虑以下相关方：--顾客；--最终用户或受益人；股东；---外部供应商；--雇员及其他为组织工作者；--法律法规及监管机关；--地方社区团体；--非政府组织等。</w:t>
            </w:r>
          </w:p>
          <w:p>
            <w:pPr>
              <w:spacing w:line="360" w:lineRule="auto"/>
              <w:jc w:val="left"/>
              <w:rPr>
                <w:rFonts w:hint="eastAsia" w:ascii="仿宋" w:hAnsi="仿宋" w:eastAsia="仿宋" w:cs="仿宋"/>
                <w:b/>
                <w:sz w:val="21"/>
                <w:szCs w:val="21"/>
              </w:rPr>
            </w:pPr>
            <w:r>
              <w:rPr>
                <w:rFonts w:hint="eastAsia" w:ascii="仿宋" w:hAnsi="仿宋" w:eastAsia="仿宋" w:cs="仿宋"/>
                <w:sz w:val="21"/>
                <w:szCs w:val="21"/>
              </w:rPr>
              <w:t>目前顾客的主要需求期望是：提供顾客满意的生产产品和销售产品和服务。</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确定管理体系的范围</w:t>
            </w:r>
          </w:p>
          <w:p>
            <w:pPr>
              <w:spacing w:line="360" w:lineRule="auto"/>
              <w:jc w:val="left"/>
              <w:rPr>
                <w:rFonts w:hint="eastAsia" w:ascii="仿宋" w:hAnsi="仿宋" w:eastAsia="仿宋" w:cs="仿宋"/>
                <w:sz w:val="21"/>
                <w:szCs w:val="21"/>
              </w:rPr>
            </w:pPr>
          </w:p>
        </w:tc>
        <w:tc>
          <w:tcPr>
            <w:tcW w:w="965"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QEO4.3</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p>
        </w:tc>
        <w:tc>
          <w:tcPr>
            <w:tcW w:w="1165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公司管理体系认证范围没有变化：</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Q：轨道减震器（含铁垫板、减振器、弹条、螺旋道钉、预埋座、防脱护轨）的生产与销售。</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E：轨道减震器（含铁垫板、减振器、弹条、螺旋道钉、预埋座、防脱护轨）的生产与销售及所涉及场所的相关环境管理活动。</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O：轨道减震器（含铁垫板、减振器、弹条、螺旋道钉、预埋座、防脱护轨）的生产与销售及所涉及场所的相关职业健康安全管理活动。</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不适用情况：质量管理体系不适用8.3条款，按照国家和行业标准、客户技术要求及传统生产工艺进行生产销售，无需再设计开发，此删减不影响产品质量合格和满足客户及法律法规要求的能力和责任。</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外包情况：运输过程。</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管理体系及其过程</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QEO：4.4 </w:t>
            </w: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公司确保按照质量、环境、职业健康安全管理体系标准要求建立、实施、保持和持续改进质量、环境、职业健康安全管理体系，包括所需过程及其相互作用。公司确定质量、环境、职业健康安全管理体系所需的过程及其在整个组织中的应用。公司按照标准建立了文件化的管理体系，编制了新版的管理手册，流程性文件、管理制度、作业指导书，形成了相关文件化信息，为过程运行提供了支持，以证实过程按照策划执行。</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领导作用和承诺、组织的岗位职责和权限</w:t>
            </w:r>
          </w:p>
          <w:p>
            <w:pPr>
              <w:pStyle w:val="2"/>
              <w:rPr>
                <w:rFonts w:hint="eastAsia" w:ascii="仿宋" w:hAnsi="仿宋" w:eastAsia="仿宋" w:cs="仿宋"/>
                <w:sz w:val="21"/>
                <w:szCs w:val="21"/>
              </w:rPr>
            </w:pP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协商与参与、安全事务代表</w:t>
            </w:r>
          </w:p>
          <w:p>
            <w:pPr>
              <w:pStyle w:val="3"/>
              <w:rPr>
                <w:rFonts w:hint="eastAsia" w:ascii="仿宋" w:hAnsi="仿宋" w:eastAsia="仿宋" w:cs="仿宋"/>
                <w:b/>
                <w:sz w:val="21"/>
                <w:szCs w:val="21"/>
              </w:rPr>
            </w:pPr>
          </w:p>
        </w:tc>
        <w:tc>
          <w:tcPr>
            <w:tcW w:w="96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QEO：</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5.1，5.3 </w:t>
            </w:r>
          </w:p>
          <w:p>
            <w:pPr>
              <w:spacing w:line="360" w:lineRule="auto"/>
              <w:jc w:val="left"/>
              <w:rPr>
                <w:rFonts w:hint="eastAsia" w:ascii="仿宋" w:hAnsi="仿宋" w:eastAsia="仿宋" w:cs="仿宋"/>
                <w:sz w:val="21"/>
                <w:szCs w:val="21"/>
              </w:rPr>
            </w:pP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O5.4</w:t>
            </w:r>
          </w:p>
        </w:tc>
        <w:tc>
          <w:tcPr>
            <w:tcW w:w="1165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设有办公室、生产技术部、质检部、供销部等岗位职责明确。</w:t>
            </w:r>
          </w:p>
          <w:p>
            <w:pPr>
              <w:spacing w:line="360" w:lineRule="auto"/>
              <w:rPr>
                <w:rFonts w:hint="eastAsia" w:ascii="仿宋" w:hAnsi="仿宋" w:eastAsia="仿宋" w:cs="仿宋"/>
                <w:sz w:val="21"/>
                <w:szCs w:val="21"/>
              </w:rPr>
            </w:pPr>
            <w:r>
              <w:rPr>
                <w:rFonts w:hint="eastAsia" w:ascii="仿宋" w:hAnsi="仿宋" w:eastAsia="仿宋" w:cs="仿宋"/>
                <w:sz w:val="21"/>
                <w:szCs w:val="21"/>
              </w:rPr>
              <w:t>提供A/0版的HY/QES—SC—2020《管理手册》由总经理</w:t>
            </w:r>
            <w:r>
              <w:rPr>
                <w:rFonts w:hint="eastAsia" w:ascii="仿宋" w:hAnsi="仿宋" w:eastAsia="仿宋" w:cs="仿宋"/>
                <w:sz w:val="21"/>
                <w:szCs w:val="21"/>
                <w:lang w:eastAsia="zh-CN"/>
              </w:rPr>
              <w:t>张春祥</w:t>
            </w:r>
            <w:r>
              <w:rPr>
                <w:rFonts w:hint="eastAsia" w:ascii="仿宋" w:hAnsi="仿宋" w:eastAsia="仿宋" w:cs="仿宋"/>
                <w:sz w:val="21"/>
                <w:szCs w:val="21"/>
              </w:rPr>
              <w:t>签发，2020.5.1发布，2020.5.1实施，任命管代：</w:t>
            </w:r>
            <w:r>
              <w:rPr>
                <w:rFonts w:hint="eastAsia" w:ascii="仿宋" w:hAnsi="仿宋" w:eastAsia="仿宋" w:cs="仿宋"/>
                <w:sz w:val="21"/>
                <w:szCs w:val="21"/>
              </w:rPr>
              <w:t>周石磊</w:t>
            </w:r>
            <w:r>
              <w:rPr>
                <w:rFonts w:hint="eastAsia" w:ascii="仿宋" w:hAnsi="仿宋" w:eastAsia="仿宋" w:cs="仿宋"/>
                <w:sz w:val="21"/>
                <w:szCs w:val="21"/>
              </w:rPr>
              <w:t>；职业健康安全事务代表：</w:t>
            </w:r>
            <w:r>
              <w:rPr>
                <w:rFonts w:hint="eastAsia" w:ascii="仿宋" w:hAnsi="仿宋" w:eastAsia="仿宋" w:cs="仿宋"/>
                <w:sz w:val="21"/>
                <w:szCs w:val="21"/>
              </w:rPr>
              <w:t xml:space="preserve">周开明， </w:t>
            </w:r>
          </w:p>
          <w:p>
            <w:pPr>
              <w:spacing w:line="360" w:lineRule="auto"/>
              <w:rPr>
                <w:rFonts w:hint="eastAsia" w:ascii="仿宋" w:hAnsi="仿宋" w:eastAsia="仿宋" w:cs="仿宋"/>
                <w:sz w:val="21"/>
                <w:szCs w:val="21"/>
              </w:rPr>
            </w:pPr>
            <w:r>
              <w:rPr>
                <w:rFonts w:hint="eastAsia" w:ascii="仿宋" w:hAnsi="仿宋" w:eastAsia="仿宋" w:cs="仿宋"/>
                <w:b/>
                <w:bCs/>
                <w:sz w:val="21"/>
                <w:szCs w:val="21"/>
              </w:rPr>
              <w:t>职责：</w:t>
            </w:r>
            <w:r>
              <w:rPr>
                <w:rFonts w:hint="eastAsia" w:ascii="仿宋" w:hAnsi="仿宋" w:eastAsia="仿宋" w:cs="仿宋"/>
                <w:sz w:val="21"/>
                <w:szCs w:val="21"/>
              </w:rPr>
              <w:t>1、安全事务代表参与公司职业健康安全风险辨识、风险评价和控制措施的确定；2、安全事务代表适当参与公司职业健康安全事件调查；3、安全事务代表适当参与健康安全管理方针和目标的制定和评审；4、安全事务代表对影响他们职业健康安全的任何变更进行协商；5、安全事务代表对职业健康安全事务发表意见。</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w:t>
            </w:r>
            <w:r>
              <w:rPr>
                <w:rFonts w:hint="eastAsia" w:ascii="仿宋" w:hAnsi="仿宋" w:eastAsia="仿宋" w:cs="仿宋"/>
                <w:sz w:val="21"/>
                <w:szCs w:val="21"/>
              </w:rPr>
              <w:t>岗位工作人员任</w:t>
            </w:r>
            <w:r>
              <w:rPr>
                <w:rFonts w:hint="eastAsia" w:ascii="仿宋" w:hAnsi="仿宋" w:eastAsia="仿宋" w:cs="仿宋"/>
                <w:sz w:val="21"/>
                <w:szCs w:val="21"/>
              </w:rPr>
              <w:t>职要求</w:t>
            </w:r>
            <w:r>
              <w:rPr>
                <w:rFonts w:hint="eastAsia" w:ascii="仿宋" w:hAnsi="仿宋" w:eastAsia="仿宋" w:cs="仿宋"/>
                <w:sz w:val="21"/>
                <w:szCs w:val="21"/>
              </w:rPr>
              <w:t>》中得到规定。经查问组织内的职责和权限基本得到沟通，通过文件发布、传达、会议、培训等了解有关职责和权限。同总经理交谈，对于自身职责权限比较清楚。</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以顾客为关注焦点</w:t>
            </w:r>
          </w:p>
          <w:p>
            <w:pPr>
              <w:spacing w:line="360" w:lineRule="auto"/>
              <w:ind w:firstLine="420" w:firstLineChars="200"/>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Q5.1.2</w:t>
            </w:r>
          </w:p>
          <w:p>
            <w:pPr>
              <w:spacing w:line="360" w:lineRule="auto"/>
              <w:ind w:firstLine="420" w:firstLineChars="200"/>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总经理证实其以顾客为关注焦点的领导作用和承诺，通过以下方面实现：</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a) 确定、理解并持续满足顾客要求以及适用的法律法规要求；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b) 确定和应对能够影响产品、产品符合性以及增强顾客满意能力的风险和机遇；</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c) 始终致力于增强顾客满意。</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方针</w:t>
            </w:r>
          </w:p>
          <w:p>
            <w:pPr>
              <w:spacing w:line="360" w:lineRule="auto"/>
              <w:rPr>
                <w:rFonts w:hint="eastAsia" w:ascii="仿宋" w:hAnsi="仿宋" w:eastAsia="仿宋" w:cs="仿宋"/>
                <w:sz w:val="21"/>
                <w:szCs w:val="21"/>
              </w:rPr>
            </w:pPr>
            <w:r>
              <w:rPr>
                <w:rFonts w:hint="eastAsia" w:ascii="仿宋" w:hAnsi="仿宋" w:eastAsia="仿宋" w:cs="仿宋"/>
                <w:sz w:val="21"/>
                <w:szCs w:val="21"/>
              </w:rPr>
              <w:t>制定方针</w:t>
            </w:r>
          </w:p>
          <w:p>
            <w:pPr>
              <w:spacing w:line="360" w:lineRule="auto"/>
              <w:rPr>
                <w:rFonts w:hint="eastAsia" w:ascii="仿宋" w:hAnsi="仿宋" w:eastAsia="仿宋" w:cs="仿宋"/>
                <w:b/>
                <w:sz w:val="21"/>
                <w:szCs w:val="21"/>
              </w:rPr>
            </w:pPr>
            <w:r>
              <w:rPr>
                <w:rFonts w:hint="eastAsia" w:ascii="仿宋" w:hAnsi="仿宋" w:eastAsia="仿宋" w:cs="仿宋"/>
                <w:sz w:val="21"/>
                <w:szCs w:val="21"/>
              </w:rPr>
              <w:t>沟通方针</w:t>
            </w: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QEO5.2</w:t>
            </w:r>
          </w:p>
          <w:p>
            <w:pPr>
              <w:snapToGrid w:val="0"/>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b/>
                <w:sz w:val="21"/>
                <w:szCs w:val="21"/>
              </w:rPr>
            </w:pPr>
          </w:p>
        </w:tc>
        <w:tc>
          <w:tcPr>
            <w:tcW w:w="1165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该公司管理方针没有变化：</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坚持标准，持续改进，争创一流，顾客满意。安全第一，预防为主；遵规守法，减污降耗；持续发展。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总经理用会议、文件等手段保证管理方针为全体员工理解并落实到工作中。总经理说管理评审时对方针的持续适宜性进行了评审，有评审记录。</w:t>
            </w:r>
          </w:p>
          <w:p>
            <w:pPr>
              <w:spacing w:line="36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以上管理方针通过文件、培训等形式将公司管理方针传达给所有为公司工作或代表公司的人员，相关方也可通过办公室获取公司管理方针。</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24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应对风险和机会的措施</w:t>
            </w:r>
          </w:p>
        </w:tc>
        <w:tc>
          <w:tcPr>
            <w:tcW w:w="965"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QEO6.1</w:t>
            </w:r>
          </w:p>
          <w:p>
            <w:pPr>
              <w:spacing w:line="360" w:lineRule="auto"/>
              <w:rPr>
                <w:rFonts w:hint="eastAsia" w:ascii="仿宋" w:hAnsi="仿宋" w:eastAsia="仿宋" w:cs="仿宋"/>
                <w:sz w:val="21"/>
                <w:szCs w:val="21"/>
              </w:rPr>
            </w:pPr>
          </w:p>
        </w:tc>
        <w:tc>
          <w:tcPr>
            <w:tcW w:w="11651"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kern w:val="0"/>
                <w:sz w:val="21"/>
                <w:szCs w:val="21"/>
              </w:rPr>
              <w:t>在策划</w:t>
            </w:r>
            <w:r>
              <w:rPr>
                <w:rFonts w:hint="eastAsia" w:ascii="仿宋" w:hAnsi="仿宋" w:eastAsia="仿宋" w:cs="仿宋"/>
                <w:sz w:val="21"/>
                <w:szCs w:val="21"/>
              </w:rPr>
              <w:t>应对风险和机遇</w:t>
            </w:r>
            <w:r>
              <w:rPr>
                <w:rFonts w:hint="eastAsia" w:ascii="仿宋" w:hAnsi="仿宋" w:eastAsia="仿宋" w:cs="仿宋"/>
                <w:kern w:val="0"/>
                <w:sz w:val="21"/>
                <w:szCs w:val="21"/>
              </w:rPr>
              <w:t>的措施时，</w:t>
            </w:r>
            <w:r>
              <w:rPr>
                <w:rFonts w:hint="eastAsia" w:ascii="仿宋" w:hAnsi="仿宋" w:eastAsia="仿宋" w:cs="仿宋"/>
                <w:sz w:val="21"/>
                <w:szCs w:val="21"/>
              </w:rPr>
              <w:t>办公室综合考虑了企业所处的环境、重要环境因素、合规义务，以及面对的风险和机遇，制定了环境目标及管理方案，总经理负责批准。管理方案中明确为实现环境目标和指标的责任部门；规定实现环境目标和指标的时间；具体措施和经费预算；都由总经理批准。环境管理方案的实施，办公室每半年对方案实施情况进行检查跟踪，向总经理报告；一般在管理评审之前对环境、职业健康安全目标及管理方案由办公室对其进行评审，并将完成情况以书面形式呈报管理者代表，以便提交管理评审。</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管理目标及其实现的策划</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QEO</w:t>
            </w:r>
          </w:p>
          <w:p>
            <w:pPr>
              <w:spacing w:line="360" w:lineRule="auto"/>
              <w:rPr>
                <w:rFonts w:hint="eastAsia" w:ascii="仿宋" w:hAnsi="仿宋" w:eastAsia="仿宋" w:cs="仿宋"/>
                <w:sz w:val="21"/>
                <w:szCs w:val="21"/>
              </w:rPr>
            </w:pPr>
            <w:r>
              <w:rPr>
                <w:rFonts w:hint="eastAsia" w:ascii="仿宋" w:hAnsi="仿宋" w:eastAsia="仿宋" w:cs="仿宋"/>
                <w:sz w:val="21"/>
                <w:szCs w:val="21"/>
              </w:rPr>
              <w:t>6.2</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p>
            <w:pPr>
              <w:spacing w:line="360" w:lineRule="auto"/>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公司对管理体系所需的相关职能、层次和过程设定管理目标，没有变化。</w:t>
            </w:r>
          </w:p>
          <w:p>
            <w:pPr>
              <w:spacing w:line="36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质量目标：</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1、顾客满意度达到90%以上；</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2、一次交验合格率达98%</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3、产品出厂合格率100％；;</w:t>
            </w:r>
          </w:p>
          <w:p>
            <w:pPr>
              <w:spacing w:line="36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环境目标:</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1、年度内重大环境事故为0；</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2、固体废弃物按要求处理率大于95%；</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3、废水、废气、噪声达标排放；</w:t>
            </w:r>
          </w:p>
          <w:p>
            <w:pPr>
              <w:spacing w:line="360" w:lineRule="auto"/>
              <w:rPr>
                <w:rFonts w:hint="eastAsia" w:ascii="仿宋" w:hAnsi="仿宋" w:eastAsia="仿宋" w:cs="仿宋"/>
                <w:b/>
                <w:bCs/>
                <w:kern w:val="0"/>
                <w:sz w:val="21"/>
                <w:szCs w:val="21"/>
              </w:rPr>
            </w:pPr>
            <w:r>
              <w:rPr>
                <w:rFonts w:hint="eastAsia" w:ascii="仿宋" w:hAnsi="仿宋" w:eastAsia="仿宋" w:cs="仿宋"/>
                <w:b/>
                <w:bCs/>
                <w:kern w:val="0"/>
                <w:sz w:val="21"/>
                <w:szCs w:val="21"/>
              </w:rPr>
              <w:t>职业健康安全目标：</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1、无人身死亡事故为；</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2、无重伤事故；轻伤事故控制在年度2次以内。</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3、无火灾爆炸事故。</w:t>
            </w:r>
          </w:p>
          <w:p>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4、无重大交通事故。</w:t>
            </w:r>
          </w:p>
          <w:p>
            <w:pPr>
              <w:spacing w:line="360" w:lineRule="auto"/>
              <w:rPr>
                <w:rFonts w:hint="eastAsia" w:ascii="仿宋" w:hAnsi="仿宋" w:eastAsia="仿宋" w:cs="仿宋"/>
                <w:sz w:val="21"/>
                <w:szCs w:val="21"/>
              </w:rPr>
            </w:pPr>
            <w:r>
              <w:rPr>
                <w:rFonts w:hint="eastAsia" w:ascii="仿宋" w:hAnsi="仿宋" w:eastAsia="仿宋" w:cs="仿宋"/>
                <w:kern w:val="0"/>
                <w:sz w:val="21"/>
                <w:szCs w:val="21"/>
              </w:rPr>
              <w:t>5、职业病发病率为0.</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每半年由办公室按公司管理目标考核要求统计考核公司管理目标完成情况，提交管理评审会议。查到</w:t>
            </w:r>
            <w:r>
              <w:rPr>
                <w:rFonts w:hint="eastAsia" w:ascii="仿宋" w:hAnsi="仿宋" w:eastAsia="仿宋" w:cs="仿宋"/>
                <w:kern w:val="0"/>
                <w:sz w:val="21"/>
                <w:szCs w:val="21"/>
                <w:lang w:val="en-US" w:eastAsia="zh-CN"/>
              </w:rPr>
              <w:t>2022.6.30日</w:t>
            </w:r>
            <w:r>
              <w:rPr>
                <w:rFonts w:hint="eastAsia" w:ascii="仿宋" w:hAnsi="仿宋" w:eastAsia="仿宋" w:cs="仿宋"/>
                <w:kern w:val="0"/>
                <w:sz w:val="21"/>
                <w:szCs w:val="21"/>
              </w:rPr>
              <w:t>公司管理目标完成情况，各项目标均已完成，见办公室记录6.2。</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针对重要环境因素危险源制订了管理方案并予以实施，基本有效，详见办公室该条款审核记录。</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变更的策划</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Q6.3</w:t>
            </w:r>
          </w:p>
          <w:p>
            <w:pPr>
              <w:spacing w:line="360" w:lineRule="auto"/>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公司确定需要对管理体系进行变更时，应经策划并系统的实施。公司应考虑：</w:t>
            </w:r>
          </w:p>
          <w:p>
            <w:pPr>
              <w:spacing w:line="360" w:lineRule="auto"/>
              <w:rPr>
                <w:rFonts w:hint="eastAsia" w:ascii="仿宋" w:hAnsi="仿宋" w:eastAsia="仿宋" w:cs="仿宋"/>
                <w:sz w:val="21"/>
                <w:szCs w:val="21"/>
              </w:rPr>
            </w:pPr>
            <w:r>
              <w:rPr>
                <w:rFonts w:hint="eastAsia" w:ascii="仿宋" w:hAnsi="仿宋" w:eastAsia="仿宋" w:cs="仿宋"/>
                <w:sz w:val="21"/>
                <w:szCs w:val="21"/>
              </w:rPr>
              <w:t>a) 变更目的及其潜在后果；b) 管理体系的完整性；c) 资源的可获得性；d) 责任和权限的分配与再分配。</w:t>
            </w:r>
          </w:p>
          <w:p>
            <w:pPr>
              <w:spacing w:line="360" w:lineRule="auto"/>
              <w:rPr>
                <w:rFonts w:hint="eastAsia" w:ascii="仿宋" w:hAnsi="仿宋" w:eastAsia="仿宋" w:cs="仿宋"/>
                <w:sz w:val="21"/>
                <w:szCs w:val="21"/>
              </w:rPr>
            </w:pPr>
            <w:r>
              <w:rPr>
                <w:rFonts w:hint="eastAsia" w:ascii="仿宋" w:hAnsi="仿宋" w:eastAsia="仿宋" w:cs="仿宋"/>
                <w:sz w:val="21"/>
                <w:szCs w:val="21"/>
              </w:rPr>
              <w:t>公司目前对管理体系暂无变更。</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资源、总则</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Q7.1.1</w:t>
            </w:r>
          </w:p>
          <w:p>
            <w:pPr>
              <w:spacing w:line="360" w:lineRule="auto"/>
              <w:rPr>
                <w:rFonts w:hint="eastAsia" w:ascii="仿宋" w:hAnsi="仿宋" w:eastAsia="仿宋" w:cs="仿宋"/>
                <w:sz w:val="21"/>
                <w:szCs w:val="21"/>
              </w:rPr>
            </w:pPr>
            <w:r>
              <w:rPr>
                <w:rFonts w:hint="eastAsia" w:ascii="仿宋" w:hAnsi="仿宋" w:eastAsia="仿宋" w:cs="仿宋"/>
                <w:sz w:val="21"/>
                <w:szCs w:val="21"/>
              </w:rPr>
              <w:t>EO7.1</w:t>
            </w:r>
          </w:p>
          <w:p>
            <w:pPr>
              <w:spacing w:line="360" w:lineRule="auto"/>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查公司配备了必要的人力资源，基础设施、生产设备、办公设备、车间、仓库等，规范文件、资金等必要的资源，能够持续满足顾客需求和管理体系改进的需要。</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2" w:type="dxa"/>
          </w:tcPr>
          <w:p>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沟通</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QEO7.4</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11651"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公司编制并实施了《信息交流、沟通、参与和协商控制程序》，规定了职责、工作流程，包括内部沟通和外部沟通的方法和要求。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现场查阅内部交流：方针、目标完成情况、内审和管理评审报告、不符合信息等。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外部交流：通过发放《关于对相关方要求的告知书》与相关方就相关环境信息进行相互沟通。</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绩效 总则</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Q9.1.1</w:t>
            </w:r>
          </w:p>
          <w:p>
            <w:pPr>
              <w:spacing w:line="360" w:lineRule="auto"/>
              <w:rPr>
                <w:rFonts w:hint="eastAsia" w:ascii="仿宋" w:hAnsi="仿宋" w:eastAsia="仿宋" w:cs="仿宋"/>
                <w:color w:val="000000"/>
                <w:kern w:val="0"/>
                <w:sz w:val="21"/>
                <w:szCs w:val="21"/>
              </w:rPr>
            </w:pPr>
          </w:p>
        </w:tc>
        <w:tc>
          <w:tcPr>
            <w:tcW w:w="11651"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办公室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202</w:t>
            </w:r>
            <w:r>
              <w:rPr>
                <w:rFonts w:hint="eastAsia" w:ascii="仿宋" w:hAnsi="仿宋" w:eastAsia="仿宋" w:cs="仿宋"/>
                <w:sz w:val="21"/>
                <w:szCs w:val="21"/>
                <w:lang w:val="en-US" w:eastAsia="zh-CN"/>
              </w:rPr>
              <w:t>2</w:t>
            </w:r>
            <w:r>
              <w:rPr>
                <w:rFonts w:hint="eastAsia" w:ascii="仿宋" w:hAnsi="仿宋" w:eastAsia="仿宋" w:cs="仿宋"/>
                <w:sz w:val="21"/>
                <w:szCs w:val="21"/>
              </w:rPr>
              <w:t>年6月30日统计的上半年目标完成情况，公司及各部门的管理目标均能完成。</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2" w:type="dxa"/>
          </w:tcPr>
          <w:p>
            <w:pPr>
              <w:spacing w:line="280" w:lineRule="exact"/>
              <w:rPr>
                <w:rFonts w:hint="eastAsia" w:ascii="仿宋" w:hAnsi="仿宋" w:eastAsia="仿宋" w:cs="仿宋"/>
                <w:color w:val="000000"/>
                <w:kern w:val="0"/>
                <w:sz w:val="21"/>
                <w:szCs w:val="21"/>
              </w:rPr>
            </w:pPr>
          </w:p>
          <w:p>
            <w:pPr>
              <w:spacing w:line="28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分析与评价</w:t>
            </w:r>
          </w:p>
          <w:p>
            <w:pPr>
              <w:spacing w:line="280" w:lineRule="exact"/>
              <w:rPr>
                <w:rFonts w:hint="eastAsia" w:ascii="仿宋" w:hAnsi="仿宋" w:eastAsia="仿宋" w:cs="仿宋"/>
                <w:sz w:val="21"/>
                <w:szCs w:val="21"/>
              </w:rPr>
            </w:pPr>
          </w:p>
        </w:tc>
        <w:tc>
          <w:tcPr>
            <w:tcW w:w="965" w:type="dxa"/>
          </w:tcPr>
          <w:p>
            <w:pPr>
              <w:spacing w:line="280" w:lineRule="exact"/>
              <w:rPr>
                <w:rFonts w:hint="eastAsia" w:ascii="仿宋" w:hAnsi="仿宋" w:eastAsia="仿宋" w:cs="仿宋"/>
                <w:color w:val="000000"/>
                <w:kern w:val="0"/>
                <w:sz w:val="21"/>
                <w:szCs w:val="21"/>
              </w:rPr>
            </w:pPr>
          </w:p>
          <w:p>
            <w:pPr>
              <w:spacing w:line="28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Q9.1.3</w:t>
            </w:r>
          </w:p>
          <w:p>
            <w:pPr>
              <w:spacing w:line="280" w:lineRule="exact"/>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公司数据包括：产品生产销售状况、管理体系运行、顾客满意、供方等过程的数据分析。</w:t>
            </w:r>
          </w:p>
          <w:p>
            <w:pPr>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查自公司管理体系运行以来，已经进行搜集信息和数据的活动：管理目标考核、顾客满意度调查、供方的交付和质量、环境、职业健康安全运行情况等的简单分析。</w:t>
            </w:r>
          </w:p>
          <w:p>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统计技术查到：调查表用于顾客满意度调查；用于供方调查、评价和选择；用于市场调查。</w:t>
            </w:r>
          </w:p>
          <w:p>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公司通过对管理目标的状态评价产品和服务的符合性良好；对顾客满意度评价为达到目标要求；外部供方按时交付和质量经分析均满足要求，绩效良好。通过内审评审公司管理体系的策划已有效实施；通过管理评审评价公司应对风险和机遇所采取措施有效，管理体系有效、绩效良好，评价出管理体系改进的需求有进一步提高顾客满意度。</w:t>
            </w:r>
          </w:p>
          <w:p>
            <w:pPr>
              <w:spacing w:line="360" w:lineRule="auto"/>
              <w:rPr>
                <w:rFonts w:hint="eastAsia" w:ascii="仿宋" w:hAnsi="仿宋" w:eastAsia="仿宋" w:cs="仿宋"/>
                <w:sz w:val="21"/>
                <w:szCs w:val="21"/>
              </w:rPr>
            </w:pPr>
            <w:r>
              <w:rPr>
                <w:rFonts w:hint="eastAsia" w:ascii="仿宋" w:hAnsi="仿宋" w:eastAsia="仿宋" w:cs="仿宋"/>
                <w:color w:val="000000"/>
                <w:kern w:val="0"/>
                <w:sz w:val="21"/>
                <w:szCs w:val="21"/>
              </w:rPr>
              <w:t>信息和数据分析、评价情况见各相关过程的审核记录。</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242" w:type="dxa"/>
          </w:tcPr>
          <w:p>
            <w:pPr>
              <w:spacing w:line="280" w:lineRule="exact"/>
              <w:rPr>
                <w:rFonts w:hint="eastAsia" w:ascii="仿宋" w:hAnsi="仿宋" w:eastAsia="仿宋" w:cs="仿宋"/>
                <w:sz w:val="21"/>
                <w:szCs w:val="21"/>
              </w:rPr>
            </w:pPr>
            <w:r>
              <w:rPr>
                <w:rFonts w:hint="eastAsia" w:ascii="仿宋" w:hAnsi="仿宋" w:eastAsia="仿宋" w:cs="仿宋"/>
                <w:sz w:val="21"/>
                <w:szCs w:val="21"/>
              </w:rPr>
              <w:t>管理评审</w:t>
            </w:r>
          </w:p>
          <w:p>
            <w:pPr>
              <w:spacing w:line="280" w:lineRule="exact"/>
              <w:rPr>
                <w:rFonts w:hint="eastAsia" w:ascii="仿宋" w:hAnsi="仿宋" w:eastAsia="仿宋" w:cs="仿宋"/>
                <w:sz w:val="21"/>
                <w:szCs w:val="21"/>
              </w:rPr>
            </w:pPr>
          </w:p>
        </w:tc>
        <w:tc>
          <w:tcPr>
            <w:tcW w:w="965" w:type="dxa"/>
          </w:tcPr>
          <w:p>
            <w:pPr>
              <w:spacing w:line="280" w:lineRule="exact"/>
              <w:rPr>
                <w:rFonts w:hint="eastAsia" w:ascii="仿宋" w:hAnsi="仿宋" w:eastAsia="仿宋" w:cs="仿宋"/>
                <w:sz w:val="21"/>
                <w:szCs w:val="21"/>
              </w:rPr>
            </w:pPr>
            <w:r>
              <w:rPr>
                <w:rFonts w:hint="eastAsia" w:ascii="仿宋" w:hAnsi="仿宋" w:eastAsia="仿宋" w:cs="仿宋"/>
                <w:sz w:val="21"/>
                <w:szCs w:val="21"/>
              </w:rPr>
              <w:t>QEO9.3</w:t>
            </w:r>
          </w:p>
          <w:p>
            <w:pPr>
              <w:spacing w:line="280" w:lineRule="exact"/>
              <w:rPr>
                <w:rFonts w:hint="eastAsia" w:ascii="仿宋" w:hAnsi="仿宋" w:eastAsia="仿宋" w:cs="仿宋"/>
                <w:sz w:val="21"/>
                <w:szCs w:val="21"/>
              </w:rPr>
            </w:pPr>
            <w:r>
              <w:rPr>
                <w:rFonts w:hint="eastAsia" w:ascii="仿宋" w:hAnsi="仿宋" w:eastAsia="仿宋" w:cs="仿宋"/>
                <w:sz w:val="21"/>
                <w:szCs w:val="21"/>
              </w:rPr>
              <w:t xml:space="preserve"> </w:t>
            </w:r>
          </w:p>
          <w:p>
            <w:pPr>
              <w:spacing w:line="280" w:lineRule="exact"/>
              <w:rPr>
                <w:rFonts w:hint="eastAsia" w:ascii="仿宋" w:hAnsi="仿宋" w:eastAsia="仿宋" w:cs="仿宋"/>
                <w:sz w:val="21"/>
                <w:szCs w:val="21"/>
              </w:rPr>
            </w:pPr>
          </w:p>
          <w:p>
            <w:pPr>
              <w:spacing w:line="280" w:lineRule="exact"/>
              <w:rPr>
                <w:rFonts w:hint="eastAsia" w:ascii="仿宋" w:hAnsi="仿宋" w:eastAsia="仿宋" w:cs="仿宋"/>
                <w:sz w:val="21"/>
                <w:szCs w:val="21"/>
              </w:rPr>
            </w:pPr>
          </w:p>
        </w:tc>
        <w:tc>
          <w:tcPr>
            <w:tcW w:w="11651" w:type="dxa"/>
            <w:vAlign w:val="center"/>
          </w:tcPr>
          <w:p>
            <w:pPr>
              <w:spacing w:line="280" w:lineRule="exact"/>
              <w:rPr>
                <w:rFonts w:hint="eastAsia" w:ascii="仿宋" w:hAnsi="仿宋" w:eastAsia="仿宋" w:cs="仿宋"/>
                <w:sz w:val="21"/>
                <w:szCs w:val="21"/>
              </w:rPr>
            </w:pPr>
            <w:r>
              <w:rPr>
                <w:rFonts w:hint="eastAsia" w:ascii="仿宋" w:hAnsi="仿宋" w:eastAsia="仿宋" w:cs="仿宋"/>
                <w:sz w:val="21"/>
                <w:szCs w:val="21"/>
              </w:rPr>
              <w:t>提供：</w:t>
            </w:r>
          </w:p>
          <w:p>
            <w:pPr>
              <w:rPr>
                <w:rFonts w:hint="eastAsia" w:ascii="仿宋" w:hAnsi="仿宋" w:eastAsia="仿宋" w:cs="仿宋"/>
                <w:sz w:val="21"/>
                <w:szCs w:val="21"/>
              </w:rPr>
            </w:pPr>
            <w:r>
              <w:rPr>
                <w:rFonts w:hint="eastAsia" w:ascii="仿宋" w:hAnsi="仿宋" w:eastAsia="仿宋" w:cs="仿宋"/>
                <w:sz w:val="21"/>
                <w:szCs w:val="21"/>
              </w:rPr>
              <w:t>1.《管理评审计划》，</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评审时间：202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年7月</w:t>
            </w:r>
            <w:r>
              <w:rPr>
                <w:rFonts w:hint="eastAsia" w:ascii="仿宋" w:hAnsi="仿宋" w:eastAsia="仿宋" w:cs="仿宋"/>
                <w:sz w:val="21"/>
                <w:szCs w:val="21"/>
                <w:lang w:val="en-US" w:eastAsia="zh-CN"/>
              </w:rPr>
              <w:t>10</w:t>
            </w:r>
            <w:r>
              <w:rPr>
                <w:rFonts w:hint="eastAsia" w:ascii="仿宋" w:hAnsi="仿宋" w:eastAsia="仿宋" w:cs="仿宋"/>
                <w:sz w:val="21"/>
                <w:szCs w:val="21"/>
              </w:rPr>
              <w:t>日 评审方式：会议评审，</w:t>
            </w:r>
            <w:r>
              <w:rPr>
                <w:rFonts w:hint="eastAsia" w:ascii="仿宋" w:hAnsi="仿宋" w:eastAsia="仿宋" w:cs="仿宋"/>
                <w:sz w:val="21"/>
                <w:szCs w:val="21"/>
              </w:rPr>
              <w:t>编制：办公室  审批准：</w:t>
            </w:r>
            <w:r>
              <w:rPr>
                <w:rFonts w:hint="eastAsia" w:ascii="仿宋" w:hAnsi="仿宋" w:eastAsia="仿宋" w:cs="仿宋"/>
                <w:sz w:val="21"/>
                <w:szCs w:val="21"/>
                <w:lang w:eastAsia="zh-CN"/>
              </w:rPr>
              <w:t>张春祥</w:t>
            </w:r>
            <w:bookmarkStart w:id="0" w:name="_GoBack"/>
            <w:bookmarkEnd w:id="0"/>
          </w:p>
          <w:p>
            <w:pPr>
              <w:spacing w:line="360" w:lineRule="auto"/>
              <w:rPr>
                <w:rFonts w:hint="eastAsia" w:ascii="仿宋" w:hAnsi="仿宋" w:eastAsia="仿宋" w:cs="仿宋"/>
                <w:sz w:val="21"/>
                <w:szCs w:val="21"/>
              </w:rPr>
            </w:pPr>
            <w:r>
              <w:rPr>
                <w:rFonts w:hint="eastAsia" w:ascii="仿宋" w:hAnsi="仿宋" w:eastAsia="仿宋" w:cs="仿宋"/>
                <w:sz w:val="21"/>
                <w:szCs w:val="21"/>
              </w:rPr>
              <w:t>2.管理评审会议记录，</w:t>
            </w:r>
          </w:p>
          <w:p>
            <w:pPr>
              <w:spacing w:line="360" w:lineRule="auto"/>
              <w:rPr>
                <w:rFonts w:hint="eastAsia" w:ascii="仿宋" w:hAnsi="仿宋" w:eastAsia="仿宋" w:cs="仿宋"/>
                <w:sz w:val="21"/>
                <w:szCs w:val="21"/>
              </w:rPr>
            </w:pPr>
            <w:r>
              <w:rPr>
                <w:rFonts w:hint="eastAsia" w:ascii="仿宋" w:hAnsi="仿宋" w:eastAsia="仿宋" w:cs="仿宋"/>
                <w:sz w:val="21"/>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360" w:lineRule="auto"/>
              <w:rPr>
                <w:rFonts w:hint="eastAsia" w:ascii="仿宋" w:hAnsi="仿宋" w:eastAsia="仿宋" w:cs="仿宋"/>
                <w:sz w:val="21"/>
                <w:szCs w:val="21"/>
              </w:rPr>
            </w:pPr>
            <w:r>
              <w:rPr>
                <w:rFonts w:hint="eastAsia" w:ascii="仿宋" w:hAnsi="仿宋" w:eastAsia="仿宋" w:cs="仿宋"/>
                <w:sz w:val="21"/>
                <w:szCs w:val="21"/>
              </w:rPr>
              <w:t>3.管理评审报告，</w:t>
            </w:r>
          </w:p>
          <w:p>
            <w:pPr>
              <w:spacing w:line="360" w:lineRule="auto"/>
              <w:rPr>
                <w:rFonts w:hint="eastAsia" w:ascii="仿宋" w:hAnsi="仿宋" w:eastAsia="仿宋" w:cs="仿宋"/>
                <w:sz w:val="21"/>
                <w:szCs w:val="21"/>
              </w:rPr>
            </w:pPr>
            <w:r>
              <w:rPr>
                <w:rFonts w:hint="eastAsia" w:ascii="仿宋" w:hAnsi="仿宋" w:eastAsia="仿宋" w:cs="仿宋"/>
                <w:sz w:val="21"/>
                <w:szCs w:val="21"/>
              </w:rPr>
              <w:t>管理评审结论：在评审会上，经过综合讨论分析就公司的管理方针和目标的贯彻、运行现状及适用性、符合性和有效性作出如下结论：</w:t>
            </w:r>
          </w:p>
          <w:p>
            <w:pPr>
              <w:spacing w:line="360" w:lineRule="auto"/>
              <w:rPr>
                <w:rFonts w:hint="eastAsia" w:ascii="仿宋" w:hAnsi="仿宋" w:eastAsia="仿宋" w:cs="仿宋"/>
                <w:sz w:val="21"/>
                <w:szCs w:val="21"/>
              </w:rPr>
            </w:pPr>
            <w:r>
              <w:rPr>
                <w:rFonts w:hint="eastAsia" w:ascii="仿宋" w:hAnsi="仿宋" w:eastAsia="仿宋" w:cs="仿宋"/>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pPr>
              <w:spacing w:line="360" w:lineRule="auto"/>
              <w:rPr>
                <w:rFonts w:hint="eastAsia" w:ascii="仿宋" w:hAnsi="仿宋" w:eastAsia="仿宋" w:cs="仿宋"/>
                <w:sz w:val="21"/>
                <w:szCs w:val="21"/>
              </w:rPr>
            </w:pPr>
            <w:r>
              <w:rPr>
                <w:rFonts w:hint="eastAsia" w:ascii="仿宋" w:hAnsi="仿宋" w:eastAsia="仿宋" w:cs="仿宋"/>
                <w:sz w:val="21"/>
                <w:szCs w:val="21"/>
              </w:rPr>
              <w:t>通过三体系文件的运行，我公司各项管理制度更加健全，并促进了各项工作的规范化、制度化和标准化。使得我公司的质量及环境更加符合管理体系的方针和目标，为确保文明供销部提供了有力的体系支承平台。</w:t>
            </w:r>
          </w:p>
          <w:p>
            <w:pPr>
              <w:spacing w:line="360" w:lineRule="auto"/>
              <w:rPr>
                <w:rFonts w:hint="eastAsia" w:ascii="仿宋" w:hAnsi="仿宋" w:eastAsia="仿宋" w:cs="仿宋"/>
                <w:sz w:val="21"/>
                <w:szCs w:val="21"/>
              </w:rPr>
            </w:pPr>
            <w:r>
              <w:rPr>
                <w:rFonts w:hint="eastAsia" w:ascii="仿宋" w:hAnsi="仿宋" w:eastAsia="仿宋" w:cs="仿宋"/>
                <w:sz w:val="21"/>
                <w:szCs w:val="21"/>
              </w:rPr>
              <w:t>体系的运行也促进了公司文件及记录管理的规范化和标准化，促进了公司资料的规范整理。体系的正常运行，也使得公司物资采购及机械设备的管理更加规范合理。总之，通过三个管理体系的运行，使得公司的各项管理工作走上了一条正规合理有效的道路。</w:t>
            </w:r>
          </w:p>
          <w:p>
            <w:pPr>
              <w:spacing w:line="360" w:lineRule="auto"/>
              <w:rPr>
                <w:rFonts w:hint="eastAsia" w:ascii="仿宋" w:hAnsi="仿宋" w:eastAsia="仿宋" w:cs="仿宋"/>
                <w:sz w:val="21"/>
                <w:szCs w:val="21"/>
              </w:rPr>
            </w:pPr>
            <w:r>
              <w:rPr>
                <w:rFonts w:hint="eastAsia" w:ascii="仿宋" w:hAnsi="仿宋" w:eastAsia="仿宋" w:cs="仿宋"/>
                <w:sz w:val="21"/>
                <w:szCs w:val="21"/>
              </w:rPr>
              <w:t>改进建议：</w:t>
            </w:r>
          </w:p>
          <w:p>
            <w:pPr>
              <w:spacing w:line="360" w:lineRule="auto"/>
              <w:rPr>
                <w:rFonts w:hint="eastAsia" w:ascii="仿宋" w:hAnsi="仿宋" w:eastAsia="仿宋" w:cs="仿宋"/>
                <w:sz w:val="21"/>
                <w:szCs w:val="21"/>
              </w:rPr>
            </w:pPr>
            <w:r>
              <w:rPr>
                <w:rFonts w:hint="eastAsia" w:ascii="仿宋" w:hAnsi="仿宋" w:eastAsia="仿宋" w:cs="仿宋"/>
                <w:sz w:val="21"/>
                <w:szCs w:val="21"/>
              </w:rPr>
              <w:t>根据管理评审结果，对发现的个性、偶然性问题，举一反三制订纠正和预防措施计划（详见附表），并按计划要求组织实施及跟踪检查验证，确保ISO9001：2015、ISO14001：2015、ISO45001:2018管理体系高质量的顺畅运行，提高公司绩效管理。</w:t>
            </w:r>
          </w:p>
          <w:p>
            <w:pPr>
              <w:spacing w:line="360" w:lineRule="auto"/>
              <w:rPr>
                <w:rFonts w:hint="eastAsia" w:ascii="仿宋" w:hAnsi="仿宋" w:eastAsia="仿宋" w:cs="仿宋"/>
                <w:sz w:val="21"/>
                <w:szCs w:val="21"/>
              </w:rPr>
            </w:pPr>
            <w:r>
              <w:rPr>
                <w:rFonts w:hint="eastAsia" w:ascii="仿宋" w:hAnsi="仿宋" w:eastAsia="仿宋" w:cs="仿宋"/>
                <w:sz w:val="21"/>
                <w:szCs w:val="21"/>
              </w:rPr>
              <w:t>进一步强化业务人员的技能培训，推广市场。</w:t>
            </w:r>
          </w:p>
          <w:p>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drawing>
                <wp:inline distT="0" distB="0" distL="114300" distR="114300">
                  <wp:extent cx="4073525" cy="4220210"/>
                  <wp:effectExtent l="0" t="0" r="3175" b="8890"/>
                  <wp:docPr id="6" name="图片 6" descr="微信图片_20220831155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8311554073"/>
                          <pic:cNvPicPr>
                            <a:picLocks noChangeAspect="1"/>
                          </pic:cNvPicPr>
                        </pic:nvPicPr>
                        <pic:blipFill>
                          <a:blip r:embed="rId6"/>
                          <a:stretch>
                            <a:fillRect/>
                          </a:stretch>
                        </pic:blipFill>
                        <pic:spPr>
                          <a:xfrm>
                            <a:off x="0" y="0"/>
                            <a:ext cx="4073525" cy="4220210"/>
                          </a:xfrm>
                          <a:prstGeom prst="rect">
                            <a:avLst/>
                          </a:prstGeom>
                        </pic:spPr>
                      </pic:pic>
                    </a:graphicData>
                  </a:graphic>
                </wp:inline>
              </w:drawing>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总则</w:t>
            </w:r>
          </w:p>
          <w:p>
            <w:pPr>
              <w:spacing w:line="360" w:lineRule="auto"/>
              <w:rPr>
                <w:rFonts w:hint="eastAsia" w:ascii="仿宋" w:hAnsi="仿宋" w:eastAsia="仿宋" w:cs="仿宋"/>
                <w:sz w:val="21"/>
                <w:szCs w:val="21"/>
              </w:rPr>
            </w:pP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QEO 10.1</w:t>
            </w:r>
          </w:p>
          <w:p>
            <w:pPr>
              <w:spacing w:line="360" w:lineRule="auto"/>
              <w:rPr>
                <w:rFonts w:hint="eastAsia" w:ascii="仿宋" w:hAnsi="仿宋" w:eastAsia="仿宋" w:cs="仿宋"/>
                <w:sz w:val="21"/>
                <w:szCs w:val="21"/>
              </w:rPr>
            </w:pPr>
          </w:p>
        </w:tc>
        <w:tc>
          <w:tcPr>
            <w:tcW w:w="11651"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——具体事实可见审核10.2条款记录。</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持续改进</w:t>
            </w:r>
          </w:p>
        </w:tc>
        <w:tc>
          <w:tcPr>
            <w:tcW w:w="965" w:type="dxa"/>
          </w:tcPr>
          <w:p>
            <w:pPr>
              <w:spacing w:line="360" w:lineRule="auto"/>
              <w:rPr>
                <w:rFonts w:hint="eastAsia" w:ascii="仿宋" w:hAnsi="仿宋" w:eastAsia="仿宋" w:cs="仿宋"/>
                <w:sz w:val="21"/>
                <w:szCs w:val="21"/>
              </w:rPr>
            </w:pPr>
            <w:r>
              <w:rPr>
                <w:rFonts w:hint="eastAsia" w:ascii="仿宋" w:hAnsi="仿宋" w:eastAsia="仿宋" w:cs="仿宋"/>
                <w:sz w:val="21"/>
                <w:szCs w:val="21"/>
              </w:rPr>
              <w:t>QEO 10.3</w:t>
            </w:r>
          </w:p>
          <w:p>
            <w:pPr>
              <w:spacing w:line="360" w:lineRule="auto"/>
              <w:rPr>
                <w:rFonts w:hint="eastAsia" w:ascii="仿宋" w:hAnsi="仿宋" w:eastAsia="仿宋" w:cs="仿宋"/>
                <w:sz w:val="21"/>
                <w:szCs w:val="21"/>
              </w:rPr>
            </w:pPr>
          </w:p>
        </w:tc>
        <w:tc>
          <w:tcPr>
            <w:tcW w:w="11651"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公司组织确定并选择改进机会，采取必要措施，满足顾客要求和增强顾客满意。</w:t>
            </w:r>
          </w:p>
          <w:p>
            <w:pPr>
              <w:spacing w:line="360" w:lineRule="auto"/>
              <w:rPr>
                <w:rFonts w:hint="eastAsia" w:ascii="仿宋" w:hAnsi="仿宋" w:eastAsia="仿宋" w:cs="仿宋"/>
                <w:sz w:val="21"/>
                <w:szCs w:val="21"/>
              </w:rPr>
            </w:pPr>
            <w:r>
              <w:rPr>
                <w:rFonts w:hint="eastAsia" w:ascii="仿宋" w:hAnsi="仿宋" w:eastAsia="仿宋" w:cs="仿宋"/>
                <w:sz w:val="21"/>
                <w:szCs w:val="21"/>
              </w:rPr>
              <w:t>包括：</w:t>
            </w:r>
          </w:p>
          <w:p>
            <w:pPr>
              <w:spacing w:line="360" w:lineRule="auto"/>
              <w:rPr>
                <w:rFonts w:hint="eastAsia" w:ascii="仿宋" w:hAnsi="仿宋" w:eastAsia="仿宋" w:cs="仿宋"/>
                <w:sz w:val="21"/>
                <w:szCs w:val="21"/>
              </w:rPr>
            </w:pPr>
            <w:r>
              <w:rPr>
                <w:rFonts w:hint="eastAsia" w:ascii="仿宋" w:hAnsi="仿宋" w:eastAsia="仿宋" w:cs="仿宋"/>
                <w:sz w:val="21"/>
                <w:szCs w:val="21"/>
              </w:rPr>
              <w:t>a) 改进产品或服务，以满足要求并关注未来的需求和期望；</w:t>
            </w:r>
          </w:p>
          <w:p>
            <w:pPr>
              <w:spacing w:line="360" w:lineRule="auto"/>
              <w:rPr>
                <w:rFonts w:hint="eastAsia" w:ascii="仿宋" w:hAnsi="仿宋" w:eastAsia="仿宋" w:cs="仿宋"/>
                <w:sz w:val="21"/>
                <w:szCs w:val="21"/>
              </w:rPr>
            </w:pPr>
            <w:r>
              <w:rPr>
                <w:rFonts w:hint="eastAsia" w:ascii="仿宋" w:hAnsi="仿宋" w:eastAsia="仿宋" w:cs="仿宋"/>
                <w:sz w:val="21"/>
                <w:szCs w:val="21"/>
              </w:rPr>
              <w:t>b) 纠正或减少不利影响；</w:t>
            </w:r>
          </w:p>
          <w:p>
            <w:pPr>
              <w:spacing w:line="360" w:lineRule="auto"/>
              <w:rPr>
                <w:rFonts w:hint="eastAsia" w:ascii="仿宋" w:hAnsi="仿宋" w:eastAsia="仿宋" w:cs="仿宋"/>
                <w:sz w:val="21"/>
                <w:szCs w:val="21"/>
              </w:rPr>
            </w:pPr>
            <w:r>
              <w:rPr>
                <w:rFonts w:hint="eastAsia" w:ascii="仿宋" w:hAnsi="仿宋" w:eastAsia="仿宋" w:cs="仿宋"/>
                <w:sz w:val="21"/>
                <w:szCs w:val="21"/>
              </w:rPr>
              <w:t>c) 改进管理体系绩效和有效性。</w:t>
            </w:r>
          </w:p>
          <w:p>
            <w:pPr>
              <w:spacing w:line="360" w:lineRule="auto"/>
              <w:rPr>
                <w:rFonts w:hint="eastAsia" w:ascii="仿宋" w:hAnsi="仿宋" w:eastAsia="仿宋" w:cs="仿宋"/>
                <w:sz w:val="21"/>
                <w:szCs w:val="21"/>
              </w:rPr>
            </w:pPr>
            <w:r>
              <w:rPr>
                <w:rFonts w:hint="eastAsia" w:ascii="仿宋" w:hAnsi="仿宋" w:eastAsia="仿宋" w:cs="仿宋"/>
                <w:sz w:val="21"/>
                <w:szCs w:val="21"/>
              </w:rPr>
              <w:t>对以下方面所需的监视、测量、分析和改进过程进行策划和实施：</w:t>
            </w:r>
          </w:p>
          <w:p>
            <w:pPr>
              <w:spacing w:line="360" w:lineRule="auto"/>
              <w:rPr>
                <w:rFonts w:hint="eastAsia" w:ascii="仿宋" w:hAnsi="仿宋" w:eastAsia="仿宋" w:cs="仿宋"/>
                <w:sz w:val="21"/>
                <w:szCs w:val="21"/>
              </w:rPr>
            </w:pPr>
            <w:r>
              <w:rPr>
                <w:rFonts w:hint="eastAsia" w:ascii="仿宋" w:hAnsi="仿宋" w:eastAsia="仿宋" w:cs="仿宋"/>
                <w:sz w:val="21"/>
                <w:szCs w:val="21"/>
              </w:rPr>
              <w:t>1.证实产品和销售满足规定的要求；</w:t>
            </w:r>
          </w:p>
          <w:p>
            <w:pPr>
              <w:spacing w:line="360" w:lineRule="auto"/>
              <w:rPr>
                <w:rFonts w:hint="eastAsia" w:ascii="仿宋" w:hAnsi="仿宋" w:eastAsia="仿宋" w:cs="仿宋"/>
                <w:sz w:val="21"/>
                <w:szCs w:val="21"/>
              </w:rPr>
            </w:pPr>
            <w:r>
              <w:rPr>
                <w:rFonts w:hint="eastAsia" w:ascii="仿宋" w:hAnsi="仿宋" w:eastAsia="仿宋" w:cs="仿宋"/>
                <w:sz w:val="21"/>
                <w:szCs w:val="21"/>
              </w:rPr>
              <w:t>2.确保管理体系的符合性；</w:t>
            </w:r>
          </w:p>
          <w:p>
            <w:pPr>
              <w:spacing w:line="360" w:lineRule="auto"/>
              <w:rPr>
                <w:rFonts w:hint="eastAsia" w:ascii="仿宋" w:hAnsi="仿宋" w:eastAsia="仿宋" w:cs="仿宋"/>
                <w:sz w:val="21"/>
                <w:szCs w:val="21"/>
              </w:rPr>
            </w:pPr>
            <w:r>
              <w:rPr>
                <w:rFonts w:hint="eastAsia" w:ascii="仿宋" w:hAnsi="仿宋" w:eastAsia="仿宋" w:cs="仿宋"/>
                <w:sz w:val="21"/>
                <w:szCs w:val="21"/>
              </w:rPr>
              <w:t>3.持续改进管理体系的有效性。</w:t>
            </w:r>
          </w:p>
          <w:p>
            <w:pPr>
              <w:spacing w:line="360" w:lineRule="auto"/>
              <w:rPr>
                <w:rFonts w:hint="eastAsia" w:ascii="仿宋" w:hAnsi="仿宋" w:eastAsia="仿宋" w:cs="仿宋"/>
                <w:sz w:val="21"/>
                <w:szCs w:val="21"/>
              </w:rPr>
            </w:pPr>
            <w:r>
              <w:rPr>
                <w:rFonts w:hint="eastAsia" w:ascii="仿宋" w:hAnsi="仿宋" w:eastAsia="仿宋" w:cs="仿宋"/>
                <w:sz w:val="21"/>
                <w:szCs w:val="21"/>
              </w:rPr>
              <w:t>根据不同过程、不同产品和不同要求，采取不同的方法进行监视、测量和分析。</w:t>
            </w:r>
          </w:p>
          <w:p>
            <w:pPr>
              <w:spacing w:line="360" w:lineRule="auto"/>
              <w:rPr>
                <w:rFonts w:hint="eastAsia" w:ascii="仿宋" w:hAnsi="仿宋" w:eastAsia="仿宋" w:cs="仿宋"/>
                <w:sz w:val="21"/>
                <w:szCs w:val="21"/>
              </w:rPr>
            </w:pPr>
            <w:r>
              <w:rPr>
                <w:rFonts w:hint="eastAsia" w:ascii="仿宋" w:hAnsi="仿宋" w:eastAsia="仿宋" w:cs="仿宋"/>
                <w:sz w:val="21"/>
                <w:szCs w:val="21"/>
              </w:rPr>
              <w:t>公司利用管理方针、目标、内审和外审、数据分析、纠正和预防措施以及管理评审，识别任何改进的机会，持续改进管理体系的适宜性、充分性和有效性。详见相关条款审核记录。</w:t>
            </w: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42" w:type="dxa"/>
            <w:vAlign w:val="top"/>
          </w:tcPr>
          <w:p>
            <w:pPr>
              <w:spacing w:line="280" w:lineRule="exact"/>
              <w:jc w:val="left"/>
              <w:rPr>
                <w:rFonts w:hint="eastAsia" w:ascii="仿宋" w:hAnsi="仿宋" w:eastAsia="仿宋" w:cs="仿宋"/>
                <w:spacing w:val="-6"/>
                <w:sz w:val="21"/>
                <w:szCs w:val="21"/>
              </w:rPr>
            </w:pPr>
            <w:r>
              <w:rPr>
                <w:rFonts w:hint="eastAsia" w:ascii="仿宋" w:hAnsi="仿宋" w:eastAsia="仿宋" w:cs="仿宋"/>
                <w:spacing w:val="-6"/>
                <w:sz w:val="21"/>
                <w:szCs w:val="21"/>
              </w:rPr>
              <w:t>国家/地方监督抽查情况；顾客满意、相关方投诉及处理情况；</w:t>
            </w:r>
          </w:p>
          <w:p>
            <w:pPr>
              <w:pageBreakBefore w:val="0"/>
              <w:widowControl w:val="0"/>
              <w:kinsoku/>
              <w:wordWrap/>
              <w:overflowPunct/>
              <w:topLinePunct w:val="0"/>
              <w:bidi w:val="0"/>
              <w:adjustRightInd w:val="0"/>
              <w:snapToGrid w:val="0"/>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pacing w:val="-6"/>
                <w:sz w:val="21"/>
                <w:szCs w:val="21"/>
              </w:rPr>
              <w:t>验证企业相关资质证明的有效性</w:t>
            </w:r>
            <w:r>
              <w:rPr>
                <w:rFonts w:hint="eastAsia" w:ascii="仿宋" w:hAnsi="仿宋" w:eastAsia="仿宋" w:cs="仿宋"/>
                <w:sz w:val="21"/>
                <w:szCs w:val="21"/>
              </w:rPr>
              <w:t>，证书及标志的使用，变更，上次审核不符合验证；</w:t>
            </w:r>
          </w:p>
        </w:tc>
        <w:tc>
          <w:tcPr>
            <w:tcW w:w="965" w:type="dxa"/>
            <w:vAlign w:val="top"/>
          </w:tcPr>
          <w:p>
            <w:pPr>
              <w:pageBreakBefore w:val="0"/>
              <w:widowControl w:val="0"/>
              <w:kinsoku/>
              <w:wordWrap/>
              <w:overflowPunct/>
              <w:topLinePunct w:val="0"/>
              <w:bidi w:val="0"/>
              <w:spacing w:line="240" w:lineRule="auto"/>
              <w:textAlignment w:val="auto"/>
              <w:rPr>
                <w:rFonts w:hint="eastAsia" w:ascii="仿宋" w:hAnsi="仿宋" w:eastAsia="仿宋" w:cs="仿宋"/>
                <w:kern w:val="2"/>
                <w:sz w:val="21"/>
                <w:szCs w:val="21"/>
                <w:lang w:val="en-US" w:eastAsia="zh-CN" w:bidi="ar-SA"/>
              </w:rPr>
            </w:pPr>
          </w:p>
        </w:tc>
        <w:tc>
          <w:tcPr>
            <w:tcW w:w="11651" w:type="dxa"/>
            <w:vAlign w:val="top"/>
          </w:tcPr>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公司严格执行国标及行业要求和法律、法规要求。</w:t>
            </w:r>
          </w:p>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本次审核周期内</w:t>
            </w:r>
            <w:r>
              <w:rPr>
                <w:rFonts w:hint="eastAsia" w:ascii="仿宋" w:hAnsi="仿宋" w:eastAsia="仿宋" w:cs="仿宋"/>
                <w:sz w:val="21"/>
                <w:szCs w:val="21"/>
              </w:rPr>
              <w:t>，公司无重大产品质量投诉，通过顾客满意度调查，顾客对公司提供的产品普遍反映较好。</w:t>
            </w:r>
          </w:p>
          <w:p>
            <w:pPr>
              <w:pStyle w:val="13"/>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产品暂无质量监督抽查情况</w:t>
            </w:r>
          </w:p>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无重大环境和职业健康安全的问题和投诉。</w:t>
            </w:r>
          </w:p>
          <w:p>
            <w:pPr>
              <w:spacing w:line="28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上次审核</w:t>
            </w:r>
            <w:r>
              <w:rPr>
                <w:rFonts w:hint="eastAsia" w:ascii="仿宋" w:hAnsi="仿宋" w:eastAsia="仿宋" w:cs="仿宋"/>
                <w:color w:val="auto"/>
                <w:sz w:val="21"/>
                <w:szCs w:val="21"/>
              </w:rPr>
              <w:t>问题验证：</w:t>
            </w:r>
            <w:r>
              <w:rPr>
                <w:rFonts w:hint="eastAsia" w:ascii="仿宋" w:hAnsi="仿宋" w:eastAsia="仿宋" w:cs="仿宋"/>
                <w:color w:val="auto"/>
                <w:sz w:val="21"/>
                <w:szCs w:val="21"/>
                <w:lang w:val="en-US" w:eastAsia="zh-CN"/>
              </w:rPr>
              <w:t>已完成整改，整改有效</w:t>
            </w:r>
            <w:r>
              <w:rPr>
                <w:rFonts w:hint="eastAsia" w:ascii="仿宋" w:hAnsi="仿宋" w:eastAsia="仿宋" w:cs="仿宋"/>
                <w:color w:val="auto"/>
                <w:sz w:val="21"/>
                <w:szCs w:val="21"/>
              </w:rPr>
              <w:t>。</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企业对认证证书用于项目投标，未使用认证标志，对认证证书、标志的使用情况满足要求。</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总经理变更为张春祥。</w:t>
            </w:r>
          </w:p>
          <w:p>
            <w:pPr>
              <w:pStyle w:val="13"/>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color w:val="000000"/>
                <w:sz w:val="21"/>
                <w:szCs w:val="21"/>
                <w:lang w:val="en-US" w:eastAsia="zh-CN" w:bidi="ar-SA"/>
              </w:rPr>
            </w:pPr>
          </w:p>
        </w:tc>
        <w:tc>
          <w:tcPr>
            <w:tcW w:w="851"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bl>
    <w:p>
      <w:pPr>
        <w:rPr>
          <w:rFonts w:hint="eastAsia" w:ascii="仿宋" w:hAnsi="仿宋" w:eastAsia="仿宋" w:cs="仿宋"/>
          <w:sz w:val="21"/>
          <w:szCs w:val="21"/>
        </w:rPr>
      </w:pPr>
      <w:r>
        <w:rPr>
          <w:rFonts w:hint="eastAsia" w:ascii="仿宋" w:hAnsi="仿宋" w:eastAsia="仿宋" w:cs="仿宋"/>
          <w:sz w:val="21"/>
          <w:szCs w:val="21"/>
        </w:rPr>
        <w:t>说明：不符合标注N</w:t>
      </w:r>
    </w:p>
    <w:p>
      <w:pPr>
        <w:rPr>
          <w:rFonts w:hint="eastAsia" w:ascii="仿宋" w:hAnsi="仿宋" w:eastAsia="仿宋" w:cs="仿宋"/>
          <w:sz w:val="21"/>
          <w:szCs w:val="21"/>
        </w:rPr>
      </w:pPr>
      <w:r>
        <w:rPr>
          <w:rFonts w:hint="eastAsia" w:ascii="仿宋" w:hAnsi="仿宋" w:eastAsia="仿宋" w:cs="仿宋"/>
          <w:sz w:val="21"/>
          <w:szCs w:val="21"/>
        </w:rPr>
        <w:ptab w:relativeTo="margin" w:alignment="center" w:leader="none"/>
      </w:r>
    </w:p>
    <w:p>
      <w:pPr>
        <w:rPr>
          <w:rFonts w:hint="eastAsia" w:ascii="仿宋" w:hAnsi="仿宋" w:eastAsia="仿宋" w:cs="仿宋"/>
          <w:sz w:val="21"/>
          <w:szCs w:val="21"/>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83274"/>
    <w:rsid w:val="03FA53E7"/>
    <w:rsid w:val="042800B2"/>
    <w:rsid w:val="06AF4EF7"/>
    <w:rsid w:val="095E7C18"/>
    <w:rsid w:val="0C732D93"/>
    <w:rsid w:val="0EBE1899"/>
    <w:rsid w:val="31E461A0"/>
    <w:rsid w:val="3FFA416B"/>
    <w:rsid w:val="441F0EBE"/>
    <w:rsid w:val="615E029E"/>
    <w:rsid w:val="747648ED"/>
    <w:rsid w:val="755727D1"/>
    <w:rsid w:val="7EA30F73"/>
    <w:rsid w:val="7F276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8</TotalTime>
  <ScaleCrop>false</ScaleCrop>
  <LinksUpToDate>false</LinksUpToDate>
  <CharactersWithSpaces>101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hb</cp:lastModifiedBy>
  <dcterms:modified xsi:type="dcterms:W3CDTF">2022-08-31T08:37:10Z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2052-11.1.0.9914</vt:lpwstr>
  </property>
</Properties>
</file>