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管理层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总经理 董聪伟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管代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董聪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陪同人员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：</w:t>
            </w:r>
            <w:bookmarkStart w:id="0" w:name="联系人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王树辇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强兴、王秋华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审核时间：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理解公司及其环境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4.2理解相关方的需求和期望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4.3质量管理体系的范围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4.4质量管理体系及其过程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5.1.1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以顾客为关注焦点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5.2.1制定质量方针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5.2.2沟通质量方针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5.3组织的岗位、职责的权限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6.1应对风险和机遇的措施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6.2质量、目标及其实现的策划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6.3变更的策划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7.1.1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资源）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9.1.1监视测量、分析和评价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9.3管理评审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10.3持续改进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4.3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</w:t>
            </w:r>
            <w:bookmarkStart w:id="1" w:name="_Hlk529766700"/>
            <w:bookmarkStart w:id="2" w:name="_Hlk518913993"/>
            <w:bookmarkStart w:id="3" w:name="_Hlk516119691"/>
            <w:bookmarkStart w:id="4" w:name="_Hlk514299804"/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bookmarkEnd w:id="1"/>
            <w:bookmarkEnd w:id="2"/>
            <w:bookmarkEnd w:id="3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公司环境分析控制程序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”，</w:t>
            </w:r>
            <w:bookmarkEnd w:id="4"/>
            <w:bookmarkStart w:id="5" w:name="_Hlk514299819"/>
            <w:r>
              <w:rPr>
                <w:rFonts w:hint="eastAsia" w:ascii="仿宋" w:hAnsi="仿宋" w:eastAsia="仿宋" w:cs="仿宋"/>
                <w:sz w:val="21"/>
                <w:szCs w:val="21"/>
              </w:rPr>
              <w:t>规定了理解组织及其环境的相关要求。</w:t>
            </w:r>
            <w:bookmarkEnd w:id="5"/>
            <w:r>
              <w:rPr>
                <w:rFonts w:hint="eastAsia" w:ascii="仿宋" w:hAnsi="仿宋" w:eastAsia="仿宋" w:cs="仿宋"/>
                <w:sz w:val="21"/>
                <w:szCs w:val="21"/>
              </w:rPr>
              <w:t>公司依据标准要求，根据组织自身条件，对其所处内外环境进行了分析、确定。外部环境包括了政治环境、法律环境、社会文化环境、市场预期、竞争力等，内部环境包括了企业文化、公司价值观、知识积累、绩效、资源因素、运营因素等，同时明确了监视和评审的要求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内外部环境要素的识别评价表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”作为公司制定应对风险和机遇措施的基础。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外部环境分析：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声学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技术的发展，有更好的经营环境。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内部环境分析：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内部环境分析内容摘录如下：合同管理（风险）：顾客要求识别不充分会带来合同执行困难。（机遇）：新产品带来更好的品质，也会给企业发展带来机会。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经查：</w:t>
            </w:r>
            <w:bookmarkStart w:id="6" w:name="_Hlk13405664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相关方需求和期望控制程序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”，规定了理解相关方要求和期望的具体要求。公司领导会同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，依据标准要求，通过网络、内外交流、市场调查、顾客需求/期望/满意度的监视等方法，确定与质量管理体有关的顾客及相关方要求的相关信息。</w:t>
            </w:r>
            <w:bookmarkEnd w:id="6"/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相关方需求和期望确定评审表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作为公司制定应对风险和机遇的措施的基础。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顾客需求和期望内容摘录如下：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顾客期望公司提供的产品质量好、价格适中、及时供货。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经查：公司依据其识别和确定的内外部因素、相关方的需求和公司提供的产品服务确定了其质量管理体系的范围。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公司按照 GB/T19001-2016标准建立、运行质量管理体系，经与总经理沟通，公司申请的质量体系范围Q:</w:t>
            </w:r>
            <w:bookmarkStart w:id="7" w:name="审核范围"/>
            <w:r>
              <w:rPr>
                <w:rFonts w:hint="eastAsia" w:ascii="仿宋" w:hAnsi="仿宋" w:eastAsia="仿宋" w:cs="仿宋"/>
                <w:sz w:val="21"/>
                <w:szCs w:val="21"/>
              </w:rPr>
              <w:t>水环境污染防治服务、大气环境污染防治服务</w:t>
            </w:r>
            <w:bookmarkEnd w:id="7"/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根据公司领导介绍及现场查证，公司按照 GB/T19001-2016标准要求结合公司组织机构设置、建立、实施QMS。明确了QMS的过程、归口管理部门和相关责任部门，为确保这些过程的有效运行和控制，编制了质量手册、程序文件（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质量手册1.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章节识别了公司  Q:水环境污染防治服务、大气环境污染防治服务的外包过程：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根据总经理介绍及查证：通过对质量管理体系标准及文件的学习，总经理目前已基本全面理解了领导作用的重要性，知晓了以顾客为关注焦点的重要性，并承诺对管理体系负全责。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介绍：本公司目前能充分识别其承揽的Q:水环境污染防治服务、大气环境污染防治服务合同/协议的相关要求，确定、理解并持续满足顾客要求以及适用法律法规要求，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公司已制定质量方针，并随同手册下发。质量方针为：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以技术创新和优质服务，持续满足顾客要求,为环保运维行业提供优质服务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经查：公司下设管理层、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业务部、采购部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，质量手册职能分配表及三层次管理制度“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各部门及重要岗位的职责与权限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最高管理者任命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董聪伟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任管理者代表（详见手册中的管理者代表任命书），在手册和岗位职责中明确了管理者代表的职责权限。手册“职能分配表”、三层次管理制度“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各部门及重要岗位的职责与权限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”，对公司各部门归口管理的质量管理体系各过程和活动、岗位职责，规定具体。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负责对各部门职责落实情况进行检查、考核，能够保证部门职责的落实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Q6.1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公司编制了“风险和机遇控制程序”，规定了应对风险和机遇的管理要求。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在风险与机遇评估分析的基础上，制定了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bookmarkEnd w:id="8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风险和机遇评估分析表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bookmarkEnd w:id="9"/>
            <w:r>
              <w:rPr>
                <w:rFonts w:hint="eastAsia" w:ascii="仿宋" w:hAnsi="仿宋" w:eastAsia="仿宋" w:cs="仿宋"/>
                <w:sz w:val="21"/>
                <w:szCs w:val="21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“风险和机遇识别分析表”，作为各部门应对风险的实施依据，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按要求对实施情况进行考核。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合同管理（风险）：对顾客要求识别不充分，提供的产品不能全面满足顾客要求。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应对措施：加强与顾客沟通及合同评审，充分理解顾客需求并转化为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实施情况：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经营部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按照策划组织开展了产品有关要求的识别、评审；并监督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将顾客有关要求转化为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的具体要求，上述活动的开展，对满足顾客要求起到了良好的保障作用。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过程控制（风险）：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过程未严格执行文件将影响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应对措施：加强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实施情况：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检验人员按照策划严格监控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公司质量目标由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负责考核，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查看的20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统计汇总的公司质量目标完成情况：a、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服务质量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一次交验合格率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（目标；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）；b、顾客满意率9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%（目标：9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％以上），公司质量体系运行以来，质量目标已完成。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根据公司质量目标和部门职责，分解制定了部门质量目标，根据总经理介绍，体系运行以来的部门质量目标也全部实现。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根据公司领导介绍及现场查证，公司20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版（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经现场查看，公司经营地址位于</w:t>
            </w:r>
            <w:bookmarkStart w:id="10" w:name="生产地址"/>
            <w:r>
              <w:rPr>
                <w:rFonts w:hint="eastAsia" w:ascii="仿宋" w:hAnsi="仿宋" w:eastAsia="仿宋" w:cs="仿宋"/>
                <w:sz w:val="21"/>
                <w:szCs w:val="21"/>
              </w:rPr>
              <w:t>山东省菏泽市曹县磐石街道姚寨村村南</w:t>
            </w:r>
            <w:bookmarkEnd w:id="10"/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公司租用客户厂区进行服务，配置了办公电脑；笔记本电脑打印/复印机；传真机一部，办公桌椅、文件柜等。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公司配置了相应的管理/技术/经营人员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根据公司领导介绍及现场查证，目前公司策划形成了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风险和机遇控制程序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、文件信息控制程序、人力资源控制程序、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生产运行控制程序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、外部提供产品、服务和过程控制程序、不合格输出控制程序、</w:t>
            </w:r>
            <w:bookmarkStart w:id="11" w:name="_Hlk518315466"/>
            <w:r>
              <w:rPr>
                <w:rFonts w:hint="eastAsia" w:ascii="仿宋" w:hAnsi="仿宋" w:eastAsia="仿宋" w:cs="仿宋"/>
                <w:sz w:val="21"/>
                <w:szCs w:val="21"/>
              </w:rPr>
              <w:t>内部审核控制程序、</w:t>
            </w:r>
            <w:r>
              <w:rPr>
                <w:rFonts w:hint="eastAsia" w:ascii="仿宋" w:hAnsi="仿宋" w:eastAsia="仿宋" w:cs="仿宋"/>
                <w:iCs/>
                <w:color w:val="000000"/>
                <w:sz w:val="21"/>
                <w:szCs w:val="21"/>
              </w:rPr>
              <w:t>管理评审控制程序</w:t>
            </w:r>
            <w:bookmarkEnd w:id="11"/>
            <w:r>
              <w:rPr>
                <w:rFonts w:hint="eastAsia" w:ascii="仿宋" w:hAnsi="仿宋" w:eastAsia="仿宋" w:cs="仿宋"/>
                <w:i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</w:t>
            </w:r>
            <w:bookmarkStart w:id="12" w:name="_Hlk524787802"/>
            <w:r>
              <w:rPr>
                <w:rFonts w:hint="eastAsia" w:ascii="仿宋" w:hAnsi="仿宋" w:eastAsia="仿宋" w:cs="仿宋"/>
                <w:sz w:val="21"/>
                <w:szCs w:val="21"/>
              </w:rPr>
              <w:t>“管理评审控制程序”</w:t>
            </w:r>
            <w:bookmarkEnd w:id="12"/>
            <w:r>
              <w:rPr>
                <w:rFonts w:hint="eastAsia" w:ascii="仿宋" w:hAnsi="仿宋" w:eastAsia="仿宋" w:cs="仿宋"/>
                <w:sz w:val="21"/>
                <w:szCs w:val="21"/>
              </w:rPr>
              <w:t>规定了管理评审的控制要求。查看的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2022.6.30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编制的“20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年度管理评审计划”，管理评审内容、评审所需文件资料，清晰、明确。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2022.7.2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总经理按策划组织召开了管理评审会议，各部门负责人按要求参加了会议。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经讨论后形成的管理评审报告认为：管理体系基本适宜、充分和有效的评审结论。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管理评审决定了质量管理体系及其过程有效性的改进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大家一致认为，本公司依据ISO9001：2015标准建立的质量体系总体而言是有效的、适用的。目前不需要改进。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结果表明：我公司的质量方针、质量目标和质量管理体系基本是适宜、充分、有效的，能以防止不合格来满足顾客要求，符合相关法律法规的要求和规定，能够贯彻我公司的质量方针，实现我公司的质量目标，已建立了自我发现问题和持续改进质量管理体系有效性的机制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2、与顾客要求有关的产品的改进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本公司经过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运维服务实施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，目前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运维服务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按合同要求提交客户。经过严格的检验，所有产品均符合标准及客户订货要求。目前暂不需要改进。在销售过程中，我们应不断征询顾客意见，按照顾客和市场需求，对我们产品不断改进，生产出高质量产品，扩大市场占有率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3、硬件需求</w:t>
            </w:r>
          </w:p>
          <w:p>
            <w:pPr>
              <w:spacing w:line="360" w:lineRule="auto"/>
              <w:ind w:right="36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本公司按照ISO9001：2015标准要求，为公司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运维服务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及检验配备了相应的硬件设备。目前，不需要增加设备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787900" cy="3300095"/>
                  <wp:effectExtent l="0" t="0" r="0" b="1905"/>
                  <wp:docPr id="1" name="图片 1" descr="微信图片_2022091717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171728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330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  <w:bookmarkStart w:id="13" w:name="_GoBack"/>
            <w:bookmarkEnd w:id="13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ind w:left="406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查看了相关材料，基本完成。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目前公司确定和识别了改进机会，策划形成了内部审核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、管理评审控制程序、不合格输出控制程序、改进控制程序等，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过纠正、纠正措施、持续改进等方法，改进Q:水环境污染防治服务、大气环境污染防治服务过程的薄弱环节，纠正、避免和减少非预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期的情况带来的不利影响，改进质量管理体系的绩效和有效性，以满足顾客要求并增强顾客满意。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持续改进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按GB/T19001-2016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公司成立和体系运行以来，未受到上级主管部门有关质量的行政处罚。未发生相关方的投诉。营业执照与提交的一致。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上次不符合已关闭。总经理管理者代表变更；企业对认证证书用于项目投标，未使用认证标志，对认证证书、标志的使用情况满足要求。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D126C45"/>
    <w:rsid w:val="0DA01309"/>
    <w:rsid w:val="0DB25418"/>
    <w:rsid w:val="0E3F7AFC"/>
    <w:rsid w:val="0E6F75B6"/>
    <w:rsid w:val="0EBD5B3D"/>
    <w:rsid w:val="0F5724A3"/>
    <w:rsid w:val="0F812935"/>
    <w:rsid w:val="103F3FB5"/>
    <w:rsid w:val="10D962B1"/>
    <w:rsid w:val="110F780B"/>
    <w:rsid w:val="114B1966"/>
    <w:rsid w:val="125E0B72"/>
    <w:rsid w:val="12904F23"/>
    <w:rsid w:val="13050214"/>
    <w:rsid w:val="13AD70D5"/>
    <w:rsid w:val="14735C84"/>
    <w:rsid w:val="14BA3662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8175635"/>
    <w:rsid w:val="18264B1A"/>
    <w:rsid w:val="18B0205D"/>
    <w:rsid w:val="18B11E15"/>
    <w:rsid w:val="18E76290"/>
    <w:rsid w:val="18F56F1F"/>
    <w:rsid w:val="1964762E"/>
    <w:rsid w:val="1A74667E"/>
    <w:rsid w:val="1AA36A47"/>
    <w:rsid w:val="1B7122F8"/>
    <w:rsid w:val="1CF7406F"/>
    <w:rsid w:val="1CFC7669"/>
    <w:rsid w:val="1D04109B"/>
    <w:rsid w:val="1D2A3AC5"/>
    <w:rsid w:val="1D2B1B3D"/>
    <w:rsid w:val="1D685AFC"/>
    <w:rsid w:val="1D79348A"/>
    <w:rsid w:val="1E7553CE"/>
    <w:rsid w:val="1E7B1BF8"/>
    <w:rsid w:val="1E8C3D8B"/>
    <w:rsid w:val="1FF96882"/>
    <w:rsid w:val="20180A81"/>
    <w:rsid w:val="21054632"/>
    <w:rsid w:val="21663AEF"/>
    <w:rsid w:val="23BC5D13"/>
    <w:rsid w:val="24535F51"/>
    <w:rsid w:val="249928FF"/>
    <w:rsid w:val="25750B3B"/>
    <w:rsid w:val="258E310E"/>
    <w:rsid w:val="25F021EB"/>
    <w:rsid w:val="261749A4"/>
    <w:rsid w:val="267F0128"/>
    <w:rsid w:val="26BB4C70"/>
    <w:rsid w:val="27891BCA"/>
    <w:rsid w:val="27A94797"/>
    <w:rsid w:val="287825A8"/>
    <w:rsid w:val="28E54C9C"/>
    <w:rsid w:val="29461A95"/>
    <w:rsid w:val="29724E6F"/>
    <w:rsid w:val="29895ED5"/>
    <w:rsid w:val="29EF0FE0"/>
    <w:rsid w:val="2B8A731A"/>
    <w:rsid w:val="2BC875A4"/>
    <w:rsid w:val="2C276741"/>
    <w:rsid w:val="2C687272"/>
    <w:rsid w:val="2D6E7DCA"/>
    <w:rsid w:val="2F2E0ABE"/>
    <w:rsid w:val="2F3E7276"/>
    <w:rsid w:val="2FAC2506"/>
    <w:rsid w:val="2FAF3005"/>
    <w:rsid w:val="3077128E"/>
    <w:rsid w:val="307C4ACB"/>
    <w:rsid w:val="30F842BC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4A90155"/>
    <w:rsid w:val="35052C50"/>
    <w:rsid w:val="35392164"/>
    <w:rsid w:val="356B3E99"/>
    <w:rsid w:val="35CE5502"/>
    <w:rsid w:val="360D38D6"/>
    <w:rsid w:val="364517E5"/>
    <w:rsid w:val="370150ED"/>
    <w:rsid w:val="3705243F"/>
    <w:rsid w:val="37CE7862"/>
    <w:rsid w:val="382A1498"/>
    <w:rsid w:val="38AB4AE6"/>
    <w:rsid w:val="39076624"/>
    <w:rsid w:val="391D0CBF"/>
    <w:rsid w:val="39AB3B94"/>
    <w:rsid w:val="39F60A28"/>
    <w:rsid w:val="3A313D69"/>
    <w:rsid w:val="3A650DDD"/>
    <w:rsid w:val="3B001218"/>
    <w:rsid w:val="3C2E5685"/>
    <w:rsid w:val="3CEE6903"/>
    <w:rsid w:val="3D063022"/>
    <w:rsid w:val="3D540D21"/>
    <w:rsid w:val="3E034071"/>
    <w:rsid w:val="3F603FD4"/>
    <w:rsid w:val="3F612A86"/>
    <w:rsid w:val="3F781B05"/>
    <w:rsid w:val="3FA0087A"/>
    <w:rsid w:val="3FCB31FB"/>
    <w:rsid w:val="3FFB6CAC"/>
    <w:rsid w:val="40302074"/>
    <w:rsid w:val="407354F1"/>
    <w:rsid w:val="407E3620"/>
    <w:rsid w:val="412E6CB8"/>
    <w:rsid w:val="41613D05"/>
    <w:rsid w:val="41B968DD"/>
    <w:rsid w:val="430E01BF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ACC17BD"/>
    <w:rsid w:val="4BF31933"/>
    <w:rsid w:val="4C2D3B21"/>
    <w:rsid w:val="4D0D77F6"/>
    <w:rsid w:val="4D1C3AC2"/>
    <w:rsid w:val="4D441B5E"/>
    <w:rsid w:val="4DE12C08"/>
    <w:rsid w:val="4E137CB3"/>
    <w:rsid w:val="4EB4643D"/>
    <w:rsid w:val="4ECC2831"/>
    <w:rsid w:val="4FCC1B0D"/>
    <w:rsid w:val="507E0C4B"/>
    <w:rsid w:val="50BE451A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465FB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6130B04"/>
    <w:rsid w:val="56682DC8"/>
    <w:rsid w:val="57040025"/>
    <w:rsid w:val="57151CE6"/>
    <w:rsid w:val="571E55B1"/>
    <w:rsid w:val="572046DA"/>
    <w:rsid w:val="58A607D1"/>
    <w:rsid w:val="58FD4662"/>
    <w:rsid w:val="5925219B"/>
    <w:rsid w:val="592D4486"/>
    <w:rsid w:val="595C777B"/>
    <w:rsid w:val="5A4E0416"/>
    <w:rsid w:val="5A990015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4B7687"/>
    <w:rsid w:val="5DC9602A"/>
    <w:rsid w:val="5DE809C3"/>
    <w:rsid w:val="5E7F6C06"/>
    <w:rsid w:val="5E8158E5"/>
    <w:rsid w:val="605E1BC5"/>
    <w:rsid w:val="60D55CF6"/>
    <w:rsid w:val="6228361E"/>
    <w:rsid w:val="62850D34"/>
    <w:rsid w:val="63161421"/>
    <w:rsid w:val="631E16AD"/>
    <w:rsid w:val="633650EE"/>
    <w:rsid w:val="63BE40D0"/>
    <w:rsid w:val="63DD1DCF"/>
    <w:rsid w:val="64E76003"/>
    <w:rsid w:val="65215227"/>
    <w:rsid w:val="652F30CD"/>
    <w:rsid w:val="655662BC"/>
    <w:rsid w:val="65982E26"/>
    <w:rsid w:val="659F30BB"/>
    <w:rsid w:val="66020B2F"/>
    <w:rsid w:val="66785237"/>
    <w:rsid w:val="67103A3A"/>
    <w:rsid w:val="671F4FA2"/>
    <w:rsid w:val="694B5403"/>
    <w:rsid w:val="69C05041"/>
    <w:rsid w:val="6AF672B5"/>
    <w:rsid w:val="6AFB2694"/>
    <w:rsid w:val="6B26178E"/>
    <w:rsid w:val="6D756370"/>
    <w:rsid w:val="6DAD6E02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701649C4"/>
    <w:rsid w:val="70C452F3"/>
    <w:rsid w:val="71C5439E"/>
    <w:rsid w:val="71E245AB"/>
    <w:rsid w:val="71E7316F"/>
    <w:rsid w:val="721E4237"/>
    <w:rsid w:val="72A756E5"/>
    <w:rsid w:val="739E5DA9"/>
    <w:rsid w:val="74335E9E"/>
    <w:rsid w:val="743C171F"/>
    <w:rsid w:val="746E52BD"/>
    <w:rsid w:val="74B06AC0"/>
    <w:rsid w:val="753D6821"/>
    <w:rsid w:val="75AB7F36"/>
    <w:rsid w:val="75E82E37"/>
    <w:rsid w:val="75F25796"/>
    <w:rsid w:val="7627135C"/>
    <w:rsid w:val="77291A5D"/>
    <w:rsid w:val="781366EA"/>
    <w:rsid w:val="78D32AB4"/>
    <w:rsid w:val="79CE1253"/>
    <w:rsid w:val="7A3D0850"/>
    <w:rsid w:val="7A6035EE"/>
    <w:rsid w:val="7A8F0095"/>
    <w:rsid w:val="7B0F44C9"/>
    <w:rsid w:val="7BB62FD7"/>
    <w:rsid w:val="7BBE08AE"/>
    <w:rsid w:val="7C612DF3"/>
    <w:rsid w:val="7CB94C8E"/>
    <w:rsid w:val="7ED14FA3"/>
    <w:rsid w:val="7F8E7424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2022-09-17T09:29:01Z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5EA28C3FFC804CE9AC075B7CDD5AD1FE</vt:lpwstr>
  </property>
</Properties>
</file>